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433-4_424b5.htm"/>
        <w:bookmarkStart w:id="1" w:name="kstm26154334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As 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333-277471</w:t>
      </w:r>
      <w:r>
        <w:rPr>
          <w:rFonts w:ascii="Times New Roman;Times;serif" w:hAnsi="Times New Roman;Times;serif"/>
          <w:b/>
          <w:i w:val="false"/>
          <w:caps w:val="false"/>
          <w:smallCaps w:val="false"/>
          <w:color w:val="000000"/>
          <w:sz w:val="20"/>
        </w:rPr>
        <w:t>​</w:t>
      </w:r>
    </w:p>
    <w:p>
      <w:pPr>
        <w:pStyle w:val="TextBody"/>
        <w:bidi w:val="0"/>
        <w:spacing w:lineRule="atLeast" w:line="220" w:before="80"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PROSPECTUS SUPPLEMENT</w:t>
      </w:r>
      <w:r>
        <w:rPr>
          <w:rFonts w:ascii="Times New Roman;Times;serif" w:hAnsi="Times New Roman;Times;serif"/>
          <w:b/>
          <w:i w:val="false"/>
          <w:caps w:val="false"/>
          <w:smallCaps w:val="false"/>
          <w:color w:val="000000"/>
          <w:sz w:val="18"/>
        </w:rPr>
        <w:t xml:space="preserve"> </w:t>
      </w:r>
    </w:p>
    <w:p>
      <w:pPr>
        <w:pStyle w:val="TextBody"/>
        <w:bidi w:val="0"/>
        <w:spacing w:lineRule="atLeast" w:line="220" w:before="60"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(To prospectus dated March 21, 2025)</w:t>
      </w:r>
      <w:r>
        <w:rPr>
          <w:rFonts w:ascii="Times New Roman;Times;serif" w:hAnsi="Times New Roman;Times;serif"/>
          <w:b/>
          <w:i w:val="false"/>
          <w:caps w:val="false"/>
          <w:smallCaps w:val="false"/>
          <w:color w:val="000000"/>
          <w:spacing w:val="4"/>
          <w:sz w:val="1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59080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1076325"/>
                    </a:xfrm>
                    <a:prstGeom prst="rect">
                      <a:avLst/>
                    </a:prstGeom>
                  </pic:spPr>
                </pic:pic>
              </a:graphicData>
            </a:graphic>
          </wp:inline>
        </w:drawing>
      </w:r>
      <w:r>
        <w:rPr>
          <w:caps w:val="false"/>
          <w:smallCaps w:val="false"/>
          <w:color w:val="000000"/>
        </w:rPr>
        <w:t xml:space="preserve"> </w:t>
      </w:r>
    </w:p>
    <w:p>
      <w:pPr>
        <w:pStyle w:val="TextBody"/>
        <w:bidi w:val="0"/>
        <w:spacing w:lineRule="atLeast" w:line="290" w:before="15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55,555,556 Shares of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Common Stock Warrants to Purchase 55,555,556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76"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offering 55,555,556 shares of our common stock and accompanying common stock warrants to purchase shares of our common stock. Each share of common stock is being offered and sold together with an accompanying common stock warrant to purchase one share of common stock at a combined offering price of $2.25. Furthermore, to the extent that specified limitations described in the section “Description of Securities We Are Offering” restrict the exercise of the common stock warrants, the holder may choose, in lieu of receiving common stock upon exercise of a common stock warrant, to receive a pre-funded warrant to purchase an identical number of shares of common stock it would have received upon the exercise of its common stock warrants, except that the applicable exercise price shall instead be the exercise price less $0.0001 per share, and the resulting issued pre-funded warrant shall have an exercise price of $0.0001 per share. This prospectus supplement also relates to the offering of the shares of our common stock issuable upon the exercise of such common stock warrants and pre-funded warrants. </w:t>
      </w:r>
    </w:p>
    <w:p>
      <w:pPr>
        <w:pStyle w:val="TextBody"/>
        <w:bidi w:val="0"/>
        <w:spacing w:lineRule="atLeast" w:line="190" w:before="12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shares of common stock and the accompanying common stock warrants are immediately separable and will be issued separately, but can only be purchased together in this offering. Each common stock warrant will have an exercise price per share of common stock equal to $3.50 and will be exercisable from the date of issuance, subject to the ownership limitation described in this prospectus supplement, and will expire on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 (ii) the date that is three years after the date of issuance. Each pre-funded warrant will have an exercise price per share of common stock equal to $0.0001 and will be exercisable from the date of issuance and will expire on the date the warrant is exercised in full, subject to the ownership limitation described in this prospectus supplement. </w:t>
      </w:r>
    </w:p>
    <w:p>
      <w:pPr>
        <w:pStyle w:val="TextBody"/>
        <w:bidi w:val="0"/>
        <w:spacing w:lineRule="atLeast" w:line="190" w:before="120" w:after="283"/>
        <w:ind w:left="1393"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Our common stock is listed on The Nasdaq Global Select Market under the symbol “EDIT.” The last reported sale price of our common stock on The Nasdaq Global Select Market on May 22, 2026 was $2.76 per share.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120" w:after="283"/>
        <w:ind w:left="1393" w:right="0" w:firstLine="400"/>
        <w:jc w:val="left"/>
        <w:rPr/>
      </w:pPr>
      <w:r>
        <w:rPr>
          <w:rFonts w:ascii="Times New Roman;Times;serif" w:hAnsi="Times New Roman;Times;serif"/>
          <w:b/>
          <w:i w:val="false"/>
          <w:caps w:val="false"/>
          <w:smallCaps w:val="false"/>
          <w:color w:val="000000"/>
          <w:spacing w:val="-4"/>
          <w:sz w:val="18"/>
        </w:rPr>
        <w:t xml:space="preserve">Investing in our securities involves risks. See “Risk Factors” beginning on page </w:t>
      </w:r>
      <w:hyperlink w:anchor="sRIFA">
        <w:r>
          <w:rPr>
            <w:rStyle w:val="InternetLink"/>
          </w:rPr>
          <w:t>S-7</w:t>
        </w:r>
      </w:hyperlink>
      <w:r>
        <w:rPr>
          <w:rFonts w:ascii="Times New Roman;Times;serif" w:hAnsi="Times New Roman;Times;serif"/>
          <w:b/>
          <w:i w:val="false"/>
          <w:caps w:val="false"/>
          <w:smallCaps w:val="false"/>
          <w:color w:val="000000"/>
          <w:spacing w:val="-4"/>
          <w:sz w:val="18"/>
        </w:rPr>
        <w:t xml:space="preserve"> of this prospectus supplement, as well as those contained in the accompanying prospectus and in the documents incorporated by reference herein.</w:t>
      </w:r>
      <w:r>
        <w:rPr>
          <w:rFonts w:ascii="Times New Roman;Times;serif" w:hAnsi="Times New Roman;Times;serif"/>
          <w:b/>
          <w:i w:val="false"/>
          <w:caps w:val="false"/>
          <w:smallCaps w:val="false"/>
          <w:color w:val="000000"/>
          <w:spacing w:val="4"/>
          <w:sz w:val="18"/>
        </w:rPr>
        <w:t xml:space="preserve"> </w:t>
      </w:r>
    </w:p>
    <w:tbl>
      <w:tblPr>
        <w:tblW w:w="8812" w:type="dxa"/>
        <w:jc w:val="left"/>
        <w:tblInd w:w="1393" w:type="dxa"/>
        <w:tblLayout w:type="fixed"/>
        <w:tblCellMar>
          <w:top w:w="0" w:type="dxa"/>
          <w:left w:w="0" w:type="dxa"/>
          <w:bottom w:w="28" w:type="dxa"/>
          <w:right w:w="0" w:type="dxa"/>
        </w:tblCellMar>
      </w:tblPr>
      <w:tblGrid>
        <w:gridCol w:w="3063"/>
        <w:gridCol w:w="109"/>
        <w:gridCol w:w="109"/>
        <w:gridCol w:w="282"/>
        <w:gridCol w:w="586"/>
        <w:gridCol w:w="1679"/>
        <w:gridCol w:w="285"/>
        <w:gridCol w:w="109"/>
        <w:gridCol w:w="109"/>
        <w:gridCol w:w="109"/>
        <w:gridCol w:w="226"/>
        <w:gridCol w:w="1879"/>
        <w:gridCol w:w="109"/>
        <w:gridCol w:w="158"/>
      </w:tblGrid>
      <w:tr>
        <w:trPr/>
        <w:tc>
          <w:tcPr>
            <w:tcW w:w="30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2" w:type="dxa"/>
            <w:gridSpan w:val="4"/>
            <w:tcBorders>
              <w:bottom w:val="single" w:sz="2" w:space="0" w:color="000000"/>
            </w:tcBorders>
            <w:vAlign w:val="center"/>
          </w:tcPr>
          <w:p>
            <w:pPr>
              <w:pStyle w:val="TableContents"/>
              <w:bidi w:val="0"/>
              <w:spacing w:before="0" w:after="0"/>
              <w:jc w:val="center"/>
              <w:rPr/>
            </w:pPr>
            <w:r>
              <w:rPr>
                <w:spacing w:val="-3"/>
              </w:rPr>
              <w:t xml:space="preserve">PER SHARE OF COMMON </w:t>
            </w:r>
            <w:r>
              <w:rPr/>
              <w:br/>
            </w:r>
            <w:r>
              <w:rPr>
                <w:spacing w:val="-3"/>
              </w:rPr>
              <w:t xml:space="preserve">STOCK </w:t>
            </w:r>
            <w:r>
              <w:rPr/>
              <w:br/>
            </w:r>
            <w:r>
              <w:rPr>
                <w:spacing w:val="-3"/>
              </w:rPr>
              <w:t xml:space="preserve">AND ACCOMPANYING </w:t>
            </w:r>
            <w:r>
              <w:rPr/>
              <w:br/>
            </w:r>
            <w:r>
              <w:rPr>
                <w:spacing w:val="-3"/>
              </w:rPr>
              <w:t>COMMON STOCK WARRANT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063"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lef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679" w:type="dxa"/>
            <w:tcBorders/>
            <w:shd w:fill="CCEEFF" w:val="clear"/>
            <w:tcMar>
              <w:bottom w:w="0" w:type="dxa"/>
            </w:tcMar>
            <w:vAlign w:val="center"/>
          </w:tcPr>
          <w:p>
            <w:pPr>
              <w:pStyle w:val="TableContents"/>
              <w:bidi w:val="0"/>
              <w:spacing w:before="0" w:after="283"/>
              <w:jc w:val="right"/>
              <w:rPr/>
            </w:pPr>
            <w:r>
              <w:rPr/>
              <w:t xml:space="preserve">2.250 </w:t>
            </w:r>
          </w:p>
        </w:tc>
        <w:tc>
          <w:tcPr>
            <w:tcW w:w="2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879" w:type="dxa"/>
            <w:tcBorders/>
            <w:shd w:fill="CCEEFF" w:val="clear"/>
            <w:tcMar>
              <w:bottom w:w="0" w:type="dxa"/>
            </w:tcMar>
            <w:vAlign w:val="center"/>
          </w:tcPr>
          <w:p>
            <w:pPr>
              <w:pStyle w:val="TableContents"/>
              <w:bidi w:val="0"/>
              <w:spacing w:before="0" w:after="283"/>
              <w:jc w:val="right"/>
              <w:rPr/>
            </w:pPr>
            <w:r>
              <w:rPr/>
              <w:t xml:space="preserve">125,000,0001.000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063"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283"/>
              <w:jc w:val="right"/>
              <w:rPr/>
            </w:pPr>
            <w:r>
              <w:rPr/>
              <w:t>$</w:t>
            </w:r>
          </w:p>
        </w:tc>
        <w:tc>
          <w:tcPr>
            <w:tcW w:w="1679" w:type="dxa"/>
            <w:tcBorders/>
            <w:tcMar>
              <w:bottom w:w="0" w:type="dxa"/>
            </w:tcMar>
            <w:vAlign w:val="center"/>
          </w:tcPr>
          <w:p>
            <w:pPr>
              <w:pStyle w:val="TableContents"/>
              <w:bidi w:val="0"/>
              <w:spacing w:before="0" w:after="283"/>
              <w:jc w:val="right"/>
              <w:rPr/>
            </w:pPr>
            <w:r>
              <w:rPr/>
              <w:t xml:space="preserve">0.135 </w:t>
            </w:r>
          </w:p>
        </w:tc>
        <w:tc>
          <w:tcPr>
            <w:tcW w:w="2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879" w:type="dxa"/>
            <w:tcBorders/>
            <w:tcMar>
              <w:bottom w:w="0" w:type="dxa"/>
            </w:tcMar>
            <w:vAlign w:val="center"/>
          </w:tcPr>
          <w:p>
            <w:pPr>
              <w:pStyle w:val="TableContents"/>
              <w:bidi w:val="0"/>
              <w:spacing w:before="0" w:after="283"/>
              <w:jc w:val="right"/>
              <w:rPr/>
            </w:pPr>
            <w:r>
              <w:rPr/>
              <w:t xml:space="preserve">7,500,000.060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063"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lef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679" w:type="dxa"/>
            <w:tcBorders/>
            <w:shd w:fill="CCEEFF" w:val="clear"/>
            <w:tcMar>
              <w:bottom w:w="0" w:type="dxa"/>
            </w:tcMar>
            <w:vAlign w:val="center"/>
          </w:tcPr>
          <w:p>
            <w:pPr>
              <w:pStyle w:val="TableContents"/>
              <w:bidi w:val="0"/>
              <w:spacing w:before="0" w:after="283"/>
              <w:jc w:val="right"/>
              <w:rPr/>
            </w:pPr>
            <w:r>
              <w:rPr/>
              <w:t xml:space="preserve">2.115 </w:t>
            </w:r>
          </w:p>
        </w:tc>
        <w:tc>
          <w:tcPr>
            <w:tcW w:w="2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879" w:type="dxa"/>
            <w:tcBorders/>
            <w:shd w:fill="CCEEFF" w:val="clear"/>
            <w:tcMar>
              <w:bottom w:w="0" w:type="dxa"/>
            </w:tcMar>
            <w:vAlign w:val="center"/>
          </w:tcPr>
          <w:p>
            <w:pPr>
              <w:pStyle w:val="TableContents"/>
              <w:bidi w:val="0"/>
              <w:spacing w:before="0" w:after="283"/>
              <w:jc w:val="right"/>
              <w:rPr/>
            </w:pPr>
            <w:r>
              <w:rPr/>
              <w:t>117,500,000.940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0"/>
        <w:ind w:left="1793" w:right="0" w:hanging="0"/>
        <w:jc w:val="left"/>
        <w:rPr/>
      </w:pPr>
      <w:r>
        <w:rPr>
          <w:rFonts w:ascii="Times New Roman;Times;serif" w:hAnsi="Times New Roman;Times;serif"/>
          <w:b w:val="false"/>
          <w:i w:val="false"/>
          <w:caps w:val="false"/>
          <w:smallCaps w:val="false"/>
          <w:color w:val="000000"/>
          <w:spacing w:val="4"/>
          <w:sz w:val="18"/>
        </w:rPr>
        <w:t xml:space="preserve">See “Underwriting” beginning on page </w:t>
      </w:r>
      <w:hyperlink w:anchor="sUND">
        <w:r>
          <w:rPr>
            <w:rStyle w:val="InternetLink"/>
          </w:rPr>
          <w:t>S-21</w:t>
        </w:r>
      </w:hyperlink>
      <w:r>
        <w:rPr>
          <w:rFonts w:ascii="Times New Roman;Times;serif" w:hAnsi="Times New Roman;Times;serif"/>
          <w:b w:val="false"/>
          <w:i w:val="false"/>
          <w:caps w:val="false"/>
          <w:smallCaps w:val="false"/>
          <w:color w:val="000000"/>
          <w:spacing w:val="4"/>
          <w:sz w:val="18"/>
        </w:rPr>
        <w:t xml:space="preserve"> of this prospectus supplement for a description of all compensation payable to the underwriters.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90" w:before="12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a “smaller reporting company” under applicable Securities and Exchange Commission rules and are subject to reduced public company reporting requirements. See “Prospectus Summary — Implications of Being a Smaller Reporting Company.” </w:t>
      </w:r>
    </w:p>
    <w:p>
      <w:pPr>
        <w:pStyle w:val="TextBody"/>
        <w:bidi w:val="0"/>
        <w:spacing w:lineRule="atLeast" w:line="190" w:before="120" w:after="283"/>
        <w:ind w:left="1393"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passed upon the adequacy or accuracy of this prospectus supplement.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120" w:after="283"/>
        <w:ind w:left="139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underwriters expect to deliver the shares of common stock and the accompanying common stock warrants against payment on or about May 27,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3471" w:type="dxa"/>
        <w:jc w:val="left"/>
        <w:tblInd w:w="1393" w:type="dxa"/>
        <w:tblLayout w:type="fixed"/>
        <w:tblCellMar>
          <w:top w:w="0" w:type="dxa"/>
          <w:left w:w="0" w:type="dxa"/>
          <w:bottom w:w="0" w:type="dxa"/>
          <w:right w:w="0" w:type="dxa"/>
        </w:tblCellMar>
      </w:tblPr>
      <w:tblGrid>
        <w:gridCol w:w="124"/>
        <w:gridCol w:w="781"/>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center"/>
              <w:rPr/>
            </w:pPr>
            <w:r>
              <w:rPr>
                <w:spacing w:val="-6"/>
              </w:rPr>
              <w:t>Cantor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80" w:after="283"/>
        <w:ind w:left="1393"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date of this prospectus supplement is May 26, 2026.</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49"/>
        <w:gridCol w:w="109"/>
        <w:gridCol w:w="109"/>
        <w:gridCol w:w="109"/>
        <w:gridCol w:w="109"/>
        <w:gridCol w:w="43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FOST">
              <w:r>
                <w:rPr>
                  <w:rStyle w:val="InternetLink"/>
                  <w:spacing w:val="4"/>
                </w:rPr>
                <w:t>S-2</w:t>
              </w:r>
            </w:hyperlink>
            <w:hyperlink w:anchor="s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PSS">
              <w:r>
                <w:rPr>
                  <w:rStyle w:val="InternetLink"/>
                  <w:spacing w:val="4"/>
                </w:rPr>
                <w:t>S-3</w:t>
              </w:r>
            </w:hyperlink>
            <w:hyperlink w:anchor="s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THOF">
              <w:r>
                <w:rPr>
                  <w:rStyle w:val="InternetLink"/>
                  <w:spacing w:val="4"/>
                </w:rPr>
                <w:t>S-5</w:t>
              </w:r>
            </w:hyperlink>
            <w:hyperlink w:anchor="sTHO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UOP">
              <w:r>
                <w:rPr>
                  <w:rStyle w:val="InternetLink"/>
                  <w:spacing w:val="4"/>
                </w:rPr>
                <w:t>S-9</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DIL">
              <w:r>
                <w:rPr>
                  <w:rStyle w:val="InternetLink"/>
                  <w:spacing w:val="4"/>
                </w:rPr>
                <w:t xml:space="preserve">DILUTION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DIL">
              <w:r>
                <w:rPr>
                  <w:rStyle w:val="InternetLink"/>
                  <w:spacing w:val="4"/>
                </w:rPr>
                <w:t>S-10</w:t>
              </w:r>
            </w:hyperlink>
            <w:hyperlink w:anchor="sDI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DOSW">
              <w:r>
                <w:rPr>
                  <w:rStyle w:val="InternetLink"/>
                  <w:spacing w:val="4"/>
                </w:rPr>
                <w:t xml:space="preserve">DESCRIPTION OF SECURITIES WE ARE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DOSW">
              <w:r>
                <w:rPr>
                  <w:rStyle w:val="InternetLink"/>
                  <w:spacing w:val="4"/>
                </w:rPr>
                <w:t>S-11</w:t>
              </w:r>
            </w:hyperlink>
            <w:hyperlink w:anchor="sDOS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ind w:left="200" w:right="0" w:hanging="200"/>
              <w:jc w:val="left"/>
              <w:rPr/>
            </w:pPr>
            <w:hyperlink w:anchor="sMUFT">
              <w:r>
                <w:rPr>
                  <w:rStyle w:val="InternetLink"/>
                  <w:spacing w:val="4"/>
                </w:rPr>
                <w:t>MATERIAL U.S. FEDERAL TAX CONSIDERATIONS FOR HOLDERS OF COMMON STOCK, COMMON STOCK WARRANTS AND PRE-FUNDED WARRANTS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MUFT">
              <w:r>
                <w:rPr>
                  <w:rStyle w:val="InternetLink"/>
                  <w:spacing w:val="4"/>
                </w:rPr>
                <w:t>S-14</w:t>
              </w:r>
            </w:hyperlink>
            <w:hyperlink w:anchor="sMUF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UND">
              <w:r>
                <w:rPr>
                  <w:rStyle w:val="InternetLink"/>
                  <w:spacing w:val="4"/>
                </w:rPr>
                <w:t>S-21</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LEMA">
              <w:r>
                <w:rPr>
                  <w:rStyle w:val="InternetLink"/>
                  <w:spacing w:val="4"/>
                </w:rPr>
                <w:t>S-31</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EXP">
              <w:r>
                <w:rPr>
                  <w:rStyle w:val="InternetLink"/>
                  <w:spacing w:val="4"/>
                </w:rPr>
                <w:t>S-31</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9"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hyperlink w:anchor="sWYCF">
              <w:r>
                <w:rPr>
                  <w:rStyle w:val="InternetLink"/>
                  <w:spacing w:val="4"/>
                </w:rPr>
                <w:t>S-32</w:t>
              </w:r>
            </w:hyperlink>
            <w:hyperlink w:anchor="s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9" w:type="dxa"/>
            <w:tcBorders/>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hyperlink w:anchor="sIBR">
              <w:r>
                <w:rPr>
                  <w:rStyle w:val="InternetLink"/>
                  <w:spacing w:val="4"/>
                </w:rPr>
                <w:t>S-32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ABO">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BO">
              <w:r>
                <w:rPr>
                  <w:rStyle w:val="InternetLink"/>
                  <w:spacing w:val="4"/>
                </w:rPr>
                <w:t>1</w:t>
              </w:r>
            </w:hyperlink>
            <w:hyperlink w:anchor="tA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
              <w:r>
                <w:rPr>
                  <w:rStyle w:val="InternetLink"/>
                  <w:spacing w:val="4"/>
                </w:rPr>
                <w:t>3</w:t>
              </w:r>
            </w:hyperlink>
            <w:hyperlink w:anchor="t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4</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MI">
              <w:r>
                <w:rPr>
                  <w:rStyle w:val="InternetLink"/>
                  <w:spacing w:val="4"/>
                </w:rPr>
                <w:t xml:space="preserve">EDITAS MEDICINE,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MI">
              <w:r>
                <w:rPr>
                  <w:rStyle w:val="InternetLink"/>
                  <w:spacing w:val="4"/>
                </w:rPr>
                <w:t>6</w:t>
              </w:r>
            </w:hyperlink>
            <w:hyperlink w:anchor="tEM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17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24</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R">
              <w:r>
                <w:rPr>
                  <w:rStyle w:val="InternetLink"/>
                  <w:spacing w:val="4"/>
                </w:rPr>
                <w:t>27</w:t>
              </w:r>
            </w:hyperlink>
            <w:hyperlink w:anchor="tDOS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PC">
              <w:r>
                <w:rPr>
                  <w:rStyle w:val="InternetLink"/>
                  <w:spacing w:val="4"/>
                </w:rPr>
                <w:t>28</w:t>
              </w:r>
            </w:hyperlink>
            <w:hyperlink w:anchor="tDO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29</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U">
              <w:r>
                <w:rPr>
                  <w:rStyle w:val="InternetLink"/>
                  <w:spacing w:val="4"/>
                </w:rPr>
                <w:t>30</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FOS">
              <w:r>
                <w:rPr>
                  <w:rStyle w:val="InternetLink"/>
                  <w:spacing w:val="4"/>
                </w:rPr>
                <w:t xml:space="preserve">FORMS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S">
              <w:r>
                <w:rPr>
                  <w:rStyle w:val="InternetLink"/>
                  <w:spacing w:val="4"/>
                </w:rPr>
                <w:t>31</w:t>
              </w:r>
            </w:hyperlink>
            <w:hyperlink w:anchor="tF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33</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36</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offering and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have authorized anyone to provide any information other than that contained or incorporated by reference in this prospectus supplement, in the accompanying prospectus or in any free writing prospectus prepared by or on behalf of us or to which we have referred you. Neither we nor the underwriters take any responsibility for,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any such free writing prospectus do not constitute an offer to sell, or a solicitation of an offer to purchase, the securities offered by this prospectus supplement, the accompanying prospectus and any such free writing prospectus in any jurisdiction to or from any person to whom or from whom it is unlawful to make such offer or solicitation of an offer in such jurisdiction. You should assume that the information appearing in this prospectus supplement, the accompanying prospectus and the documents incorporated by reference herein and in any free writing prospectus that we have authorized for use in connection with this offering is accurate only as of the date of those respective documents. It is important for you to read and consider all information contained in this prospectus supplement and in the accompanying prospectus, including the documents incorporated by reference herein and therein, in making your investment decision. You should also read and consider the information in the documents to which we have referred you in the sections titled “Where You Can Find More Information” and “Incorporation by Reference” in this prospectus supplement and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accompanying prospectus comes are advised to inform themselves about and to observe any restrictions relating to the offering and the distribution of this prospectus supplement and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or the context otherwise requires, references in this prospectus supplement and the accompanying prospectus to “we,” “our,” “us,” and “the Company” refer, collectively, to Editas Medicine, Inc., a Delaware corporation, and its consolidated subsidiaries. When we refer to “you” in this prospectus supplement, we mean all purchasers of the securities being offered by this prospectus supplement and the accompanying prospectus, whether they are the holders or only indirect owners of those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the information incorporated by reference herein include “forward-looking statements” within the meaning of Section 27A of the Securities Act of 1933, as amended, or the Securities Act, and Section 21E of the Securities Exchange Act of 1934, as amended, or the Exchange Act. All statements other than statements of historical facts included in this prospectus supplement and the accompanying prospectus and the information incorporated herein by reference,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supplement and the accompanying prospectus and the information incorporated herein by reference are only predictions. We have based these forward-looking statements largely on our expectations and projections about future events and financial trends that we believe may affect our business, financial condition, results of operations, and prospects, in each case as of the time we made such forward-looking statement. These forward-looking statements are subject to a number of risks, uncertainties and assumptions. We have included important factors in the cautionary statements included in this prospectus supplement and the accompanying prospectus and the information incorporated by reference herein, particularly under the heading “Risk Factors” in this prospectus supplement and the accompanying prospectus and in the documents incorporated by reference herein, that could cause actual results or events to differ materially from the forward-looking statements that we make.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or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supplement and the accompanying prospectus include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prospectus supplement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and we are responsible for such information, no independent source has verified such assumptions.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in this prospectus supplement and the accompanying prospectus and in the documents we incorporate herein and therein by reference. This summary does not contain all of the information that you should consider before investing in our securities. You should read this entire prospectus supplement and the accompanying prospectus carefully, especially the “Risk Factors” beginning on page </w:t>
      </w:r>
      <w:hyperlink w:anchor="sRIFA">
        <w:r>
          <w:rPr>
            <w:rStyle w:val="InternetLink"/>
          </w:rPr>
          <w:t>S-7</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in the “Risk Factor Summary” and “Risk Factors” sections of our </w:t>
      </w:r>
      <w:hyperlink r:id="rId3">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as updated by our subsequent filings with the Securities and Exchange Commission, along with our consolidated financial statements and notes to those consolidated financial statements and the other information incorporated by reference in this prospectus supplement and the accompanying prospectus,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platform to enable targeted delivery of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gene editing medicines to multiple cells and tissues, including the liver, hematopoietic stem cells (“HSCs”), and other cells and tissues.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September 2025, we announced the nomination of our lead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This targeted approach has demonstrated in our preclinical studies a greater than 90% mean reduction of LDL-C in non-human primates (“NHPs”) with rapid and dose-dependent effect, across a dose range and with durability through six months, a rapid, dose-dependent mean reduction of approximately 90% in Lp(a), an independent risk factor for atherosclerotic cardiovascular disease (“ASCVD”), and a rapid, dose-dependent mean reduction of approximately 90% in ApoB, a key measure of total plaque-causing cholesterol particles and predictive measure for ASCVD. In addition, in our preclinical studies, including an ongoing Good Laboratory Practice (GLP) toxicology study in NHPs, EDIT-401 was well-tolerated at the therapeutically relevant dose of 1.5 mg/kg with no adverse clinical observations, no notable treatment-related liver enzyme elevations, and no liver histopathology findings in non-GLP toxicology.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plan to submit a Clinical Trial Notification (“CTN”) in Australia to the Therapeutic Goods Administration (TGA) in mid-2026, with the goal of initiating a first-in-human clinical trial of EDIT-401 in patients with Heterozygous Familial Hypercholesterolemia (“HeFH”) later in 2026 and expect to have early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human proof of concept data for EDIT-401 by the end of 2026. We anticipate that the clinical trial will initially be designed as a two-part Phase 1/2 trial. Part 1 is expected to be a single ascending dose, dose-finding study and is expected to enroll approximately 18 patients with HeFH in three dosing arms. Eligible patients will have a clinical diagnosis of HeFH with an elevated LDL-C despite treatment with two or more lipid lowering therapies. We plan to complete enrollment of Part 1 and have topline data results available in 2027. We expect that Part 2 of the trial will be a single-dose randomized, placebo-controlled expansion study with approximately 28 patients, and that if the data from the Phase 1/2 trial warrant advancing EDIT-401, we would advance EDIT-401 into a single, pivotal randomized, placebo-controlled Phase 3 clinical trial in patients with HeFH, with or without existing ASCVD or coronary artery disease. These clinical trial plans are subject to further discussion and alignment with regulatory authorities. We have also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received pre-IND feedback from the U.S. Food and Drug Administration on our nonclinical package, CMC plans, and study design to support an Investigational New Drug Application (“IND”) for EDIT-401, which we believe provides optionality for submitting an IND supportive of our anticipated clinical development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discovery and development efforts further include HSCs and other cells and tissues. Building on our experience in our clinical trials of renizgamglogene autogedtemcel (“reni-cel”), we have achieved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preclinical proof-of-concept data of HSC editing in NHPs. In addition, we previously announced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delivery to two additional cell types in humanized mice using our proprietary LNP targeting platform, demonstrating the “plug ‘n play” potential of our proprietary extrahepatic LNP platform. We intend to continue optimizing candidates for our HSC program and exploring other cell types and tissues for development, but plan to focus our resources on the advancement of our lead EDIT-401 program to human proof-of-concept.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pursuing the right combination of gene editing and targeted delivery tools through internal development and the in-licensing of complementary technologies to build our preclinical pipeline and accelerate the achievement of our goal of delivering lifesaving medicines to patients with previously untreatable diseases. Through in-licensing of complementary technologies, we can expand our existing gene editing platform and further drive the development of our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pipeline. We also actively seek opportunities to out-license and partner our robust intellectual property portfolio to drive the development of CRISPR-based medicines in therapeutic areas outside of our core focus and to provide non-dilutive capital.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offices are located at 11 Hurley Street, Cambridge, Massachusetts, 02141, and our telephone number is (617) 401-9000. Our website address is www.editasmedicine.com. We have included our website address in this prospectus supplement as an inactive textual reference only. Information contained on, or that can be accessed through, our website is not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Editas logo is our trademark. The other trademarks, trade names, and service marks appearing in this prospectus supplement belong to their respective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the information in this prospectus supplement and that we provide to our investors may be different than what you might receive from other public reporting companies.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547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55,555,556 shares.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common stock is being offered and sold together with an accompanying common stock warrant to purchase one share of common stock at a combined offering price of $2.25.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warrants offered by us </w:t>
      </w:r>
    </w:p>
    <w:p>
      <w:pPr>
        <w:pStyle w:val="TextBody"/>
        <w:bidi w:val="0"/>
        <w:spacing w:lineRule="atLeast" w:line="240" w:before="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offering common stock warrants to purchase 55,555,556 shares of our common stock. Each share of our common stock is being offered and sold together with an accompanying common stock warrant to purchase one share of our common stock (or pre-funded warrant in lieu thereof). Each common stock warrant will have an exercise price of $3.50 per share of common stock (or $3.4999 per pre-funded warrant) and will be exercisable from the date of issuance until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 (ii) the date that is three years after the date of issuance. The common stock and the accompanying common stock warrants are immediately separable and will be issued separately, but can only be purchased together in this offering. </w:t>
      </w:r>
    </w:p>
    <w:p>
      <w:pPr>
        <w:pStyle w:val="TextBody"/>
        <w:bidi w:val="0"/>
        <w:spacing w:lineRule="atLeast" w:line="240" w:before="16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pre-funded warrant issued upon the exercise of common stock warrants will have an exercise price equal to $0.0001 per share. Each pre-funded warrant will be immediately exercisable for one share of common stock. Each pre-funded warrant will be exercisable at any time from the date of issuance and will expire on the date the warrant is exercised in full, subject to an ownership limitation described herein. </w:t>
      </w:r>
    </w:p>
    <w:p>
      <w:pPr>
        <w:pStyle w:val="TextBody"/>
        <w:bidi w:val="0"/>
        <w:spacing w:lineRule="atLeast" w:line="240" w:before="160" w:after="283"/>
        <w:ind w:left="547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Securities We Are Offering” on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page </w:t>
      </w:r>
      <w:hyperlink w:anchor="sDOSW">
        <w:r>
          <w:rPr>
            <w:rStyle w:val="InternetLink"/>
          </w:rPr>
          <w:t>S-11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This prospectus supplement also relates to the offering of the shares of common stock issuable upon the exercise of such common stock warrants, or the pre-funded warrants issued upon the exercise of common stock warrants, issued in this offering.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after this offering </w:t>
      </w:r>
    </w:p>
    <w:p>
      <w:pPr>
        <w:pStyle w:val="TextBody"/>
        <w:bidi w:val="0"/>
        <w:spacing w:lineRule="atLeast" w:line="240" w:before="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153,461,838 shares, assuming no exercise of the common stock warrants being issued in this offering.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to us from this offering will be approximately $117.0 million, excluding any future exercise of common stock warrants, after deducting underwriting discounts and commissions and estimated offering expenses payable by us. We currently intend to use the net proceeds to us from this offering for progression of EDIT-401, including clinical development and manufacturing, and for working capital and other general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47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corporate purposes. See “Use of Proceeds” in this prospectus supplement for more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47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See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4"/>
          <w:sz w:val="20"/>
          <w:bdr w:val="single" w:sz="8" w:space="1" w:color="000000"/>
        </w:rPr>
        <w:t xml:space="preserve"> and the other information included in, or incorporated by reference into, this prospectus supplement for a discussion of certain factors you should carefully consider before deciding to invest in our securities.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Global Select Market symbol </w:t>
      </w:r>
    </w:p>
    <w:p>
      <w:pPr>
        <w:pStyle w:val="TextBody"/>
        <w:bidi w:val="0"/>
        <w:spacing w:lineRule="atLeast" w:line="240" w:before="0" w:after="283"/>
        <w:ind w:left="547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EDIT”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to be outstanding after this offering is based on 97,906,282 shares of our common stock outstanding as of April 30,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to be outstanding after this offering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12,138,251 shares of common stock issuable upon exercise of stock options outstanding as of April 30, 2026, at a weighted-average exercise price of $5.99 per share;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484,778 shares of common stock issuable upon vesting of restricted stock unit awards outstanding as of April 30, 2026;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8,664,223 additional shares of common stock reserved as of April 30, 2026 for future issuance under our Amended and Restated 2015 Stock Incentive Plan; and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2,685,252 additional shares of common stock reserved as of April 30, 2026 for future issuance under our 2015 Employee Stock Purchase Plan.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indicated, this prospectus supplement reflects and assumes: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the outstanding options described above;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vesting of the outstanding restricted stock units described above; and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exercise of the common stock warrants being issued in this offering.</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securities involves a high degree of risk. Before deciding whether to invest in our securities, you should consider carefully the risks and uncertainties described below and under the sections captioned “Risk Factor Summary” and “Risk Factors” contained in our most recent Annual Report on Form 10-K, as updated by our subsequent filings with the Securities and Exchange Commission, which are incorporated by reference herein in their entirety, together with the other information in this prospectus supplement and the accompanying prospectus, or incorporated by reference herein, and in any free writing prospectus that we authorize for use in connection with this offering. If any of these risks actually occurs, our business, financial condition, results of operations or cash flow could suffer materially. In such event, the trading price of our common stock could decline and you might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purchase our securities in this offering, you will suffer immediate dilution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offering price of our common stock and accompanying common stock warrants in this offering is substantially higher than the net tangible book value per share of our outstanding common stock. Therefore, if you purchase securities in this offering, you will pay a price per share that substantially exceeds our net tangible book value per share after giving effect to this offering. To the extent shares subsequently are issued upon exercise of outstanding options or vesting of restricted stock unit awards, or upon exercise of the common stock warrants being offered in this offering, you will incur further dilution. Based on a combined offering price of $2.25 per share of common stock and accompanying common stock warrant (and assuming no exercise of the common stock warrants), you will experience immediate dilution of $1.46 per share of common stock, representing the difference between our as adjusted net tangible book value per share as of March 31, 2026, after giving effect to this offering, and the combined offering price. For additional information on the dilution that you will experience immediately after this offering, see “Dilution.”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at prices that may not be the same as the purchase price of securities in this offering. We may sell shares or other securities in any other offering at a price per share that is less than the purchase price of securities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purchase price paid by investors in this offering.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 may also in certain circumstances issue shares of our common stock in satisfaction of certain payment obligations of ours under certain license agreements to which we are a party and promissory notes that we may issue in the future in connection with these license agreements. To the extent that we issue these shares for consideration per share that is less than the purchase price paid by investors in this offering, you will incur further dilution. For more information, see “Business-Our Collaborations and Licensing Strategy” in our </w:t>
      </w:r>
      <w:hyperlink r:id="rId4">
        <w:r>
          <w:rPr>
            <w:rStyle w:val="InternetLink"/>
          </w:rPr>
          <w:t>Annual Report on Form 10-K for the year ended December 31, 2025, as filed with the Securities and Exchange Commission on March 9, 2026</w:t>
        </w:r>
      </w:hyperlink>
      <w:r>
        <w:rPr>
          <w:rFonts w:ascii="Times New Roman;Times;serif" w:hAnsi="Times New Roman;Times;serif"/>
          <w:b w:val="false"/>
          <w:i w:val="false"/>
          <w:caps w:val="false"/>
          <w:smallCaps w:val="false"/>
          <w:color w:val="000000"/>
          <w:spacing w:val="4"/>
          <w:sz w:val="20"/>
        </w:rPr>
        <w:t xml:space="preserve"> and incorporated by reference herein.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over the use of our cash, cash equivalents and marketable securities, including the net proceeds we receive in this offering,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management has broad discretion to use our cash, cash equivalents and marketable securities,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we do not anticipate paying any cash dividends on our capital stock in the foreseeable future, capital appreciation, if any, will be your sole source of gain.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cash dividends on our capital stock. We currently intend to retain all of our future earnings, if any, to finance the growth and development of our business. In addition, future debt financing arrangements may contain terms prohibiting or limiting the amount of dividends that may be declared or paid on our common stock. As a result, capital appreciation, if any, of our common stock will be your sole source of gain for the foreseeable future. </w:t>
      </w:r>
    </w:p>
    <w:p>
      <w:pPr>
        <w:pStyle w:val="TextBody"/>
        <w:bidi w:val="0"/>
        <w:spacing w:lineRule="atLeast" w:line="240" w:before="18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common stock warrants being offered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public trading market for the common stock warrants being offered in this offering, or any pre-funded warrants issued upon the exercise of common stock warrants, and we do not expect a market to develop. In addition, we do not intend to list the common stock warrants or pre-funded warrants on the Nasdaq Global Select Market or any other national securities exchange or nationally recognized trading system. Without an active trading market, the liquidity of the common stock warrants and pre-funded warrants will be limited. </w:t>
      </w:r>
    </w:p>
    <w:p>
      <w:pPr>
        <w:pStyle w:val="TextBody"/>
        <w:bidi w:val="0"/>
        <w:spacing w:lineRule="atLeast" w:line="230" w:before="18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Except for the right to participate in certain dividends and distributions, holders of the common stock warrants, or pre-funded warrants issued upon the exercise of common stock warrants, will have no rights as common stockholders until such holders exercise their common stock warrants, or pre-funded warrants issued upon the exercise of common stock warrants, and acquire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holders of the common stock warrants exercise their applicable common stock warrants or pre-funded warrants, if any, and acquire shares of our common stock, except for the right to participate in certain dividends and distributions, such holders will have no rights with respect to the shares of our common stock underlying such warrants. Upon exercise of the warrants, the holders will be entitled to exercise the rights of a common stockholder only as to matters for which the record date occurs after the exercise date. </w:t>
      </w:r>
    </w:p>
    <w:p>
      <w:pPr>
        <w:pStyle w:val="TextBody"/>
        <w:bidi w:val="0"/>
        <w:spacing w:lineRule="atLeast" w:line="230" w:before="18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Significant holders or beneficial owners of our common stock may not be permitted to exercise the common stock warrants, or pre-funded warrants issued upon the exercise of common stock warrants, that they hold for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common stock or pre-funded warrants, if any, will not be entitled to exercise any portion of such common stock warrants or pre-funded warrants, if any, for common stock if, upon giving effect to such exercise, the holder would beneficially own an aggregate number of shares of our common stock (together with its attribution parties) that exceeds 4.99% or 9.99%, at the initial election of the holder, of the number of shares of our common stock that would be outstanding immediately after giving effect to the exercise, as such percentage ownership is set forth in accordance with the terms of the common stock warrants or pre-funded warrants, if any. The common stock warrants may still be exercised for pre-funded warrants. A holder of pre-funded warrants issued upon the exercise of common stock warrants may elect to increase the maximum ownership percentage under the pre-funded warrants to any other percentage not in excess of 19.99% upon at least 61 days’ prior notice from the holder to us. As a result, you may not be able to exercise your common stock warrants or pre-funded warrants, if any, for shares of our common stock at a time when it would be financially beneficial for you to do so. </w:t>
      </w:r>
    </w:p>
    <w:p>
      <w:pPr>
        <w:pStyle w:val="TextBody"/>
        <w:bidi w:val="0"/>
        <w:spacing w:lineRule="atLeast" w:line="240" w:before="18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warrants are speculative.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the common stock warrants may exercise their right to acquire the common stock and pay an exercise price per share equal to $3.50, subject to certain adjustments, prior to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 (ii) the date that is three years after the date of issuance, after which date any such unexercised warrants will expire and have no further value. Moreover, following this offering, the market value of the common stock warrants, if any, is uncertain and there can be no assurance that the market value of such warrants will equal or exceed their imputed offering price. There can be no assurance that the market price of the common stock will ever equal or exceed the exercise price of the common stock warrants, and consequently, it may not ever be profitable for holders of such warrants to exercise them.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the sale of our common stock and accompanying common stock warrants in this offering will be approximately $117.0 million, excluding any future exercises of common stock warrants and after deducting the underwriting discounts and commissions and estimated offering expenses payable by us. If all of the common stock warrants sold in this offering were to be exercised in cash for shares of our common stock at an exercise price per share equal to $3.50, we would receive additional proceeds of approximately $192.5 million. We cannot predict when or if the common stock warrants will be exercised, and the common stock warrants may expire and never be exercised.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to us from this offering for progression of EDIT-401, including clinical development and manufacturing, and for working capital and other general corporate purposes. We believe opportunities may exist from time to time to expand our current business through acquisitions of or license or collaboration agreements with complementary companies, products, or technologies. While we have no current agreements, commitments or understandings for any specific acquisitions or license or collaboration agreements at this time, we may use a portion of the net proceeds for these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expected use of the net proceeds to us from this offering represents our intentions based upon our current plans and business conditions. The amounts and timing of our actual expenditures may vary significantly depending on numerous factors, including the progress of our research and development efforts, the status of and results from pre-clinical studies and clinical trials, any collaborations that we may enter into with third parties for our programs, and any unforeseen cash needs. As a result, our management will retain broad discretion over the allocation of the net proceeds from this offering. As of March 31, 2026, we had cash and cash equivalents of $123.6 million. We estimate that the net proceeds from this offering, together with our existing cash and cash equivalents, and assuming no exercise of the common stock warrants being issued in this offering, will be sufficient to enable us to fund our operating expenses and capital expenditure requirements into the second half of 2028. We have based this estimate on assumptions that may prove to be wrong, and we could use our available capital resources sooner than we currently expect. We do not expect that the net proceeds from this offering and our existing cash, cash equivalents and marketable securities will be sufficient to enable us to fund the completion of development of any product candidates we may develop.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our use of the proceeds as described above, we intend to invest the proceeds in short-term, interest-bearing, investment-grade securities and U.S. government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securities in this offering, your ownership interest will be diluted to the extent of the difference between the public offering price per share of our common stock and the as adjusted net tangible book value per share of our common stock immediately after this offering. Our net tangible book value as of March 31, 2026 was $4.4 million, or $0.05 per share of common stock based upon 97,901,034 shares outstanding as of March 31, 2026. Net tangible book value per share is equal to our total tangible assets, less our total liabilities, divided by the total number of shares outstanding as of March 31, 2026.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our issuance and sale of 55,555,556 shares of our common stock and accompanying common stock warrants to purchase 55,555,556 shares of our common stock at a combined offering price of $2.25 per share of common stock and accompanying common stock warrant, and after deducting underwriting discounts and commissions and estimated offering expenses payable by us (and assuming no exercise of the common stock warrants being issued in this offering), our as adjusted net tangible book value as of March 31, 2026 would have been $121.4 million, or $0.79 per share. This represents an immediate increase in as adjusted net tangible book value per share of $0.74 to existing stockholders and immediate dilution of $1.46 in as adjusted net tangible book value per share to new investors purchasing common stock in this offering. Dilution per share to new investors is determined by subtracting as adjusted net tangible book value per share after this offering from the public offering purchase price paid by new investors. The following table illustrates this dilution on a per share basis: </w:t>
      </w:r>
    </w:p>
    <w:tbl>
      <w:tblPr>
        <w:tblW w:w="8812" w:type="dxa"/>
        <w:jc w:val="left"/>
        <w:tblInd w:w="1393" w:type="dxa"/>
        <w:tblLayout w:type="fixed"/>
        <w:tblCellMar>
          <w:top w:w="0" w:type="dxa"/>
          <w:left w:w="0" w:type="dxa"/>
          <w:bottom w:w="28" w:type="dxa"/>
          <w:right w:w="0" w:type="dxa"/>
        </w:tblCellMar>
      </w:tblPr>
      <w:tblGrid>
        <w:gridCol w:w="124"/>
        <w:gridCol w:w="6076"/>
        <w:gridCol w:w="109"/>
        <w:gridCol w:w="109"/>
        <w:gridCol w:w="109"/>
        <w:gridCol w:w="226"/>
        <w:gridCol w:w="566"/>
        <w:gridCol w:w="109"/>
        <w:gridCol w:w="109"/>
        <w:gridCol w:w="109"/>
        <w:gridCol w:w="109"/>
        <w:gridCol w:w="226"/>
        <w:gridCol w:w="566"/>
        <w:gridCol w:w="109"/>
        <w:gridCol w:w="156"/>
      </w:tblGrid>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076"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Combined public offering price per share and accompanying common stock warrant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56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66"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2.25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076" w:type="dxa"/>
            <w:tcBorders/>
            <w:tcMar>
              <w:bottom w:w="0" w:type="dxa"/>
            </w:tcMar>
            <w:vAlign w:val="center"/>
          </w:tcPr>
          <w:p>
            <w:pPr>
              <w:pStyle w:val="TableContents"/>
              <w:bidi w:val="0"/>
              <w:spacing w:before="0" w:after="0"/>
              <w:ind w:left="200" w:right="0" w:hanging="0"/>
              <w:jc w:val="left"/>
              <w:rPr>
                <w:spacing w:val="4"/>
              </w:rPr>
            </w:pPr>
            <w:r>
              <w:rPr>
                <w:spacing w:val="4"/>
              </w:rPr>
              <w:t xml:space="preserve">Net tangible book value per share as of March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07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Increase in net tangible book value per share attributable to this offering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0.74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56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076" w:type="dxa"/>
            <w:tcBorders>
              <w:bottom w:val="single" w:sz="2" w:space="0" w:color="FFFFFF"/>
            </w:tcBorders>
            <w:tcMar>
              <w:bottom w:w="50" w:type="dxa"/>
            </w:tcMar>
            <w:vAlign w:val="center"/>
          </w:tcPr>
          <w:p>
            <w:pPr>
              <w:pStyle w:val="TableContents"/>
              <w:bidi w:val="0"/>
              <w:spacing w:before="0" w:after="0"/>
              <w:jc w:val="left"/>
              <w:rPr/>
            </w:pPr>
            <w:r>
              <w:rPr>
                <w:spacing w:val="4"/>
              </w:rPr>
              <w:t>As adjusted net tangible book value per share after giving effect to this offering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5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66" w:type="dxa"/>
            <w:tcBorders>
              <w:bottom w:val="single" w:sz="2" w:space="0" w:color="000000"/>
            </w:tcBorders>
            <w:tcMar>
              <w:bottom w:w="50" w:type="dxa"/>
            </w:tcMar>
            <w:vAlign w:val="center"/>
          </w:tcPr>
          <w:p>
            <w:pPr>
              <w:pStyle w:val="TableContents"/>
              <w:bidi w:val="0"/>
              <w:spacing w:before="0" w:after="283"/>
              <w:jc w:val="right"/>
              <w:rPr/>
            </w:pPr>
            <w:r>
              <w:rPr/>
              <w:t xml:space="preserve">0.79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076" w:type="dxa"/>
            <w:tcBorders/>
            <w:shd w:fill="CCEEFF" w:val="clear"/>
            <w:tcMar>
              <w:bottom w:w="0" w:type="dxa"/>
            </w:tcMar>
            <w:vAlign w:val="center"/>
          </w:tcPr>
          <w:p>
            <w:pPr>
              <w:pStyle w:val="TableContents"/>
              <w:bidi w:val="0"/>
              <w:spacing w:before="0" w:after="0"/>
              <w:jc w:val="left"/>
              <w:rPr>
                <w:spacing w:val="4"/>
              </w:rPr>
            </w:pPr>
            <w:r>
              <w:rPr>
                <w:spacing w:val="4"/>
              </w:rPr>
              <w:t xml:space="preserve">Dilution per share to new investors in this offering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66" w:type="dxa"/>
            <w:tcBorders>
              <w:bottom w:val="double" w:sz="8" w:space="0" w:color="000000"/>
            </w:tcBorders>
            <w:shd w:fill="CCEEFF" w:val="clear"/>
            <w:tcMar>
              <w:bottom w:w="5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holders of common stock warrants exercised all common stock warrants offered in this offering in full for shares of common stock, our as adjusted net tangible book value per share after this offering would be $1.50, representing an immediate increase in net tangible book value per share of $1.45 to existing stockholders and immediate dilution of $0.75 in as adjusted net tangible book value per share to investors participating in this offering.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table and calculations are based on 97,901,034 shares of our common stock outstanding as of March 31, 2026, and excludes: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12,624,535 shares of common stock issuable upon exercise of stock options outstanding as of March 31, 2026, at a weighted-average exercise price of $6.35 per share; </w:t>
      </w:r>
      <w:r>
        <mc:AlternateContent>
          <mc:Choice Requires="wps">
            <w:drawing>
              <wp:anchor behindDoc="0" distT="635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493,689 shares of common stock issuable upon vesting of restricted stock unit awards outstanding as of March 31, 2026;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8,174,276 shares of common stock reserved as of March 31, 2026 for future issuance under our Amended and Restated 2015 Stock Incentive Plan;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2,685,252 shares of common stock reserved as of March 31, 2026 for future issuance under our 2015 Employee Stock Purchase Plan.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information in this prospectus supplement reflects and assumes no exercise of the outstanding options described above, no vesting of the outstanding restricted stock units described above and no exercise of the common stock warrants being issued in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SW"/>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WE ARE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certain terms and conditions of the common stock and common stock warrants being offered in this offering, and the pre-funded warrants that may be issued upon the exercise of common stock warrants. The following description is subject in all respects to the provisions contained in the instruments governing the applicable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and provisions of our common stock are described under the heading “Description of Capital Stock” in the accompanying prospectus. Our authorized capital stock consists of 390,000,000 shares of common stock, par value $0.0001 per share, and 5,000,000 shares of preferred stock, par value $0.0001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Form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warrants will be issued as individual warrant agreements to the purchasers. The form of common stock warrant was filed as an exhibit to the Current Report on Form 8-K that we filed on May 26, 2026 with the SEC.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and Exercisability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warrants will be exercisable from the date of issuance and will expire on the earlier of (i) the date that is 30 days following the first public announcement by us of Phase 1 clinical data for our product candidate, EDIT-401, that discloses at least three patients in the trial that each demonstrated greater than 80% reduction in LDL-cholesterol as compared to baseline with at least one (1) month of follow-up and (ii) the date that is three years after the date of issuance. The common stock warrants will be exercisable solely by means of a cash exercise at the option of each holder, in whole or in part, by delivering to us a duly executed exercise notice and the exercise price, subject to a limited exception as set forth in the common stock warrant.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Limitations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effect the exercise of any common stock warrant, and a holder will not be entitled to exercise any portion of any common stock warrant that, upon giving effect to such exercise, would cause: (1) the aggregate number of shares of our common stock beneficially owned by such holder (together with its affiliates) to exceed 4.99% or 9.99%, as elected by the holder, of the number of shares of our common stock outstanding immediately after giving effect to the exercise; or (2)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common stock warrant. However, any holder of a common stock warrant may increase or decrease such percentage to any other percentage not in excess of 19.99% provided that any such increase will not be effective until the 61st day after notice from the holder is delivered to us.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specified limitations described above restrict the exercise of the common stock warrants, a holder may choose, in lieu of receiving common stock upon exercise of such warrants, to receive a pre-funded warrant to purchase an identical number of shares of common stock it would have received upon the exercise of its common stock warrants; except that the applicable exercise price shall instead be the exercise price less $0.0001 per share, and the resulting issued pre-funded warrant shall have an exercise price of $0.0001 per share.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Price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per share of our common stock purchasable upon the exercise of the common stock warrants is $3.50, or $3.4999 per pre-funded warrant if the holder elects to exercise the common stock warrant for pre-funded warrants. The exercise price of the common stock warrants and the number of shares of our common stock issuable upon exercise of the common stock warrants are subject to appropriate adjustment in the event of certain stock dividends and distributions, stock splits, stock combinations, reclassifications or similar events affecting our common stock, as well as upon any distribution of assets, including cash,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other securities, property, options, evidence of indebtedness or any other assets, to our stockholders. The exercise price of the common stock warrants will not be adjusted below the par value of our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the common stock warrants may be offered for sale, sold, transferred or assigned without our consent.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Listing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the common stock warrants, and we do not expect a market to develop. We do not intend to list the common stock warrants on the Nasdaq Global Select Market, any other national securities exchange or any other nationally recognized trading system.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Transactions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a fundamental transaction (as described in the common stock warrant, and generally including any merger or consolidation with or into another person in which we are not the surviving entity, the sale of all or substantially all of our assets, the acquisition of more than 50% of our outstanding common stock, or any person or group becoming the beneficial owner of more than 50% of the voting power of our outstanding common stock, or any reclassification or compulsory share exchange pursuant to which our common stock is effectively converted into or exchanged for other securities, cash or property), the holders of the common stock warrant will have the right to receive, upon exercise of the common stock warrant, the same amount and kind of securities, cash or property that such holders would have been entitled to receive had they exercised the common stock warrant immediately prior to such fundamental transaction, without regard to any limitations on exercise contained in the common stock warrant.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Rights as a Stockholder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by virtue of such holder’s ownership of shares of our common stock, and except for the right to participate in certain dividends and distributions, the holder of a common stock warrant does not have the rights or privileges of a holder of our common stock, including any voting rights, until such holder receives shares of our common stock upon the due exercise of a common stock warrant.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Form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will be issued as individual warrant agreements to the holders of common stock warrants who elect to exercise their common stock warrants for pre-funded warrants. The form of pre-funded warrant is attached as an exhibit to the form of common stock warrant that was filed as an exhibit to the Current Report on Form 8-K that we filed on May 26, 2026 with the SEC.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w:t>
      </w:r>
    </w:p>
    <w:p>
      <w:pPr>
        <w:pStyle w:val="TextBody"/>
        <w:bidi w:val="0"/>
        <w:spacing w:lineRule="atLeast" w:line="220" w:before="11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will expire on the date the pre-funded warrant is exercised in full.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are exercisable at any time after their original issuance, subject to the exercisability limitations described below. The holder of the pre-funded warrant may exercise the pre-funded warrant by delivering an exercise notice, completed and duly signed, and 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 No fractional shares of our common stock will be issued in connection with the exercise of a pre-funded warrant. In lieu of fractional shares that would otherwise be issuable, the number of shares of common stock to be issued shall be rounded down to the next whole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Limitations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effect the exercise of any pre-funded warrant, and a holder will not be entitled to exercise any portion of any pre-funded warrant that, upon giving effect to such exercise, would cause: (1) the aggregate number of shares of our common stock beneficially owned by such holder (together with its affiliates) to exceed 4.99% or 9.99%, as elected by the holder, of the number of shares of our common stock outstanding immediately after giving effect to the exercise; or (2)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pre-funded warrant. However, any holder of a pre-funded warrant may increase or decrease such percentage to any other percentage not in excess of 19.99% provided that such increase will not be effective until the 61st day after notice from the holder is delivered to 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Price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our common stock purchasable upon the exercise of the pre-funded warrants is $0.0001 per share.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as well as upon any distribution of assets, including cash, stock or other securities, property, options, evidence of indebtedness or any other assets, to our stockholders. The exercise price of the pre-funded warrants will not be adjusted below the par value of our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the pre-funded warrants may be offered for sale, sold, transferred or assigned without our consent.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Listing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the pre-funded warrants, and we do not expect a market to develop. We do not intend to list the pre-funded warrants on the Nasdaq Global Select Market, any other national securities exchange or any other nationally recognized trading system.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Transactions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a fundamental transaction (as described in the pre-funded warrant, and generally including any merger or consolidation with or into another person in which we are not the surviving entity, the sale of all or substantially all of our assets, the acquisition of more than 50% of our outstanding common stock, or any person or group becoming the beneficial owner of more than 50% of the voting power of our outstanding common stock, or any reclassification or compulsory share exchange pursuant to which our common stock is effectively converted into or exchanged for other securities, cash or property), the holders of the pre-funded warrant will have the right to receive, upon exercise of the pre-funded warrant, the same amount and kind of securities, cash or property that such holders would have been entitled to receive had they exercised the pre-funded warrant immediately prior to such fundamental transaction, without regard to any limitations on exercise contained in the pre-funded warrant.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Rights as a Stockholder </w:t>
      </w:r>
    </w:p>
    <w:p>
      <w:pPr>
        <w:pStyle w:val="TextBody"/>
        <w:bidi w:val="0"/>
        <w:spacing w:lineRule="atLeast" w:line="22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by virtue of such holder’s ownership of shares of our common stock, and except for the right to participate in certain dividends and distributions, the holder of a pre-funded warrant does not have the rights or privileges of a holder of our common stock, including any voting rights, until such holder exercises the pre-funded warrant.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T"/>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TAX CONSIDERATIONS FOR HOLDERS OF COMMON STOCK, COMMON STOCK WARRANTS AND 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material U.S. federal income and estate tax considerations relating to ownership and disposition of our common stock and common stock warrants acquired in this offering and pre-funded warrants acquired upon exercise of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(other than a partnership or other pass-through entity) of our common stock, pre-funded warrants or common stock warrants that is,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is, for U.S. federal income tax purposes, a beneficial owner of common stock, pre-funded warrants or common stock warrants that is not a U.S. holder or a partnership or other pass-through entity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the tax treatment of partnerships or other entities or arrangements that are pass-through entities for U.S. federal income tax purposes or persons who hold their shares of our common stock, pre-funded warrants or common stock warrants through partnerships or such other pass-through entities or arrangements. A partner in a partnership or other pass-through entity that will hold our common stock, pre-funded warrants or common stock warrants should consult his, her or its own tax advisor regarding the tax consequences of the ownership and disposition of our common stock, pre-funded warrants or common stock warrants through a partnership or other pass-through entity, as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current provisions of the Internal Revenue Code of 1986, or the Code,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holders described in this prospectus supplement. We have not requested a ruling from the Internal Revenue Service, or the IRS, with respect to the statements made and the conclusions reached in the following discussion and there can be no assurance that the IRS will not challenge one or more of the tax consequences described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in this discussion that each holder holds shares of our common stock, pre-funded warrants or common stock warrants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aspects of U.S. state, local or non-U.S. taxes, gift or estate taxes, except as described below with respect to non-U.S. holders, any minimum tax, the special tax accounting rules under Section 451(b) of the Code or the Medicare tax on net investment income. This discussion also does not consider any specific facts or circumstances that may apply to a holder and does not address the special tax rules applicable to particular holders,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financial institutions, or investment funds;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and governmental organizations;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plans, including “qualified foreign pension funds” as defined in Section 897(l)(2) of the Code and entities all of the interests of which are held by qualified foreign pension funds;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pre-funded warrants or common stock warrants under the constructive sale provisions of the Code; </w:t>
      </w:r>
      <w:r>
        <mc:AlternateContent>
          <mc:Choice Requires="wps">
            <w:drawing>
              <wp:anchor behindDoc="0" distT="0" distB="0" distL="254000" distR="0" simplePos="0" locked="0" layoutInCell="1" allowOverlap="1" relativeHeight="25">
                <wp:simplePos x="0" y="0"/>
                <wp:positionH relativeFrom="column">
                  <wp:align>left</wp:align>
                </wp:positionH>
                <wp:positionV relativeFrom="line">
                  <wp:posOffset>635</wp:posOffset>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our common stock, pre-funded warrants or common stock warrants as part of a straddle, hedge, conversion transaction, synthetic security or other integrated investment or who have elected to mark securities to market; </w:t>
      </w:r>
      <w:r>
        <mc:AlternateContent>
          <mc:Choice Requires="wps">
            <w:drawing>
              <wp:anchor behindDoc="0" distT="7239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239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239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our common stock or pre-funded warrants that constitute “qualified small business stock” under Section 1202 of the Code, or “Section 1244 stock” under Section 1244 of the Code;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governments; and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expatriates and former citizens or former long-term residents of the United States.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 PRE-FUNDED WARRANTS OR COMMON STOCK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 of Purchase Price to Common Stock and Common Stock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federal income tax purposes, a holder’s acquisition of the common stock warrants and common stock should be treated as the acquisition of an “investment unit” consisting of one share of common stock and a warrant to acquire one share of our common stock, subject to adjustment. The purchase price for each investment unit will be allocated between these two components in proportion to their relative fair market values at the time the unit is purchased by the holder. This allocation of the purchase price for each unit will establish the holder’s initial tax basis for U.S. federal income tax purposes in the common stock and the common stock warrant included in each unit. The separation of the share of common stock and the common stock warrant included in each unit should not be a taxable event for U.S. federal income tax purposes. Each holder should consult his, her or its own tax advisor regarding the allocation of the purchase price for a unit.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Pre-Funded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entirely free from doubt, a pre-funded warrant should be treated as a share of our common stock for U.S. federal income tax purposes and a holder of pre-funded warrants should generally be taxed in the same manner as a holder of common stock as described below. Accordingly, upon exercise, no gain or loss should be recognized and the holding period of a pre-funded warrant should carry over to the share of common stock received. Similarly, the tax basis of the pre-funded warrant should carry over to the share of common stock received upon exercise increased by the exercise price per share. Our characterization is not binding on the IRS, and the IRS may treat our pre-funded warrants as warrants to acquire shares of our common stock. Each holder should consult his, her or its own tax advisor regarding the risks associated with the acquisition of a pre-funded warrant upon the exercise of a common stock warrant (including potential alternative characterizations). The balance of this discussion generally assumes that the characterization described above is respected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Considerations Applicable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and Expiration of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not recognize gain or loss for U.S. federal income tax purposes upon exercise of a common stock warrant. The U.S. holder will take a tax basis in the shares of common stock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pre-funded warrants acquired on the exercise of a common stock warrant equal to the exercise price of the warrant, increased by the U.S. holder’s adjusted tax basis in the common stock warrant exercised (as determined pursuant to the rules discussed above). The U.S. holder’s holding period in the shares of our common stock or pre-funded warrants acquired on exercise of the common stock warrant will begin on the date of exercise of the warrant (or possibly, the day after), and will not include any period for which the U.S. holder held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lapse or expiration of a common stock warrant will be treated as if the U.S. holder sold or exchanged the common stock warrant and recognized a loss in an amount equal to the U.S. holder’s tax basis in the common stock warrant. Any such loss generally will be a capital loss and will be long-term capital loss if the common stock warrant is held for more than one year. The deductibility of capital losses is subject to limitations.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Adjustments to and Distributions on the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305 of the Code, an adjustment to (or failure to adjust) the number of shares of common stock issued on the exercise of the common stock warrants, or an adjustment to (or failure to adjust) the exercise price of the common stock warrants, may be treated as a constructive distribution to a U.S. holder of the common stock warrants if, and to the extent that, such adjustment (or failure to adjust) has the effect of increasing such U.S. holder’s proportionate interest in our “earnings and profits” or assets, as determined under U.S. federal income tax principles, depending on the circumstances of such adjustment. An adjustment made pursuant to a bona fide reasonable adjustment formula that has the effect of preventing dilution should generally not be considered to result in a constructive distribution. Any such constructive distribution would be taxable whether or not there is an actual distribution in cash or other property to the holders of common stock warrants. For more information regarding the tax considerations related to distributions, see the discussion below regarding “Tax Considerations Applicable to U.S. Holders —  Distributions on Common Stock and Pre-Funded Warrants”. U.S. holders should consult their tax advisors regarding the proper treatment of any adjustments to and distributions on the common stock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on Common Stock and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cash dividends on our common stock. We currently intend to retain all of our future earnings, if any, to finance the growth and development of our business. However, if we make distributions in respect of our common stock or pre-funded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the holder’s tax basis in the common stock or pre-funded warrants (and will reduce the U.S. holder’s basis in the common stock or pre-funded warrants, but not below zero). Any remaining excess will be treated as capital gain, subject to the tax treatment described below under the heading “Tax Considerations Applicable to U.S. Holders — Gain on Sale, Exchange or Other Taxable Disposition of Our Common Stock, Pre-Funded Warrants or Common Stock Warrants.” </w:t>
      </w:r>
    </w:p>
    <w:p>
      <w:pPr>
        <w:pStyle w:val="TextBody"/>
        <w:bidi w:val="0"/>
        <w:spacing w:lineRule="atLeast" w:line="23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Gain on Sale, Exchange or Other Taxable Disposition of Our Common Stock, Pre-Funded Warrants or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sale, exchange or other taxable disposition of our common stock, pre-funded warrants or common stock warrants (other than by exercise), a U.S. holder generally will recognize capital gain or loss in an amount equal to the difference between the amount of cash and the fair market value of any property received upon the sale, exchange or other taxable disposition and the U.S. holder’s adjusted tax basis in the common stock, pre-funded warrants or common stock warrants, as applicable. Capital gain or loss will constitute long-term capital gain or loss if the U.S. holder’s holding period for the common stock, pre-funded warrants or common stock warrants, as applicable, exceeds one year. Long-term capital gains recognized 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common stock, pre-funded warrants or common stock warrants should consult their own tax advisors regarding the tax treatment of such losses.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generally will apply to distributions (including constructive distributions) on the common stock, pre-funded warrants or common stock warrants and to the proceeds of a sale or other disposition of common stock, pre-funded warrants or common stock warrants paid by us to a U.S. holder unless such U.S. holder is an exempt recipient from backup withholding, such as C corporations and certain tax-exempt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Considerations Applicable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and Expiration of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holder will not be subject to U.S. federal income tax on the exercise of the common stock warrants into shares of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lapse of a common stock warrant will be treated as if the non-U.S. holder sold or exchanged the warrant and recognized a capital loss equal to the non-U.S. holder’s tax basis in the common stock warrant. However, a non-U.S. holder will not be able to utilize a loss recognized upon expiration or lapse of a common stock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maintained by the non-U.S. holder in the United States) or is treated as a U.S.-source loss and the non-U.S. holder is present in the United States for 183 days or more in the taxable year of disposition and certain other conditions are met.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Adjustments to and Distributions on the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“Tax Considerations Applicable to U.S. Holders — Certain Adjustments to and Distributions on the Common Stock Warrants”, an adjustment to the common stock warrants could result in a constructive distribution to a non-U.S. holder, which would be treated as described under “Tax Considerations Applicable to Non-U.S. Holders — Distributions on our Common Stock or Pre-Funded Warrants” below. Any resulting withholding tax attributable to deemed dividends would be collected from other amounts payable or distributable to the non-U.S. holder. Non-U.S. holders should consult their tax advisors regarding the proper treatment of any adjustments to and distributions on the common stock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on our Common Stock or Pre-Funded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distributions in respect of our common stock or pre-funded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holder’s tax basis in the common stock or pre-funded warrants (and will reduce the non-U.S. holder’s basis in the common stock or pre-funded warrants, but not below zero). Any remaining excess will be treated as capital gain, subject to the tax treatment described below under the heading “Tax Considerations Applicable to Non-U.S. Holders — Gain on Sale, Exchange or Other Taxable Disposition of Our Common Stock, Pre-Funded Warrants or Common Stock Warrants.” Any distributions will also be subject to the discussions below under the headings “Tax Considerations Applicable to Non-U.S. Holders — Information Reporting and Backup Withholding” and “— FATCA.”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dividends paid to a non-U.S. holder generally will be subject to withholding of U.S. federal income tax at a 30% rate or such lower rate as may be specified by an applicable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treaty between the United States and such holder’s country of residence. A non-U.S. holder of our common stock or pre-funded warrants who claims the benefit of an applicable income tax treaty between the United States and such holder’s country of residence generally will be required to provide us or our paying agent with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Non-U.S. holders should consult their tax advisors with respect to other U.S. tax consequences of the ownership and disposition of our common stock and pre-funded warrants, including the possible imposition of the branch profits tax. </w:t>
      </w:r>
    </w:p>
    <w:p>
      <w:pPr>
        <w:pStyle w:val="TextBody"/>
        <w:bidi w:val="0"/>
        <w:spacing w:lineRule="atLeast" w:line="23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Gain on Sale, Exchange or Other Taxable Disposition of Our Common Stock, Pre-Funded Warrants or Common Stock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under “Tax Considerations Applicable to Non-U.S. Holders —  Information Reporting and Backup Withholding” and “— FATCA,” a non-U.S. holder generally will not be subject to U.S. federal income tax on any gain realized upon such non-U.S. holder’s sale, exchange or other disposition of our common stock, pre-funded warrants or common stock warrants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same U.S. federal income tax rates applicable to U.S. persons (as defined in the Code), and, if the non-U.S. holder is a foreign corporation, the branch profits tax described above under the heading “Tax Considerations Applicable to Non-U.S. Holders — Distributions on our Common Stock or Pre-funded Warrants” may also apply;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provided that the non-U.S. holder has timely filed U.S. federal income tax returns with respect to such losses; or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at any time during the five-year period preceding such disposition (or the non-U.S. holder’s (in the case of a non-U.S. holder of our common stock)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Special rules may apply to a holder of a pre-funded warrant or common stock warrants. Non-U.S. holders are urged to consult their own tax advisors regarding the application of these rules to pre-funded warrants or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warrants.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if the fair market value of its “U.S. real property interests,” as defined in the Code,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 Federal Estate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or pre-funded warrants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 The foregoing may also apply to common stock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report annually to the IRS and to each non-U.S. holder the gross amount of the distributions (including constructive distributions) on our common stock, pre-funded warrants or common stock warrants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with respect to distributions on our common stock or pre-funded warrants.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“Tax Considerations Applicable to Non-U.S. Holders — Distributions on Common Stock or Pre-funded Warrants,” will generally be exempt from U.S. backup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backup withholding generally will apply to the proceeds of a disposition of our common stock, pre-funded warrants or common stock warrants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Non-U.S. holders should consult their own tax advisors regarding the application of the information reporting and backup withholding rules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FATCA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the Code commonly referred to as the Foreign Account Tax Compliance Act, or FATCA, generally impose a 30% withholding tax on dividends on, and gross proceeds from the sale or other disposition of, our common stock, pre-funded warrants or common stock warrants if paid to a foreign entity unless (1) if the foreign entity is a “foreign financial institution” ​(which is broadly defined for this purpose and in general includes investment vehicles), the foreign entity undertakes certain due diligence,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withholding, and certification obligations, (2) if the foreign entity is not a “foreign financial institution,” the foreign entity identifies certain of its U.S. investors, or (3) the foreign entity is otherwise excepted under FATCA.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under FATCA generally applies to payments of dividends (including constructive dividends) on our common stock, pre-funded warrants or common stock warrants. While withholding under FATCA may apply to payments of gross proceeds from a sale or other disposition of our common stock, pre-funded warrants or common stock warrants, withholding on payments of gross proceeds is not required under proposed U.S. Treasury Regulations. Although such regulations are not final, applicable withholding agents may rely on the proposed regulations until final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withholding under FATCA is required on any payment related to our common stock, pre-funded warrants or common stock warrants,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pre-funded warrants or common stock warrants and the entities through which they hold our common stock, pre-funded warrants or common stock warrants.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pre-funded warrants or common stock warrants, including the consequences of any proposed changes in applicable laws.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the shares of common stock and common stock warrants described in this prospectus supplement through a number of underwriters. Cantor Fitzgerald &amp; Co. and Wells Fargo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accompanying common stock warrants listed next to its name in the following table: </w:t>
      </w:r>
    </w:p>
    <w:tbl>
      <w:tblPr>
        <w:tblW w:w="6808" w:type="dxa"/>
        <w:jc w:val="left"/>
        <w:tblInd w:w="1393" w:type="dxa"/>
        <w:tblLayout w:type="fixed"/>
        <w:tblCellMar>
          <w:top w:w="0" w:type="dxa"/>
          <w:left w:w="0" w:type="dxa"/>
          <w:bottom w:w="43" w:type="dxa"/>
          <w:right w:w="0" w:type="dxa"/>
        </w:tblCellMar>
      </w:tblPr>
      <w:tblGrid>
        <w:gridCol w:w="2976"/>
        <w:gridCol w:w="109"/>
        <w:gridCol w:w="109"/>
        <w:gridCol w:w="116"/>
        <w:gridCol w:w="116"/>
        <w:gridCol w:w="1273"/>
        <w:gridCol w:w="116"/>
        <w:gridCol w:w="109"/>
        <w:gridCol w:w="109"/>
        <w:gridCol w:w="116"/>
        <w:gridCol w:w="116"/>
        <w:gridCol w:w="1272"/>
        <w:gridCol w:w="117"/>
        <w:gridCol w:w="154"/>
      </w:tblGrid>
      <w:tr>
        <w:trPr/>
        <w:tc>
          <w:tcPr>
            <w:tcW w:w="29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of </w:t>
            </w:r>
            <w:r>
              <w:rPr/>
              <w:br/>
            </w: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Accompanying</w:t>
            </w:r>
            <w:r>
              <w:rPr/>
              <w:t xml:space="preserve"> </w:t>
              <w:br/>
            </w:r>
            <w:r>
              <w:rPr>
                <w:spacing w:val="-3"/>
              </w:rPr>
              <w:t>Common Stock</w:t>
            </w:r>
            <w:r>
              <w:rPr/>
              <w:t xml:space="preserve"> </w:t>
              <w:br/>
            </w:r>
            <w:r>
              <w:rPr>
                <w:spacing w:val="-3"/>
              </w:rPr>
              <w:t xml:space="preserve">Warrants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spacing w:val="4"/>
              </w:rPr>
            </w:pPr>
            <w:r>
              <w:rPr>
                <w:spacing w:val="4"/>
              </w:rPr>
              <w:t xml:space="preserve">Cantor Fitzgerald &amp; Co.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273" w:type="dxa"/>
            <w:tcBorders/>
            <w:shd w:fill="CCEEFF" w:val="clear"/>
            <w:tcMar>
              <w:bottom w:w="0" w:type="dxa"/>
            </w:tcMar>
            <w:vAlign w:val="center"/>
          </w:tcPr>
          <w:p>
            <w:pPr>
              <w:pStyle w:val="TableContents"/>
              <w:bidi w:val="0"/>
              <w:spacing w:before="0" w:after="283"/>
              <w:jc w:val="right"/>
              <w:rPr/>
            </w:pPr>
            <w:r>
              <w:rPr/>
              <w:t>33,333,334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272" w:type="dxa"/>
            <w:tcBorders/>
            <w:shd w:fill="CCEEFF" w:val="clear"/>
            <w:tcMar>
              <w:bottom w:w="0" w:type="dxa"/>
            </w:tcMar>
            <w:vAlign w:val="center"/>
          </w:tcPr>
          <w:p>
            <w:pPr>
              <w:pStyle w:val="TableContents"/>
              <w:bidi w:val="0"/>
              <w:spacing w:before="0" w:after="283"/>
              <w:jc w:val="right"/>
              <w:rPr/>
            </w:pPr>
            <w:r>
              <w:rPr/>
              <w:t>33,333,334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76"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73" w:type="dxa"/>
            <w:tcBorders/>
            <w:tcMar>
              <w:bottom w:w="0" w:type="dxa"/>
            </w:tcMar>
            <w:vAlign w:val="center"/>
          </w:tcPr>
          <w:p>
            <w:pPr>
              <w:pStyle w:val="TableContents"/>
              <w:bidi w:val="0"/>
              <w:spacing w:before="0" w:after="283"/>
              <w:jc w:val="right"/>
              <w:rPr/>
            </w:pPr>
            <w:r>
              <w:rPr/>
              <w:t>22,222,222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72" w:type="dxa"/>
            <w:tcBorders/>
            <w:tcMar>
              <w:bottom w:w="0" w:type="dxa"/>
            </w:tcMar>
            <w:vAlign w:val="center"/>
          </w:tcPr>
          <w:p>
            <w:pPr>
              <w:pStyle w:val="TableContents"/>
              <w:bidi w:val="0"/>
              <w:spacing w:before="0" w:after="283"/>
              <w:jc w:val="right"/>
              <w:rPr/>
            </w:pPr>
            <w:r>
              <w:rPr/>
              <w:t>22,222,222</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76"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73" w:type="dxa"/>
            <w:tcBorders>
              <w:bottom w:val="double" w:sz="8" w:space="0" w:color="000000"/>
            </w:tcBorders>
            <w:shd w:fill="CCEEFF" w:val="clear"/>
            <w:tcMar>
              <w:bottom w:w="50" w:type="dxa"/>
            </w:tcMar>
            <w:vAlign w:val="center"/>
          </w:tcPr>
          <w:p>
            <w:pPr>
              <w:pStyle w:val="TableContents"/>
              <w:bidi w:val="0"/>
              <w:spacing w:before="0" w:after="283"/>
              <w:jc w:val="right"/>
              <w:rPr/>
            </w:pPr>
            <w:r>
              <w:rPr/>
              <w:t>55,555,556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72" w:type="dxa"/>
            <w:tcBorders>
              <w:bottom w:val="double" w:sz="8" w:space="0" w:color="000000"/>
            </w:tcBorders>
            <w:shd w:fill="CCEEFF" w:val="clear"/>
            <w:tcMar>
              <w:bottom w:w="50" w:type="dxa"/>
            </w:tcMar>
            <w:vAlign w:val="center"/>
          </w:tcPr>
          <w:p>
            <w:pPr>
              <w:pStyle w:val="TableContents"/>
              <w:bidi w:val="0"/>
              <w:spacing w:before="0" w:after="283"/>
              <w:jc w:val="right"/>
              <w:rPr/>
            </w:pPr>
            <w:r>
              <w:rPr/>
              <w:t>55,555,556</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committed to purchase all the common shares and common stock warrants offered by us if they purchase any securities. The underwriting agreement also provides that if an underwriter defaults, the purchase commitments of non-defaulting underwriters may also be increased or the offering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common shares and accompanying common stock warrants directly to the public at the initial public offering prices set forth on the cover page of this prospectus supplement and to certain dealers at that price less a concession not in excess of $0.081 per share and accompanying common stock warrant. Any such dealers may resell shares to certain other brokers or dealers at a discount of up to $0.081 per share and accompanying common stock warrant from the initial public offering price. After the initial offering of the securities to the public, if all of the securities are not sold at the initial public offering price, the underwriters may change the offering price and the other selling terms. Sales of any securities made outside of the United States may be made by affiliates of the underwriters.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fee is equal to the public offering purchase price of the securities in this offering less the amount paid by the underwriters to us for the securities.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no later than five business days following the end of each calendar quarter during which any common stock warrants remain outstanding, the Company shall (i) deliver to the representatives a report detailing exercises of common stock warrants and the aggregate amount of consideration received by or payable to the Company with respect to such exercises and (ii) pay to the underwriters a fee equal to 1.0% of such consideration. </w:t>
      </w:r>
    </w:p>
    <w:tbl>
      <w:tblPr>
        <w:tblW w:w="8812" w:type="dxa"/>
        <w:jc w:val="left"/>
        <w:tblInd w:w="1393" w:type="dxa"/>
        <w:tblLayout w:type="fixed"/>
        <w:tblCellMar>
          <w:top w:w="0" w:type="dxa"/>
          <w:left w:w="0" w:type="dxa"/>
          <w:bottom w:w="28" w:type="dxa"/>
          <w:right w:w="0" w:type="dxa"/>
        </w:tblCellMar>
      </w:tblPr>
      <w:tblGrid>
        <w:gridCol w:w="4187"/>
        <w:gridCol w:w="109"/>
        <w:gridCol w:w="109"/>
        <w:gridCol w:w="196"/>
        <w:gridCol w:w="409"/>
        <w:gridCol w:w="1174"/>
        <w:gridCol w:w="200"/>
        <w:gridCol w:w="109"/>
        <w:gridCol w:w="109"/>
        <w:gridCol w:w="109"/>
        <w:gridCol w:w="109"/>
        <w:gridCol w:w="1726"/>
        <w:gridCol w:w="109"/>
        <w:gridCol w:w="157"/>
      </w:tblGrid>
      <w:tr>
        <w:trPr/>
        <w:tc>
          <w:tcPr>
            <w:tcW w:w="41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Share of </w:t>
            </w:r>
            <w:r>
              <w:rPr/>
              <w:br/>
            </w:r>
            <w:r>
              <w:rPr>
                <w:spacing w:val="-3"/>
              </w:rPr>
              <w:t xml:space="preserve">Common Stock </w:t>
            </w:r>
            <w:r>
              <w:rPr/>
              <w:br/>
            </w:r>
            <w:r>
              <w:rPr>
                <w:spacing w:val="-3"/>
              </w:rPr>
              <w:t xml:space="preserve">and Accompanying </w:t>
            </w:r>
            <w:r>
              <w:rPr/>
              <w:br/>
            </w:r>
            <w:r>
              <w:rPr>
                <w:spacing w:val="-3"/>
              </w:rPr>
              <w:t xml:space="preserve">Common Stock </w:t>
            </w:r>
            <w:r>
              <w:rPr/>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5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Totals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187"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40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 xml:space="preserve">2.25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26" w:type="dxa"/>
            <w:tcBorders/>
            <w:shd w:fill="CCEEFF" w:val="clear"/>
            <w:tcMar>
              <w:bottom w:w="0" w:type="dxa"/>
            </w:tcMar>
            <w:vAlign w:val="center"/>
          </w:tcPr>
          <w:p>
            <w:pPr>
              <w:pStyle w:val="TableContents"/>
              <w:bidi w:val="0"/>
              <w:spacing w:before="0" w:after="283"/>
              <w:jc w:val="right"/>
              <w:rPr/>
            </w:pPr>
            <w:r>
              <w:rPr/>
              <w:t>125,000,001.000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187"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40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 xml:space="preserve">0.135 </w:t>
            </w:r>
          </w:p>
        </w:tc>
        <w:tc>
          <w:tcPr>
            <w:tcW w:w="2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726" w:type="dxa"/>
            <w:tcBorders/>
            <w:tcMar>
              <w:bottom w:w="0" w:type="dxa"/>
            </w:tcMar>
            <w:vAlign w:val="center"/>
          </w:tcPr>
          <w:p>
            <w:pPr>
              <w:pStyle w:val="TableContents"/>
              <w:bidi w:val="0"/>
              <w:spacing w:before="0" w:after="283"/>
              <w:jc w:val="right"/>
              <w:rPr/>
            </w:pPr>
            <w:r>
              <w:rPr/>
              <w:t>7,500,000.060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18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40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 xml:space="preserve">2.115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726" w:type="dxa"/>
            <w:tcBorders/>
            <w:shd w:fill="CCEEFF" w:val="clear"/>
            <w:tcMar>
              <w:bottom w:w="0" w:type="dxa"/>
            </w:tcMar>
            <w:vAlign w:val="center"/>
          </w:tcPr>
          <w:p>
            <w:pPr>
              <w:pStyle w:val="TableContents"/>
              <w:bidi w:val="0"/>
              <w:spacing w:before="0" w:after="283"/>
              <w:jc w:val="right"/>
              <w:rPr/>
            </w:pPr>
            <w:r>
              <w:rPr/>
              <w:t>117,500,000.940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including registration, filing and listing fees, printing fees and legal and accounting expenses, but excluding the underwriting discounts and commissions, will be approximately $506,000.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in electronic format may be made available on the web sites maintained by one or more underwriters, or selling group members, if any, participating in the offering. The underwriters may agree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allocate a number of shares and accompanying common stock warrants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each of our executive officers and directors, have agreed that, without the prior written consent of the representatives, we and each of our executive officers and directors will not, subject to limited exceptions, during the period ending 90 days after the date of this prospectus supplement, or the restricted period: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beneficially owned by us or them or any other securities so owned convertible into or exercisable or exchangeable for common stock;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swap or other arrangement that transfers to another, in whole or in part, any of the economic consequences of ownership of the common stock; or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disclose the intention to make any such offer, pledge, sale, contract, purchase, grant, loan, transfer, or disposition, or enter into any such swap or other arrangement whether any such transaction described above is to be settled by delivery of common stock or such other securities, in cash or otherwise. In addition, we and each such person have agreed that, without the prior written consent of the representatives on behalf of the underwriters, we will not file any registration statement with the SEC relating to the offering of, or such other person will not, during the restricted period of 90 days, make any demand for or exercise any right with respect to the registration of any shares of common stock or any security convertible into or exercisable or exchangeable for common stock.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immediately preceding paragraph do not apply to certain transactions,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securities to the underwriters, the issuance by us of pre-funded warrants upon the exercise of common stock warrants issued in this offering, or the issuance by us of common stock upon the exercise of the common stock warrants issued in this offering or pre-funded warrants issued upon exercise of such common stock warrants;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by us of shares of common stock upon the exercise of an option or a warrant or the vesting of a restricted stock unit or the conversion of a security outstanding on the date of this prospectus supplement and described in this prospectus supplement or the accompanying prospectus or any document incorporated by reference herein or therein, of which the underwriters have been advised in writing;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by us of any options and other awards granted under a stock incentive plan or stock purchase plan described in this prospectus supplement or the accompanying prospectus or any document incorporated by reference herein or therein (and the issuance by us of shares of common stock upon the exercise thereof) or pursuant to Nasdaq Stock Market Rule 5635(c)(4);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by us of any registration statement on Form S-8 or a successor form thereto relating to the shares of common stock granted pursuant to or reserved for issuance under a stock incentive plan or stock purchase plan described in this prospectus supplement or the accompanying prospectus or any document incorporated by reference herein or therein or inducement awards pursuant to Nasdaq Stock Market Rule 5635(c)(4);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by us of a resale registration statement on Form S-3 relating to the shares of common stock issuable upon settlement of promissory notes issued in satisfaction of payment obligations under our existing licensing agreements described in this prospectus supplement or the accompanying prospectus or any document incorporated by reference herein or therein;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issuance by us of shares of common stock issued in satisfaction of payment obligations under licensing agreements where our payment obligations may be satisfied by the issuance of promissory notes that may be settled in shares of common stock, and described in this prospectus supplement or the accompanying prospectus or any document incorporated by reference herein or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or (b) the issuance by us of shares of common stock or other securities issued in connection with any (i) mergers, (ii) acquisition of securities, businesses, property or other assets, (iii) joint ventures, (iv) strategic alliances, (v) partnerships with experts or other talent to develop or provide content, (vi) equipment leasing arrangements or (vii) debt financing; provided that (x) the aggregate number of shares of common stock or other securities issued pursuant to exceptions described in this bullet point shall not exceed in the aggregate 10.0% of the total number of shares of common stock then outstanding at the first such issuance (determined, in the case of any such other securities, based on the maximum number of shares of common stock issuable upon conversion, exercise or exchange of such other securities, whether or not such others securities are then convertible into or exercisable or exchangeable for shares of common stock) and (y) each recipient of any such shares of common stock or other securities issued pursuant to clause (b) of this bullet point shall execute and deliver to the representatives a lock-up agreement with restrictions substantially similar to those described in this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transactions by any person other than us relating to shares of common stock or other securities acquired in open market transactions after the completion of the offering of the securities;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transfers by any person other than us of shares of common stock or any security convertible into common stock as a bona fide gift, transfers or dispositions of shares of common stock or such other securities to any trust for the direct or indirect benefit of such person or the immediate family of such person in a transaction not involving a disposition for value, transfers or dispositions of shares of common stock or such other securities to any corporation, partnership, limited liability company or other entity all of the beneficial ownership interests of which are held by such person or the immediate family of such person in a transaction not involving a disposition for value, transfers or dispositions of shares of common stock or such other securities by will, other testamentary document or intestate succession to the legal representative, heir, beneficiary, or a member of the immediate family of such person, or distributions of shares of common stock or any security convertible into common stock to limited partners, members or stockholders of such person;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transfers or dispositions of common stock or any security convertible into or exercisable or exchangeable for common stock to us pursuant to any contractual arrangement in effect at the date of the agreement described in this prospectus supplement or the accompanying prospectus or any document incorporated by reference herein or therein that provides for the repurchase of such person’s common stock or such other securities by us or in connection with the termination of such person’s employment with us;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such person or us regarding the establishment of such plan, such announcement or filing shall include a statement to the effect that no transfer of common stock may be made under such plan during the restricted period;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transfers or dispositions of shares of common stock under trading plans established prior to the date of this prospectus supplement pursuant to Rule 10b5-1 under the Exchange Act; or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sales or other dispositions of common stock for the purpose of satisfying any withholding taxes (including estimated taxes) due as a result of the vesting of any restricted stock unit held by such person pursuant to an employee incentive program described in this prospectus supplement or the accompanying prospectus or any document incorporated by reference herein or therein.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in their sole discretion, may release the securities subject to any of the lock-up agreements described above, in whole or in part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“EDIT.”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their affiliates have provided in the past to us and our affiliates and may provide from time to time in the future certain commercial banking, financial advisory,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the Prospectus Regulation; </w:t>
      </w:r>
      <w:r>
        <mc:AlternateContent>
          <mc:Choice Requires="wps">
            <w:drawing>
              <wp:anchor behindDoc="0" distT="10287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Prospectus Regulation), subject to obtaining the prior consent of the underwriters; or </w:t>
      </w:r>
      <w:r>
        <mc:AlternateContent>
          <mc:Choice Requires="wps">
            <w:drawing>
              <wp:anchor behindDoc="0" distT="10287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10287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securities shall require us or the underwriters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representatives and us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securities in any Relevant State means the communication in any form and by any means of sufficient information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 and any securities to be offered so as to enable an investor to decide to purchase or subscribe for any securities, and the expression “Prospectus Regulation” means Regulation (EU) 2017/1129.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r>
        <mc:AlternateContent>
          <mc:Choice Requires="wps">
            <w:drawing>
              <wp:anchor behindDoc="0" distT="10922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qualified investor as defined in paragraph 15 of Schedule 1 of the POATR; </w:t>
      </w:r>
      <w:r>
        <mc:AlternateContent>
          <mc:Choice Requires="wps">
            <w:drawing>
              <wp:anchor behindDoc="0" distT="10795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of the POATR), subject to obtaining the prior consent of representatives for any such offer; or </w:t>
      </w:r>
      <w:r>
        <mc:AlternateContent>
          <mc:Choice Requires="wps">
            <w:drawing>
              <wp:anchor behindDoc="0" distT="10795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1 of Schedule 1 of the POATR. </w:t>
      </w:r>
      <w:r>
        <mc:AlternateContent>
          <mc:Choice Requires="wps">
            <w:drawing>
              <wp:anchor behindDoc="0" distT="10795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 not constitute a product disclosure document or a prospectus under Chapter 6D.2 of the Corporations Act 2001 (Cth) (the “Corporations Act”); </w:t>
      </w:r>
      <w:r>
        <mc:AlternateContent>
          <mc:Choice Requires="wps">
            <w:drawing>
              <wp:anchor behindDoc="0" distT="8255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not been, and will not be, lodged with the Australian Securities and Investments Commission (“ASIC”) as a disclosure document for the purposes of the Corporations Act and do not purport to include the information required of a disclosure document for the purposes of the Corporations Act; and </w:t>
      </w:r>
      <w:r>
        <mc:AlternateContent>
          <mc:Choice Requires="wps">
            <w:drawing>
              <wp:anchor behindDoc="0" distT="825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only be provided in Australia to select investors who are able to demonstrate that they fall within one or more of the categories of investors, or Exempt Investors, available under section 708 of the Corporations Act.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any offer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Bermuda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British Virgin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are not being, and may not be offered to the public or to any person in the British Virgin Islands for purchase or subscription by or on behalf of the us. The securities may be offered to companies incorporated under the BVI Business Companies Act, 2004 (British Virgin Islands), (“BVI Companies”), but only where the offer will be made to, and received by, the relevant BVI Company entirely outside of the British Virgin Islands.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will not be circulated or distributed in the PRC and the securities will not be offered or sold, and will not be offered or sold to any person for re-offering or resale directly or indirectly to any residents of the PRC except pursuant to any applicable laws and regulations of the PRC. None of this prospectus supplement, the accompanying prospectus nor any advertisement or other offering material may be distributed or published in the PRC, except under circumstances that will result in compliance with applicable laws and regulations.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Dubai International Financial Centre (“DIFC”)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offered or sold and will not be offered or sold in Hong Kong, by means of any document, other than (a) to “professional investors” as defined in the Securities and Futures Ordinance (Cap. 571) (the “SFO”) of Hong Kong and any rules made thereunder; or (b) in other circumstances which do not result in the document being a “prospectus” as defined in the Companies (Winding Up and Miscellaneous Provisions) Ordinance (Cap. 32) (the “CO”) of Hong Kong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pursuant to Article 4, Paragraph 1 of the Financial Instruments and Exchange Act. Accordingly, none of the securities nor any interest therein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Malaysia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Saudi Arabia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does not make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supplement and the accompanying prospectus have not been registered as a prospectus with the Monetary Authority of Singapore. Accordingly, no securities have been or will be offered or sold and no securities have been or will be made the subject of an invitation for subscription or purchase, and no prospectus or prospectus supplement or any other document or material in connection with the offer or sale, or invitation for subscription or purchase, of the securities, has been or will be circulated or distributed, whether directly or indirectly, to any person in Singapore other than (i) to an institutional investor (as defined in Section 4A of the Securities and Futures Act 2001 of Singapore, as modified or amended from time to time (the “</w:t>
      </w:r>
      <w:r>
        <w:rPr>
          <w:rFonts w:ascii="Times New Roman;Times;serif" w:hAnsi="Times New Roman;Times;serif"/>
          <w:b/>
          <w:i w:val="false"/>
          <w:caps w:val="false"/>
          <w:smallCaps w:val="false"/>
          <w:color w:val="000000"/>
          <w:spacing w:val="-4"/>
          <w:sz w:val="20"/>
        </w:rPr>
        <w:t>SFA</w:t>
      </w:r>
      <w:r>
        <w:rPr>
          <w:rFonts w:ascii="Times New Roman;Times;serif" w:hAnsi="Times New Roman;Times;serif"/>
          <w:b w:val="false"/>
          <w:i w:val="false"/>
          <w:caps w:val="false"/>
          <w:smallCaps w:val="false"/>
          <w:color w:val="000000"/>
          <w:spacing w:val="4"/>
          <w:sz w:val="20"/>
        </w:rPr>
        <w:t xml:space="preserve">”))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South Africa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transfer, sale, renunciation or delivery is to: (i) persons whose ordinary business is to deal in securities, as principal or agent; (ii) the South African Public Investment Corporation; (iii) persons or entities regulated by the Reserve Bank of South Africa; (iv) authorized financial service providers under South African law; (v) financial institutions recognized as such under South African law; (vi) a wholly-owned subsidiary of any person or entity contemplated in (iii), (iv) or (v), acting as agent in the capacity of an authorized portfolio manager for a pension fund or collective investment scheme (in each case duly registered as such under South African law); or (vii) any combination of the person in (i) to (vi); or </w:t>
      </w:r>
      <w:r>
        <mc:AlternateContent>
          <mc:Choice Requires="wps">
            <w:drawing>
              <wp:anchor behindDoc="0" distT="9906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r>
        <mc:AlternateContent>
          <mc:Choice Requires="wps">
            <w:drawing>
              <wp:anchor behindDoc="0" distT="9906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made available in this prospectus should not be considered as “advice” as defined in the South African Financial Advisory and Intermediary Services Act, 2002.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do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person which is a professional client as defined under the FinSA;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500 persons (other than professional clients as defined under the FinSA), subject to obtaining the prior consent of the representatives for any such offer; or </w:t>
      </w:r>
      <w:r>
        <mc:AlternateContent>
          <mc:Choice Requires="wps">
            <w:drawing>
              <wp:anchor behindDoc="0" distT="9906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36 FinSA in connection with Article 44 of the Swiss Financial Services Ordinance,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securities shall require the Company or any underwriter to publish a prospectus pursuant to Article 35 FinSA.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listed or admitted to trading on a trading venue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United Arab Emirates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does not constitute a public offer of securities in the United Arab Emirates (including the DIFC) and is not intended to be a public offer. This prospectus supplement has not been approved by or filed with the Central Bank of the United Arab Emirates, the Securities and Commodities Authority, the Financial Services Regulatory Authority (FSRA) or the DFSA.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Israel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does not constitute a prospectus under the Israeli Securities Law, 5728-1968, and has not been filed with or approved by the Israel Securities Authority. In Israel, this prospectus is being distributed only to, and is directed only at, qualified investors listed in the first addendum, or the Addendum, to the Israeli Securities Law. Qualified investors may be required to submit written confirmation that they fall within the scope of the Addendum.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hereby will be passed upon for us by Wilmer Cutler Pickering Hale and Dorr LLP, Boston, Massachusetts. Davis Polk &amp; Wardwell LLP, New York, New York, is acting as counsel for the underwriters in connection with certain legal matters related to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WYCF"/>
      <w:bookmarkEnd w:id="16"/>
      <w:r>
        <w:rPr>
          <w:rFonts w:ascii="calibri;arial;sans-serif" w:hAnsi="calibri;arial;sans-serif"/>
          <w:b w:val="false"/>
          <w:i w:val="false"/>
          <w:caps w:val="false"/>
          <w:smallCaps w:val="false"/>
          <w:color w:val="000000"/>
          <w:sz w:val="16"/>
        </w:rPr>
        <w:t>​</w:t>
      </w:r>
      <w:bookmarkStart w:id="17" w:name="sIB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Our website is not a part of this prospectus supplement and is not incorporated by reference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we filed with the SEC. This prospectus supplement and the accompanying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and the accompanying prospectus or in any document previously incorporated by reference have been modified or superseded. This prospectus supplement and the accompanying prospectus incorporates by reference the documents listed below (File No. 001-37687) and any future filings we make with the SEC under Sections 13(a), 13(c), 14 or 15(d) of the Exchange Act (in each case, other than those documents or the portions of those documents not deemed to be filed) until the offering of the securities offered hereby is terminated or completed: </w:t>
      </w:r>
    </w:p>
    <w:p>
      <w:pPr>
        <w:pStyle w:val="TextBody"/>
        <w:bidi w:val="0"/>
        <w:spacing w:lineRule="atLeast" w:line="240" w:before="120" w:after="0"/>
        <w:ind w:left="1993" w:right="0" w:hanging="0"/>
        <w:jc w:val="left"/>
        <w:rPr/>
      </w:pPr>
      <w:hyperlink r:id="rId6">
        <w:r>
          <w:rPr>
            <w:rStyle w:val="InternetLink"/>
          </w:rPr>
          <w:t>Annual Report on Form 10-K for the fiscal year ended December 31, 2025, filed March 9, 2026</w:t>
        </w:r>
      </w:hyperlink>
      <w:r>
        <w:rPr>
          <w:rFonts w:ascii="Times New Roman;Times;serif" w:hAnsi="Times New Roman;Times;serif"/>
          <w:b w:val="false"/>
          <w:i w:val="false"/>
          <w:caps w:val="false"/>
          <w:smallCaps w:val="false"/>
          <w:color w:val="000000"/>
          <w:spacing w:val="4"/>
          <w:sz w:val="20"/>
        </w:rPr>
        <w:t xml:space="preserve">, including the information specifically incorporated by reference into the Annual Report on Form 10-K from our </w:t>
      </w:r>
      <w:hyperlink r:id="rId7">
        <w:r>
          <w:rPr>
            <w:rStyle w:val="InternetLink"/>
          </w:rPr>
          <w:t>definitive proxy statement for the 2026 Annual Meeting of Stockholders, filed April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8">
        <w:r>
          <w:rPr>
            <w:rStyle w:val="InternetLink"/>
          </w:rPr>
          <w:t>Quarterly Report on Form 10-Q for the quarterly period ended March 31, 2026, filed May 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t>
      </w:r>
      <w:hyperlink r:id="rId9">
        <w:r>
          <w:rPr>
            <w:rStyle w:val="InternetLink"/>
          </w:rPr>
          <w:t>March 27, 2026</w:t>
        </w:r>
      </w:hyperlink>
      <w:r>
        <w:rPr>
          <w:rFonts w:ascii="Times New Roman;Times;serif" w:hAnsi="Times New Roman;Times;serif"/>
          <w:b w:val="false"/>
          <w:i w:val="false"/>
          <w:caps w:val="false"/>
          <w:smallCaps w:val="false"/>
          <w:color w:val="000000"/>
          <w:spacing w:val="4"/>
          <w:sz w:val="20"/>
        </w:rPr>
        <w:t xml:space="preserve"> (solely with respect to Item 8.01), </w:t>
      </w:r>
      <w:hyperlink r:id="rId10">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(solely with respect to Item 8.01), </w:t>
      </w:r>
      <w:hyperlink r:id="rId12">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(solely with respect to Item 8.01), </w:t>
      </w:r>
      <w:hyperlink r:id="rId13">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May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w:t>
      </w:r>
      <w:hyperlink r:id="rId15">
        <w:r>
          <w:rPr>
            <w:rStyle w:val="InternetLink"/>
          </w:rPr>
          <w:t>Registration Statement on Form 8-A filed on January 29, 2016</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common stock contained in </w:t>
      </w:r>
      <w:hyperlink r:id="rId16">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2025, including any amendment or report filed for the purpose of updating such description.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or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Editas Medicine,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 Hurley 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Cambridge, MA 02141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(617) 401-9000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952750" cy="1228725"/>
            <wp:effectExtent l="0" t="0" r="0" b="0"/>
            <wp:docPr id="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descr=""/>
                    <pic:cNvPicPr>
                      <a:picLocks noChangeAspect="1" noChangeArrowheads="1"/>
                    </pic:cNvPicPr>
                  </pic:nvPicPr>
                  <pic:blipFill>
                    <a:blip r:embed="rId17"/>
                    <a:stretch>
                      <a:fillRect/>
                    </a:stretch>
                  </pic:blipFill>
                  <pic:spPr bwMode="auto">
                    <a:xfrm>
                      <a:off x="0" y="0"/>
                      <a:ext cx="2952750" cy="1228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$350,000,000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Subscription 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securities from time to time in one or more offerings of up to $350,000,000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or therein, carefully before you invest. This prospectus may not be used to offer and sell our securities unless accompanied by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these securities in amounts, at prices and on terms determined at the time of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“EDIT.”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these securities involves certain risks. See “Risk Factors”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of this prospectus and included in any accompanying prospectus supplement, and in the documents incorporated by reference in this prospectus or any prospectus supplement,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March 21, 2025</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ABO">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BO">
              <w:r>
                <w:rPr>
                  <w:rStyle w:val="InternetLink"/>
                  <w:spacing w:val="4"/>
                </w:rPr>
                <w:t>1</w:t>
              </w:r>
            </w:hyperlink>
            <w:hyperlink w:anchor="tA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
              <w:r>
                <w:rPr>
                  <w:rStyle w:val="InternetLink"/>
                  <w:spacing w:val="4"/>
                </w:rPr>
                <w:t>3</w:t>
              </w:r>
            </w:hyperlink>
            <w:hyperlink w:anchor="t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4</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MI">
              <w:r>
                <w:rPr>
                  <w:rStyle w:val="InternetLink"/>
                  <w:spacing w:val="4"/>
                </w:rPr>
                <w:t xml:space="preserve">EDITAS MEDICINE,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MI">
              <w:r>
                <w:rPr>
                  <w:rStyle w:val="InternetLink"/>
                  <w:spacing w:val="4"/>
                </w:rPr>
                <w:t>6</w:t>
              </w:r>
            </w:hyperlink>
            <w:hyperlink w:anchor="tEM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17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24</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R">
              <w:r>
                <w:rPr>
                  <w:rStyle w:val="InternetLink"/>
                  <w:spacing w:val="4"/>
                </w:rPr>
                <w:t>27</w:t>
              </w:r>
            </w:hyperlink>
            <w:hyperlink w:anchor="tDOS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PC">
              <w:r>
                <w:rPr>
                  <w:rStyle w:val="InternetLink"/>
                  <w:spacing w:val="4"/>
                </w:rPr>
                <w:t>28</w:t>
              </w:r>
            </w:hyperlink>
            <w:hyperlink w:anchor="tDO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29</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U">
              <w:r>
                <w:rPr>
                  <w:rStyle w:val="InternetLink"/>
                  <w:spacing w:val="4"/>
                </w:rPr>
                <w:t>30</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FOS">
              <w:r>
                <w:rPr>
                  <w:rStyle w:val="InternetLink"/>
                  <w:spacing w:val="4"/>
                </w:rPr>
                <w:t xml:space="preserve">FORMS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S">
              <w:r>
                <w:rPr>
                  <w:rStyle w:val="InternetLink"/>
                  <w:spacing w:val="4"/>
                </w:rPr>
                <w:t>31</w:t>
              </w:r>
            </w:hyperlink>
            <w:hyperlink w:anchor="tF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33</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36</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36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B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$350,000,000.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hyperlink w:anchor="tWYCF">
        <w:r>
          <w:rPr>
            <w:rStyle w:val="InternetLink"/>
          </w:rPr>
          <w:t>2</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in or incorporated by reference in this prospectus, any accompanying prospectus supplement or in any related free writing prospectus to which we have referred you. We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“we,” “our” and “us” refer, collectively, to Editas Medicine, Inc., a Delaware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www.editasmedicine.com. We have included our website address as an inactive textual reference only and information that is contained on, or can be accessed through, our website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IB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001-37687)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Annual Report on </w:t>
      </w:r>
      <w:hyperlink r:id="rId18">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December 31, 2024 filed with the SEC March 5, 2025;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w:t>
      </w:r>
      <w:hyperlink r:id="rId19">
        <w:r>
          <w:rPr>
            <w:rStyle w:val="InternetLink"/>
          </w:rPr>
          <w:t>Annual Report on Form 10-K for the year ended December 31, 2023, as filed with the SEC on February 28, 2024</w:t>
        </w:r>
      </w:hyperlink>
      <w:r>
        <w:rPr>
          <w:rFonts w:ascii="Times New Roman;Times;serif" w:hAnsi="Times New Roman;Times;serif"/>
          <w:b w:val="false"/>
          <w:i w:val="false"/>
          <w:caps w:val="false"/>
          <w:smallCaps w:val="false"/>
          <w:color w:val="000000"/>
          <w:spacing w:val="4"/>
          <w:sz w:val="20"/>
        </w:rPr>
        <w:t xml:space="preserve">, from </w:t>
      </w:r>
      <w:hyperlink r:id="rId20">
        <w:r>
          <w:rPr>
            <w:rStyle w:val="InternetLink"/>
          </w:rPr>
          <w:t>our definitive proxy statement on Schedule 14A, which was filed with the SEC on April 16,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21">
        <w:r>
          <w:rPr>
            <w:rStyle w:val="InternetLink"/>
          </w:rPr>
          <w:t>Form 8-A filed with the SEC on January 29, 2016</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capital stock contained in </w:t>
      </w:r>
      <w:hyperlink r:id="rId22">
        <w:r>
          <w:rPr>
            <w:rStyle w:val="InternetLink"/>
            <w:rFonts w:ascii="Times New Roman;Times;serif" w:hAnsi="Times New Roman;Times;serif"/>
            <w:b w:val="false"/>
            <w:i w:val="false"/>
            <w:caps w:val="false"/>
            <w:smallCaps w:val="false"/>
            <w:color w:val="000000"/>
            <w:spacing w:val="4"/>
            <w:sz w:val="20"/>
            <w:u w:val="single"/>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2024, as filed with the SEC on March 5, 2025, and including any amendments and reports filed for the purpose of updating such description.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contained in a document incorporated by reference into this prospectus shall be deemed to be modified or superseded for purposes of this prospectus to the extent that a statement contained in this prospectus, any prospectus supplement or in any other subsequently filed document which is also incorporated in this prospectus modifies or replaces such statement. Any statements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or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Editas Medicine,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 Hurley St.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Cambridge, MA 02141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(617) 401-9000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FO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in this prospectus contain forward-looking statements within the meaning of Section 27A of the Securities Act and Section 21E of the Exchange Act regarding, among other things, the initiation, timing, progress and results of our preclinical studies and our research and development programs, the timing for our receipt and presentation of data from our preclinical studies, potential of, and expectations for, our product candidates, the timing or likelihood of regulatory filings and approvals, our expectations regarding cash runway, and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Important factors that could cause actual results or events to differ materially from the forward-looking statements that we make include those in the section titled “Risk Factors” in Part I of our Annual Report on Form 10-K for the fiscal year ended December 31, 2024. Our forward-looking statements do not reflect the potential impact of any future acquisitions, mergers, dispositions, joint ventures or investments that we may make.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information incorporated by reference in this prospectus completely and with the understanding that our actual future results may be materially different from what we expect. The forward-looking statements contained in this prospectus and the information incorporated by reference in this prospectus are made as of the date of this prospectus or such document incorporated by reference into this prospectus, and we do not assume any obligation to update any forward-looking statements, whether as a result of new information, future events or otherwise, except as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RIF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EM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EDITAS MEDICINE,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pioneering gene editing company dedicated to developing potentially transformative genomic medicines to treat a broad range of serious diseases. The promise of genomic medicines is supported by the advancing knowledge of the human genome and by harnessing the progress in technologies for cell therapy, gene therapy, and, most recently, gene editing. We believe this progress sets the stage for us to create medicines with the potential to have a durable benefit for patients. Our core capability in gene editing uses the technology known as CRISPR (clustered, regularly interspaced, short palindromic repeats) to allow us to create molecules that efficiently and specifically edit DNA. Our mission is to translate the promise of gene editing into a broad class of differentiated, transformational medicines for previously untreatable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 proprietary gene editing platform based on CRISPR technology and we continue to expand its capabilities. CRISPR uses a protein-RNA complex composed of an enzyme, including either Cas9 (CRISPR associated protein 9) or Cas12a (CRISPR from Prevotella and Francisella 1, also known as Cpf1), bound to a guide RNA molecule designed to recognize a particular DNA sequence. Once the complex binds to the DNA sequence it is designed to recognize, the complex makes a specific cut in the DNA. We believe we are the only human genome editing company with a platform that includes CRISPR/</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Cas9, CRISPR/Cas12a, engineered forms of both of these CRISPR systems, and foundational intellectual property for both of these CRISPR systems. Because of the broad nature of this platform, we believe we can create gene editing molecules for more than 95% of the human genome.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11 Hurley Street, Cambridge, Massachusetts, 02141, and our telephone number is (617) 401-9000. Our website address is www.editasmedicine.com. We have included our website address as an inactive textual reference only and information that is contained on, or can be accessed through, our website is not incorporated by reference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by us under this prospectus for general corporate purposes unless otherwise indicated in the applicable prospectus supplement. General corporate purposes may include, without limitation, research and development expenditures,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bear all other costs, fees and expenses incurred in effecting the registration of the shares covered by this prospectus, including, without limitation, all registration and filing fees, Nasdaq Global Select Market listing fees, and fees and expenses of our counsel and our accountants.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Editas Medicine, Inc. excluding, unless the context otherwise requires or as otherwise expressly stated,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unsecured obligations. Any secured debt or other secured obligations will be effectively senior to the debt securities to the extent of the value of the assets securing such debt or other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type of the debt securities;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debt securities, and, with respect to any subordinated debt securities the terms on which they are subordinated;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aggregate principal amount of the debt securities;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sell the debt securities;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and the right, if any, to extend such date or dates;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if any, at which the debt securities will bear interest, or the method of determining such rate or rates;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such interest will accrue, the interest payment dates on which such interest will be payable or the method of determination of such dates;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that extension;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paying principal and interest and the place or places where principal and interest will be payable;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of the debt securities if other than $2,000 or multiples of $1,000;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 sinking fund, purchase fund or other analogous fund, if any;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dates, prices, obligations and restrictions on the debt securities;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debt securities will be denominated and the currency, currencies or currency units in which principal and interest, if any, on the debt securities may be payable;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features of the debt securities;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subject to the defeasance provisions in the indenture;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definitive or global form or in definitive form only upon satisfaction of certain conditions;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guaranteed as to payment or performance;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special tax implications of the debt securities;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defaults or covenants in addition to or in lieu of those set forth in the indenture; and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“principal” in this section with reference to the debt securities, we are also referring to “premium,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if any, is a U.S. corporation, limited liability company, partnership or trust;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assumes our obligations on the senior debt securities and under the senior indenture;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and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Protection in the Event of a Change in Control</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senior debt securities of such series when due and payable, if that default continues for a period of 30 days (or such other period as may be specified for such series);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of 90 days after we receive written notice from the trustee or from the holders of 25% or more in aggregate principal amount of the senior debt securities of such series;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or insolvency, whether or not voluntary; and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for in such series of senior debt securities as may be specified in the applicable prospectus supplement.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such series of senior debt securities make a written request to the trustee to pursue the remedy in respect of such event of default;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requesting holder or holders offer the trustee indemnity satisfactory to the trustee against any costs, liability or expense;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comply with the request within 60 days after receipt of the request and the offer of indemnity; and </w: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such 60-day period, the holders of a majority in aggregate principal amount of such series of senior debt securities do not give the trustee a direction that is inconsistent with the request.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Satisfaction and Discharge</w:t>
      </w:r>
      <w:r>
        <w:rPr>
          <w:rFonts w:ascii="Times New Roman;Times;serif" w:hAnsi="Times New Roman;Times;serif"/>
          <w:b w:val="false"/>
          <w:i w:val="false"/>
          <w:caps w:val="false"/>
          <w:smallCaps w:val="false"/>
          <w:color w:val="000000"/>
          <w:spacing w:val="4"/>
          <w:sz w:val="20"/>
        </w:rPr>
        <w:t xml:space="preserve">.   We can satisfy and discharge our obligations to holders of any series of debt securities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the principal of and interest on all senior debt securities of such series (with certain limited exceptions) when due and payable; or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senior trustee for cancellation all senior debt securities of such series theretofore authenticated under the senior indenture (with certain limited exceptions); or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Unless the applicable prospectus supplement provides otherwise, the following discussion of legal defeasance and covenant defeasance will apply to any series of debt securities issued under the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 legal opinion of our counsel confirming the tax law change or ruling described above.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 Defeasance</w:t>
      </w:r>
      <w:r>
        <w:rPr>
          <w:rFonts w:ascii="Times New Roman;Times;serif" w:hAnsi="Times New Roman;Times;serif"/>
          <w:b w:val="false"/>
          <w:i w:val="false"/>
          <w:caps w:val="false"/>
          <w:smallCaps w:val="false"/>
          <w:color w:val="000000"/>
          <w:spacing w:val="4"/>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We and the trustee may amend or supplement the senior indenture or the senior debt securities of any series without the consent of any holder: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assets as security for the senior debt securities of one or more series;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requirements of the SEC in order to effect or maintain the qualification of the senior indenture under the Trust Indenture Act of 1939, as amended (the “Trust Indenture Act”);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r>
        <mc:AlternateContent>
          <mc:Choice Requires="wps">
            <w:drawing>
              <wp:anchor behindDoc="0" distT="787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or add guarantors with respect to the senior debt securities of any series;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forms or terms of the senior debt securities as permitted by the senior indenture;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r>
        <mc:AlternateContent>
          <mc:Choice Requires="wps">
            <w:drawing>
              <wp:anchor behindDoc="0" distT="635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to the senior debt securities of any series so long as no senior debt securities of such series are outstanding; or </w:t>
      </w:r>
      <w:r>
        <mc:AlternateContent>
          <mc:Choice Requires="wps">
            <w:drawing>
              <wp:anchor behindDoc="0" distT="635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in any material respect. </w:t>
      </w:r>
      <w:r>
        <mc:AlternateContent>
          <mc:Choice Requires="wps">
            <w:drawing>
              <wp:anchor behindDoc="0" distT="635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extends the final maturity of any senior debt securities of such series;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any senior debt securities of such series; </w:t>
      </w:r>
      <w:r>
        <mc:AlternateContent>
          <mc:Choice Requires="wps">
            <w:drawing>
              <wp:anchor behindDoc="0" distT="635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rate, or extends the time for payment of, interest on any senior debt securities of such series; </w:t>
      </w:r>
      <w:r>
        <mc:AlternateContent>
          <mc:Choice Requires="wps">
            <w:drawing>
              <wp:anchor behindDoc="0" distT="635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amount payable upon the redemption of any senior debt securities of such series; </w:t>
      </w:r>
      <w:r>
        <mc:AlternateContent>
          <mc:Choice Requires="wps">
            <w:drawing>
              <wp:anchor behindDoc="0" distT="635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currency of payment of principal of or interest on any senior debt securities of such series; </w:t>
      </w:r>
      <w:r>
        <mc:AlternateContent>
          <mc:Choice Requires="wps">
            <w:drawing>
              <wp:anchor behindDoc="0" distT="635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original issue discount securities payable upon acceleration of maturity or the amount provable in bankruptcy; </w:t>
      </w:r>
      <w:r>
        <mc:AlternateContent>
          <mc:Choice Requires="wps">
            <w:drawing>
              <wp:anchor behindDoc="0" distT="635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waives a continuing default in the payment of principal of or interest on the senior debt securities (other than any such default in payment resulting solely from an acceleration of the senior debt securities); </w:t>
      </w:r>
      <w:r>
        <mc:AlternateContent>
          <mc:Choice Requires="wps">
            <w:drawing>
              <wp:anchor behindDoc="0" distT="635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r>
        <mc:AlternateContent>
          <mc:Choice Requires="wps">
            <w:drawing>
              <wp:anchor behindDoc="0" distT="635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r>
        <mc:AlternateContent>
          <mc:Choice Requires="wps">
            <w:drawing>
              <wp:anchor behindDoc="0" distT="635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affects the right to convert or exchange senior debt securities into common stock, other securities or property in accordance with the terms of the senior debt securities; or </w:t>
      </w:r>
      <w:r>
        <mc:AlternateContent>
          <mc:Choice Requires="wps">
            <w:drawing>
              <wp:anchor behindDoc="0" distT="635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above-stated percentage of outstanding senior debt securities of such series whose holders must consent to a supplemental indenture or modifies or amends or waives certain provisions of or defaults under the senior indenture. </w:t>
      </w:r>
      <w:r>
        <mc:AlternateContent>
          <mc:Choice Requires="wps">
            <w:drawing>
              <wp:anchor behindDoc="0" distT="635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Notice of Redemption.</w:t>
      </w:r>
      <w:r>
        <w:rPr>
          <w:rFonts w:ascii="Times New Roman;Times;serif" w:hAnsi="Times New Roman;Times;serif"/>
          <w:b w:val="false"/>
          <w:i w:val="false"/>
          <w:caps w:val="false"/>
          <w:smallCaps w:val="false"/>
          <w:color w:val="000000"/>
          <w:spacing w:val="4"/>
          <w:sz w:val="20"/>
        </w:rPr>
        <w:t xml:space="preserve">   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Personal Liability of Incorporators, Stockholders, Officers, or Directors</w:t>
      </w:r>
      <w:r>
        <w:rPr>
          <w:rFonts w:ascii="Times New Roman;Times;serif" w:hAnsi="Times New Roman;Times;serif"/>
          <w:b w:val="false"/>
          <w:i w:val="false"/>
          <w:caps w:val="false"/>
          <w:smallCaps w:val="false"/>
          <w:color w:val="000000"/>
          <w:spacing w:val="4"/>
          <w:sz w:val="20"/>
        </w:rPr>
        <w:t xml:space="preserve">.   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Concerning the Trustee</w:t>
      </w:r>
      <w:r>
        <w:rPr>
          <w:rFonts w:ascii="Times New Roman;Times;serif" w:hAnsi="Times New Roman;Times;serif"/>
          <w:b w:val="false"/>
          <w:i w:val="false"/>
          <w:caps w:val="false"/>
          <w:smallCaps w:val="false"/>
          <w:color w:val="000000"/>
          <w:spacing w:val="4"/>
          <w:sz w:val="20"/>
        </w:rPr>
        <w:t xml:space="preserve">.   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normal banking relationships with the senior trustee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Unclaimed Funds</w:t>
      </w:r>
      <w:r>
        <w:rPr>
          <w:rFonts w:ascii="Times New Roman;Times;serif" w:hAnsi="Times New Roman;Times;serif"/>
          <w:b w:val="false"/>
          <w:i w:val="false"/>
          <w:caps w:val="false"/>
          <w:smallCaps w:val="false"/>
          <w:color w:val="000000"/>
          <w:spacing w:val="4"/>
          <w:sz w:val="20"/>
        </w:rPr>
        <w:t xml:space="preserve">.   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The senior indenture and the senior debt securities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terms of the subordinated indenture and subordinated debt securities relating to subordination or otherwise as described in the prospectus supplement relating to a particular series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subordinated debt securities, the terms of the subordinated indenture and subordinated debt securities are identical in all material respects to the terms of the senior indenture and senior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or different subordination terms may be specified in the prospectus supplement applicable to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for money borrowed;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evidenced by notes, debentures, bonds or other securities sold by that person for money;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lease obligations that are capitalized on the books of that person in accordance with generally accepted accounting principles;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renewals, extensions or refundings of indebtedness of the kinds described in the first, second or fourth bullet point above and all renewals or extensions of leases of the kinds described in the third or fourth bullet point above;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C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195,000,000 shares of common stock, par value $0.0001 per share, and 5,000,000 shares of preferred stock, par value $0.0001 per share. As of February 28, 2025, 82,976,284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and may be called only by the board of directors, the chairman of the board, or the chief executive officer, and business to be transacted at any special meeting is limited to matters related to the purpose or purposes stated in the notice of the meeting. Except as may be otherwise provided by applicable law, our restated certificate of incorporation, or our amended and restated by-laws,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and any election by stockholders of directors shall be determined by a plurality of the votes cast by the stockholders entitled to vote on the election.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common stock is entitled to one vote for each share held on all matters to be voted upon by stockholders, including the election of directors. Except as otherwise provided by law, our restated certificate of incorporation and amended and restated by-laws, in all matters other than the election of directors, the affirmative vote of the majority of the shares present or represented at a meeting and voting affirmatively and negatively on such matter at which a quorum is present shall be the act of the stockholders. Directors shall be elected by a plurality of the votes cast by the stockholders entitled to vote on the election at a meeting in which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The holders of common stock, after any preferences of holders of any preferred stock, are entitled to proportionately receive dividends when and if declared by the board of directors out of legally available funds, subject to any preferential dividend or other rights of any series of preferred stock that we may designate and issue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If we are liquidated or dissolved, the holders of the common stock will be entitled to share in our assets available for distribution to stockholders in proportion to the amount of common stock they own. The amount available for common stockholders is calculated after payment of all debts and other liabilities. Holders of any preferred stock will receive a preferential share of our assets before the holders of the common stock receive any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the common stock have no right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 the stock into any other security; </w:t>
      </w:r>
      <w:r>
        <mc:AlternateContent>
          <mc:Choice Requires="wps">
            <w:drawing>
              <wp:anchor behindDoc="0" distT="7874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the stock redeemed;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additional stock; or </w:t>
      </w:r>
      <w:r>
        <mc:AlternateContent>
          <mc:Choice Requires="wps">
            <w:drawing>
              <wp:anchor behindDoc="0" distT="7874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their proportionate ownership interest. </w:t>
      </w:r>
      <w:r>
        <mc:AlternateContent>
          <mc:Choice Requires="wps">
            <w:drawing>
              <wp:anchor behindDoc="0" distT="787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does not have cumulative voting rights. Holders of shares of the common stock are not required to make additional capital contributions.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Computershare Trust Company, N.A. is transfer agent and registrar for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stated value per share of the preferred stock and the number of shares offered;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liquidation preference per share;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preferred stock will be issued;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method of calculation of dividends, the dates on which dividends will be payable, whether dividends will be cumulative or noncumulative and, if cumulative, the dates from which dividends will commence to accumulate;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currency of the United States, the currency or currencies including composite currencies in which the preferred stock is denominated and/or in which payments will or may be payable;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w:t>
      </w:r>
      <w:r>
        <mc:AlternateContent>
          <mc:Choice Requires="wps">
            <w:drawing>
              <wp:anchor behindDoc="0" distT="7239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have elected to offer depositary shares as described under “Description of Depositary Shares;” and </w:t>
      </w:r>
      <w:r>
        <mc:AlternateContent>
          <mc:Choice Requires="wps">
            <w:drawing>
              <wp:anchor behindDoc="0" distT="7239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rights, preferences, privileges, limitations and restrictions on the preferred stock. </w:t>
      </w:r>
      <w:r>
        <mc:AlternateContent>
          <mc:Choice Requires="wps">
            <w:drawing>
              <wp:anchor behindDoc="0" distT="7239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“Description of Depositary Shares,” we may, at our option, with respect to any series of preferred stock, elect to offer fractional interests in shares of preferred stock, and provide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w:t>
      </w:r>
      <w:r>
        <w:rPr>
          <w:rFonts w:ascii="Times New Roman;Times;serif" w:hAnsi="Times New Roman;Times;serif"/>
          <w:b w:val="false"/>
          <w:i w:val="false"/>
          <w:caps w:val="false"/>
          <w:smallCaps w:val="false"/>
          <w:color w:val="000000"/>
          <w:spacing w:val="4"/>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to our common stock and to all equity securities ranking junior to such preferred stock with respect to dividend rights or rights upon our liquidation, dissolution or winding up of our affairs;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r>
        <mc:AlternateContent>
          <mc:Choice Requires="wps">
            <w:drawing>
              <wp:anchor behindDoc="0" distT="7747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“equity securities” does not include convertible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the holders of the preferred stock and all other such classes or series of capital stock will share ratably in any such distribution of assets in proportion to the full liquidating distributions to which they would otherwise be entitled.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series of preferred stock does not have a cumulative dividend, we have declared and paid or contemporaneously declare and pay or set aside funds to pay full dividends for the then current dividend period.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not acquire any preferred stock of a series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date;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and series of preferred stock to be redeemed;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certificates for such preferred stock are to be surrendered for payment of the redemption price;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dividends on the shares to be redeemed will cease to accrue on such redemption date;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holder’s conversion rights, if any, as to such shares shall terminate; and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number of shares to be redeemed from each such holder if fewer than all the shares of any series are to be redeemed.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preferred stock will not have any voting rights, except as required by law or as indicated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The terms and conditions, if any, upon which any series of preferred stock is 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The transfer agent and registrar for the preferred stock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of Our Certificate of Incorporation and By-laws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our restated certificate of incorporation, and our amended and restated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Staggered Board; Removal of Directors</w:t>
      </w:r>
      <w:r>
        <w:rPr>
          <w:rFonts w:ascii="Times New Roman;Times;serif" w:hAnsi="Times New Roman;Times;serif"/>
          <w:b w:val="false"/>
          <w:i w:val="false"/>
          <w:caps w:val="false"/>
          <w:smallCaps w:val="false"/>
          <w:color w:val="000000"/>
          <w:spacing w:val="4"/>
          <w:sz w:val="20"/>
        </w:rPr>
        <w:t xml:space="preserve">.   Our restated certificate of incorporation and amended and restated bylaws divide our board of directors into three classes with staggered three-year terms. In addition, a director may be removed only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 The classification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Action by Written Consent; Special Meetings</w:t>
      </w:r>
      <w:r>
        <w:rPr>
          <w:rFonts w:ascii="Times New Roman;Times;serif" w:hAnsi="Times New Roman;Times;serif"/>
          <w:b w:val="false"/>
          <w:i w:val="false"/>
          <w:caps w:val="false"/>
          <w:smallCaps w:val="false"/>
          <w:color w:val="000000"/>
          <w:spacing w:val="4"/>
          <w:sz w:val="20"/>
        </w:rPr>
        <w:t xml:space="preserve">.   Our restated certificate of incorporation provides that any action required or permitted to be taken by our stockholders must be effected at a duly called annual or special meeting of such holders and may not be effected by any consent in writing by such holders. Our restated certificate of incorporation and amended and restated bylaws also provide that, except as otherwise required by law, special meetings of our stockholders can only be called by the chairman of our board of directors, our Chief Executive Officer, or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Requirements for Stockholder Proposals</w:t>
      </w:r>
      <w:r>
        <w:rPr>
          <w:rFonts w:ascii="Times New Roman;Times;serif" w:hAnsi="Times New Roman;Times;serif"/>
          <w:b w:val="false"/>
          <w:i w:val="false"/>
          <w:caps w:val="false"/>
          <w:smallCaps w:val="false"/>
          <w:color w:val="000000"/>
          <w:spacing w:val="4"/>
          <w:sz w:val="20"/>
        </w:rPr>
        <w:t xml:space="preserve">.   Our amended and restated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Delaware Business Combination Statute.   </w:t>
      </w: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(“DGCL”)(“Section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493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business combinations to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transfer, pledge or other disposition of 10% or more of the assets of the corporation to or with the interested stockholder;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loss, advances, guarantees, pledges or other financial benefits by or through the corporation.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 and Bylaws</w:t>
      </w:r>
      <w:r>
        <w:rPr>
          <w:rFonts w:ascii="Times New Roman;Times;serif" w:hAnsi="Times New Roman;Times;serif"/>
          <w:b w:val="false"/>
          <w:i w:val="false"/>
          <w:caps w:val="false"/>
          <w:smallCaps w:val="false"/>
          <w:color w:val="000000"/>
          <w:spacing w:val="4"/>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restated certificate of incorporation described above under “— Staggered Board; Removal of Directors” and “— Stockholder Action by Written Consent; Special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 Selection</w:t>
      </w:r>
      <w:r>
        <w:rPr>
          <w:rFonts w:ascii="Times New Roman;Times;serif" w:hAnsi="Times New Roman;Times;serif"/>
          <w:b w:val="false"/>
          <w:i w:val="false"/>
          <w:caps w:val="false"/>
          <w:smallCaps w:val="false"/>
          <w:color w:val="000000"/>
          <w:spacing w:val="4"/>
          <w:sz w:val="20"/>
        </w:rPr>
        <w:t xml:space="preserve">.   Our restated certificate of incorporation provides that the Court of 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restated certificate of incorporation or amended and restated bylaws, or (4) any action asserting a claim against our company governed by the internal affairs doctrine. Although our restated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Blank Check Preferred Stock</w:t>
      </w:r>
      <w:r>
        <w:rPr>
          <w:rFonts w:ascii="Times New Roman;Times;serif" w:hAnsi="Times New Roman;Times;serif"/>
          <w:b w:val="false"/>
          <w:i w:val="false"/>
          <w:caps w:val="false"/>
          <w:smallCaps w:val="false"/>
          <w:color w:val="000000"/>
          <w:spacing w:val="4"/>
          <w:sz w:val="20"/>
        </w:rPr>
        <w:t xml:space="preserve">.   Our restated certificate of incorporation provides for 5,000,000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interests of our company, our board of directors could cause shares of preferred stock to be issued without stockholder approval in one or more private offerings or other transactions that might dilute the voting or other rights of the proposed acquiror or insurgent shareholder or shareholder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the company. Our board of directors currently does not intend to seek shareholder approval prior to any issuance of shares of preferred stock, unless otherwise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Our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DS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terms of the depositary shares contained in this prospectus is not a complete description of the terms of the depositary shares. You should refer to the form of the deposit agreement, our restated certificate of incorporation and the certificate of designation for the applicable series of preferred stock that are, or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635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of the preferred stock in connection with our dissolution and such distribution has been made to all the holders of depositary shares. </w:t>
      </w:r>
      <w:r>
        <mc:AlternateContent>
          <mc:Choice Requires="wps">
            <w:drawing>
              <wp:anchor behindDoc="0" distT="482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remove the depositary at any time. Any resignation or removal of the depositary will take effect upon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SR"/>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stockholders entitled to receive the rights;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equity securities that may be purchased upon exercise of each right;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the rights;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rights are transferable;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during which the rights may be exercised and when they will expire;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steps required to exercise the rights;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subscription rights issued;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equity securities;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arrangement entered into by us in connection with the offering of subscription rights;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terms of the subscription rights, including the terms, procedures and limitations relating to the exercise of the subscription rights;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rights include “oversubscription rights” so that the holder may purchase more securities if other holders do not purchase their full allotments;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intend to sell the shares of equity securities that are not purchased in the rights offering to an underwriter or other purchaser under a contractual “standby” commitment or other arrangement; and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United States federal income tax considerations.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PC"/>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representing contracts obligating holders to purchase from us, and obligating us to sell to the holders, a specified number of shares of common stock, shares of preferred stock, or other securities described in this prospectus or the applicable prospectus supplement at a future date or dates. The price per share may be fixed at the time the share purchase contracts are issued or may be determined by reference to a specific formula set forth in the share purchase contracts. The purchase contracts may be issued separately or as a part of units consisting of a purchase contract and either shares of common stock, shares of preferred stock, our debt securities or debt obligations of third parties, including U.S. Treasury securities, any other security described in the applicable prospectus supplement, or any combination of the foregoing, securing the holder’s obligations to purchase the securities under the share purchase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units or vice versa, and such payments may be unsecured or prefunded on some basis. The purchase contracts may require holders to secure their obligations thereunder in a specified manner. In certain circumstances, we may deliver newly issued prepaid purchase contracts upon release to a holder of any collateral securing the holder’s obligations under the original purchase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purchase contracts. The description in the prospectus supplement will only be a summary, and you should read the purchase contracts, and, if applicable, collateral or depositary arrangements, relating to the purchase contracts. Material United States federal income tax considerations applicable to the purchase contracts will also be discussed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an accompanying prospectus supplement, each purchase contract and any related agreement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W"/>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designation and aggregate number of, and the offering price at which we will issue, the warrants;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are to be sold separately or with other securities as parts of units;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for the warrants and of any other depositaries, execution or paying agents, transfer agents, registrars or other agents;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listing, if any, of the warrants or any securities purchasable upon exercise of the warrants on any securities exchange;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equity securities purchasable upon exercise of the warrants;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currency and terms of any debt securities that may be purchased upon exercise of the warrants;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preferred stock or depositary shares with which the warrants are issued and the number of warrants issued with each security;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from and after which any warrants issued as part of a unit and the related debt securities, preferred stock, depositary shares or common stock will be separately transferable;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preferred stock or depositary shares purchasable upon exercise of a warrant and the price at which those shares may be purchased;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and other provisions for changes to or adjustment in the exercise price of, the warrants, if any;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call provisions; and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or exercise of the warrants.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DOU"/>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the terms of the units and of the securities constituting the units, including whether and under what circumstances the securities comprising the units may be traded separately;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any unit agent for the units, if applicable, and of any other depositaries, execution or paying agents, transfer agents, registrars or other agents;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governing unit agreement, if applicable;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provisions for the issuance, payment, settlement, transfer or exchange of the units or of the debt securities, common stock, preferred stock, purchase contracts or warrants constituting the unit;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FOS"/>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depositary share, subscription right, purchase contract, warrant and unit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subscription right, purchase contracts,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of a particular series, depositary shares, subscription right, purchase contracts,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subscription rights agreement, purchase contract,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purchase contract,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subscription right agreement, purchase contract, warrant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subscription rights agreement, purchase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payments on debt securities, and any payments to holders with respect to depositary shares, subscription rights, warrants, purchase agreements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OD"/>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Offered by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w:t>
      </w:r>
      <w:r>
        <mc:AlternateContent>
          <mc:Choice Requires="wps">
            <w:drawing>
              <wp:anchor behindDoc="0" distT="800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800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or </w:t>
      </w:r>
      <w:r>
        <mc:AlternateContent>
          <mc:Choice Requires="wps">
            <w:drawing>
              <wp:anchor behindDoc="0" distT="8001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8001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8001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8001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8001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8001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with respect to the securities of a particular series will describe the terms of the offering of the securities, including the following: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8001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and the proceeds we will receive from the sale of the securities; </w:t>
      </w:r>
      <w:r>
        <mc:AlternateContent>
          <mc:Choice Requires="wps">
            <w:drawing>
              <wp:anchor behindDoc="0" distT="8001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the agent or underwriters; </w:t>
      </w:r>
      <w:r>
        <mc:AlternateContent>
          <mc:Choice Requires="wps">
            <w:drawing>
              <wp:anchor behindDoc="0" distT="8001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8001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dealers; and </w:t>
      </w:r>
      <w:r>
        <mc:AlternateContent>
          <mc:Choice Requires="wps">
            <w:drawing>
              <wp:anchor behindDoc="0" distT="8001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8001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LEMA"/>
      <w:bookmarkEnd w:id="35"/>
      <w:r>
        <w:rPr>
          <w:rFonts w:ascii="calibri;arial;sans-serif" w:hAnsi="calibri;arial;sans-serif"/>
          <w:b w:val="false"/>
          <w:i w:val="false"/>
          <w:caps w:val="false"/>
          <w:smallCaps w:val="false"/>
          <w:color w:val="000000"/>
          <w:sz w:val="16"/>
        </w:rPr>
        <w:t>​</w:t>
      </w:r>
      <w:bookmarkStart w:id="36" w:name="tEXP"/>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Annual Report on </w:t>
      </w:r>
      <w:hyperlink r:id="rId23">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2024, which is incorporated by reference in this prospectus and elsewhere in the registration statement. Our financial statements are incorporated by reference in reliance on Ernst &amp; Young LLP’s report, given on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210" w:after="283"/>
        <w:jc w:val="center"/>
        <w:rPr>
          <w:caps w:val="false"/>
          <w:smallCaps w:val="false"/>
          <w:color w:val="000000"/>
        </w:rPr>
      </w:pPr>
      <w:r>
        <w:rPr>
          <w:caps w:val="false"/>
          <w:smallCaps w:val="false"/>
          <w:color w:val="000000"/>
        </w:rPr>
        <w:drawing>
          <wp:inline distT="0" distB="0" distL="0" distR="0">
            <wp:extent cx="2590800" cy="1076325"/>
            <wp:effectExtent l="0" t="0" r="0" b="0"/>
            <wp:docPr id="2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3" descr=""/>
                    <pic:cNvPicPr>
                      <a:picLocks noChangeAspect="1" noChangeArrowheads="1"/>
                    </pic:cNvPicPr>
                  </pic:nvPicPr>
                  <pic:blipFill>
                    <a:blip r:embed="rId24"/>
                    <a:stretch>
                      <a:fillRect/>
                    </a:stretch>
                  </pic:blipFill>
                  <pic:spPr bwMode="auto">
                    <a:xfrm>
                      <a:off x="0" y="0"/>
                      <a:ext cx="2590800" cy="10763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55,555,556 Shares of Common Stock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 Warrants to Purchase 55,555,556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9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37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3471" w:type="dxa"/>
        <w:jc w:val="left"/>
        <w:tblInd w:w="1393" w:type="dxa"/>
        <w:tblLayout w:type="fixed"/>
        <w:tblCellMar>
          <w:top w:w="0" w:type="dxa"/>
          <w:left w:w="0" w:type="dxa"/>
          <w:bottom w:w="0" w:type="dxa"/>
          <w:right w:w="0" w:type="dxa"/>
        </w:tblCellMar>
      </w:tblPr>
      <w:tblGrid>
        <w:gridCol w:w="124"/>
        <w:gridCol w:w="781"/>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781" w:type="dxa"/>
            <w:tcBorders/>
            <w:vAlign w:val="center"/>
          </w:tcPr>
          <w:p>
            <w:pPr>
              <w:pStyle w:val="TableContents"/>
              <w:bidi w:val="0"/>
              <w:spacing w:before="0" w:after="0"/>
              <w:jc w:val="center"/>
              <w:rPr/>
            </w:pPr>
            <w:r>
              <w:rPr>
                <w:spacing w:val="-6"/>
              </w:rPr>
              <w:t>Cantor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4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26,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50664/000165066426000017/edit-20251231.htm" TargetMode="External"/><Relationship Id="rId4" Type="http://schemas.openxmlformats.org/officeDocument/2006/relationships/hyperlink" Target="https://www.sec.gov/ix?doc=/Archives/edgar/data/1650664/000165066426000017/edit-20251231.htm" TargetMode="External"/><Relationship Id="rId5" Type="http://schemas.openxmlformats.org/officeDocument/2006/relationships/hyperlink" Target="https://www.sec.gov/ix?doc=/Archives/edgar/data/1650664/000165066426000017/edit-20251231.htm" TargetMode="External"/><Relationship Id="rId6" Type="http://schemas.openxmlformats.org/officeDocument/2006/relationships/hyperlink" Target="https://www.sec.gov/ix?doc=/Archives/edgar/data/1650664/000165066426000017/edit-20251231.htm" TargetMode="External"/><Relationship Id="rId7" Type="http://schemas.openxmlformats.org/officeDocument/2006/relationships/hyperlink" Target="https://www.sec.gov/ix?doc=/Archives/edgar/data/1650664/000165066426000037/edit-20260428.htm" TargetMode="External"/><Relationship Id="rId8" Type="http://schemas.openxmlformats.org/officeDocument/2006/relationships/hyperlink" Target="https://www.sec.gov/ix?doc=/Archives/edgar/data/1650664/000165066426000045/edit-20260331.htm" TargetMode="External"/><Relationship Id="rId9" Type="http://schemas.openxmlformats.org/officeDocument/2006/relationships/hyperlink" Target="https://www.sec.gov/ix?doc=/Archives/edgar/data/1650664/000165066426000027/edit-20260326.htm" TargetMode="External"/><Relationship Id="rId10" Type="http://schemas.openxmlformats.org/officeDocument/2006/relationships/hyperlink" Target="https://www.sec.gov/ix?doc=/Archives/edgar/data/1650664/000165066426000030/edit-20260401.htm" TargetMode="External"/><Relationship Id="rId11" Type="http://schemas.openxmlformats.org/officeDocument/2006/relationships/hyperlink" Target="https://www.sec.gov/ix?doc=/Archives/edgar/data/1650664/000165066426000049/edit-20260514.htm" TargetMode="External"/><Relationship Id="rId12" Type="http://schemas.openxmlformats.org/officeDocument/2006/relationships/hyperlink" Target="https://www.sec.gov/ix?doc=/Archives/edgar/data/1650664/000110465926065908/tm2615565d1_8k.htm" TargetMode="External"/><Relationship Id="rId13" Type="http://schemas.openxmlformats.org/officeDocument/2006/relationships/hyperlink" Target="https://www.sec.gov/ix?doc=/Archives/edgar/data/1650664/000110465926066021/tm2615565d2_8k.htm" TargetMode="External"/><Relationship Id="rId14" Type="http://schemas.openxmlformats.org/officeDocument/2006/relationships/hyperlink" Target="https://www.sec.gov/ix?doc=/Archives/edgar/data/0001650664/000110465926066317/tm2615565d3_8k.htm" TargetMode="External"/><Relationship Id="rId15" Type="http://schemas.openxmlformats.org/officeDocument/2006/relationships/hyperlink" Target="https://www.sec.gov/Archives/edgar/data/1650664/000110465916092420/a16-3079_18a12b.htm" TargetMode="External"/><Relationship Id="rId16" Type="http://schemas.openxmlformats.org/officeDocument/2006/relationships/hyperlink" Target="https://www.sec.gov/Archives/edgar/data/1650664/000165066426000017/ex42-descriptionofcapitals.htm" TargetMode="External"/><Relationship Id="rId17" Type="http://schemas.openxmlformats.org/officeDocument/2006/relationships/image" Target="media/image1.jpeg"/><Relationship Id="rId18" Type="http://schemas.openxmlformats.org/officeDocument/2006/relationships/hyperlink" Target="https://www.sec.gov/ix?doc=/Archives/edgar/data/1650664/000165066425000022/edit-20241231.htm" TargetMode="External"/><Relationship Id="rId19" Type="http://schemas.openxmlformats.org/officeDocument/2006/relationships/hyperlink" Target="https://www.sec.gov/ix?doc=/Archives/edgar/data/1650664/000165066424000008/edit-20231231.htm" TargetMode="External"/><Relationship Id="rId20" Type="http://schemas.openxmlformats.org/officeDocument/2006/relationships/hyperlink" Target="https://www.sec.gov/ix?doc=/Archives/edgar/data/1650664/000165066424000025/edit-20240416.htm" TargetMode="External"/><Relationship Id="rId21" Type="http://schemas.openxmlformats.org/officeDocument/2006/relationships/hyperlink" Target="https://www.sec.gov/Archives/edgar/data/1650664/000110465916092420/a16-3079_18a12b.htm" TargetMode="External"/><Relationship Id="rId22" Type="http://schemas.openxmlformats.org/officeDocument/2006/relationships/hyperlink" Target="https://www.sec.gov/Archives/edgar/data/1650664/000165066424000008/ex42-descriptionofcapitals.htm" TargetMode="External"/><Relationship Id="rId23" Type="http://schemas.openxmlformats.org/officeDocument/2006/relationships/hyperlink" Target="https://www.sec.gov/ix?doc=/Archives/edgar/data/1650664/000165066425000022/edit-20241231.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40601</Words>
  <Characters>213806</Characters>
  <CharactersWithSpaces>256092</CharactersWithSpaces>
  <Paragraphs>2168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