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366395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jc w:val="center"/>
        <w:spacing w:after="0" w:line="204" w:lineRule="auto"/>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72390</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480" w:hanging="477"/>
        <w:spacing w:after="0" w:line="211" w:lineRule="auto"/>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w:t>
      </w:r>
    </w:p>
    <w:p>
      <w:pPr>
        <w:ind w:left="320"/>
        <w:spacing w:after="0" w:line="194" w:lineRule="auto"/>
        <w:rPr>
          <w:sz w:val="20"/>
          <w:szCs w:val="20"/>
          <w:color w:val="auto"/>
        </w:rPr>
      </w:pPr>
      <w:r>
        <w:rPr>
          <w:rFonts w:ascii="Arial" w:cs="Arial" w:eastAsia="Arial" w:hAnsi="Arial"/>
          <w:sz w:val="18"/>
          <w:szCs w:val="18"/>
          <w:b w:val="1"/>
          <w:bCs w:val="1"/>
          <w:color w:val="auto"/>
        </w:rPr>
        <w:t>OF 1934</w:t>
      </w:r>
    </w:p>
    <w:p>
      <w:pPr>
        <w:jc w:val="center"/>
        <w:spacing w:after="0"/>
        <w:rPr>
          <w:sz w:val="20"/>
          <w:szCs w:val="20"/>
          <w:color w:val="auto"/>
        </w:rPr>
      </w:pPr>
      <w:r>
        <w:rPr>
          <w:rFonts w:ascii="Arial" w:cs="Arial" w:eastAsia="Arial" w:hAnsi="Arial"/>
          <w:sz w:val="14"/>
          <w:szCs w:val="14"/>
          <w:b w:val="1"/>
          <w:bCs w:val="1"/>
          <w:color w:val="auto"/>
        </w:rPr>
        <w:t>For the quarterly period ended March 31, 2018</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89" w:lineRule="exact"/>
        <w:rPr>
          <w:sz w:val="24"/>
          <w:szCs w:val="24"/>
          <w:color w:val="auto"/>
        </w:rPr>
      </w:pPr>
    </w:p>
    <w:p>
      <w:pPr>
        <w:ind w:left="480" w:hanging="477"/>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w:t>
      </w:r>
    </w:p>
    <w:p>
      <w:pPr>
        <w:ind w:left="320"/>
        <w:spacing w:after="0" w:line="193" w:lineRule="auto"/>
        <w:rPr>
          <w:sz w:val="20"/>
          <w:szCs w:val="20"/>
          <w:color w:val="auto"/>
        </w:rPr>
      </w:pPr>
      <w:r>
        <w:rPr>
          <w:rFonts w:ascii="Arial" w:cs="Arial" w:eastAsia="Arial" w:hAnsi="Arial"/>
          <w:sz w:val="18"/>
          <w:szCs w:val="18"/>
          <w:b w:val="1"/>
          <w:bCs w:val="1"/>
          <w:color w:val="auto"/>
        </w:rPr>
        <w:t>OF 1934</w:t>
      </w:r>
    </w:p>
    <w:p>
      <w:pPr>
        <w:spacing w:after="0" w:line="1" w:lineRule="exact"/>
        <w:rPr>
          <w:sz w:val="24"/>
          <w:szCs w:val="24"/>
          <w:color w:val="auto"/>
        </w:rPr>
      </w:pPr>
    </w:p>
    <w:p>
      <w:pPr>
        <w:ind w:left="2780"/>
        <w:spacing w:after="0"/>
        <w:rPr>
          <w:sz w:val="20"/>
          <w:szCs w:val="20"/>
          <w:color w:val="auto"/>
        </w:rPr>
      </w:pPr>
      <w:r>
        <w:rPr>
          <w:rFonts w:ascii="Arial" w:cs="Arial" w:eastAsia="Arial" w:hAnsi="Arial"/>
          <w:sz w:val="14"/>
          <w:szCs w:val="14"/>
          <w:b w:val="1"/>
          <w:bCs w:val="1"/>
          <w:color w:val="auto"/>
        </w:rPr>
        <w:t>For the transition period from ____________ to ________</w:t>
      </w:r>
    </w:p>
    <w:p>
      <w:pPr>
        <w:spacing w:after="0" w:line="201" w:lineRule="exact"/>
        <w:rPr>
          <w:sz w:val="24"/>
          <w:szCs w:val="24"/>
          <w:color w:val="auto"/>
        </w:rPr>
      </w:pPr>
    </w:p>
    <w:tbl>
      <w:tblPr>
        <w:tblLayout w:type="fixed"/>
        <w:tblInd w:w="42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33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3"/>
              </w:rPr>
              <w:t>Commission File Number 001-37687</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98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6340" w:type="dxa"/>
            <w:vAlign w:val="bottom"/>
            <w:gridSpan w:val="3"/>
          </w:tcPr>
          <w:p>
            <w:pPr>
              <w:jc w:val="center"/>
              <w:ind w:left="1797"/>
              <w:spacing w:after="0"/>
              <w:rPr>
                <w:sz w:val="20"/>
                <w:szCs w:val="20"/>
                <w:color w:val="auto"/>
              </w:rPr>
            </w:pPr>
            <w:r>
              <w:rPr>
                <w:rFonts w:ascii="Arial" w:cs="Arial" w:eastAsia="Arial" w:hAnsi="Arial"/>
                <w:sz w:val="29"/>
                <w:szCs w:val="29"/>
                <w:b w:val="1"/>
                <w:bCs w:val="1"/>
                <w:color w:val="auto"/>
              </w:rPr>
              <w:t>EDITAS MEDICINE,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340" w:type="dxa"/>
            <w:vAlign w:val="bottom"/>
            <w:gridSpan w:val="3"/>
          </w:tcPr>
          <w:p>
            <w:pPr>
              <w:jc w:val="center"/>
              <w:ind w:left="1797"/>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980" w:type="dxa"/>
            <w:vAlign w:val="bottom"/>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5"/>
        </w:trPr>
        <w:tc>
          <w:tcPr>
            <w:tcW w:w="6340" w:type="dxa"/>
            <w:vAlign w:val="bottom"/>
            <w:gridSpan w:val="3"/>
          </w:tcPr>
          <w:p>
            <w:pPr>
              <w:jc w:val="center"/>
              <w:ind w:right="4160"/>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jc w:val="center"/>
              <w:ind w:left="168"/>
              <w:spacing w:after="0" w:line="161" w:lineRule="exact"/>
              <w:rPr>
                <w:sz w:val="20"/>
                <w:szCs w:val="20"/>
                <w:color w:val="auto"/>
              </w:rPr>
            </w:pPr>
            <w:r>
              <w:rPr>
                <w:rFonts w:ascii="Arial" w:cs="Arial" w:eastAsia="Arial" w:hAnsi="Arial"/>
                <w:sz w:val="14"/>
                <w:szCs w:val="14"/>
                <w:b w:val="1"/>
                <w:bCs w:val="1"/>
                <w:color w:val="auto"/>
                <w:w w:val="91"/>
              </w:rPr>
              <w:t>46</w:t>
            </w:r>
            <w:r>
              <w:rPr>
                <w:rFonts w:ascii="MS PGothic" w:cs="MS PGothic" w:eastAsia="MS PGothic" w:hAnsi="MS PGothic"/>
                <w:sz w:val="14"/>
                <w:szCs w:val="14"/>
                <w:b w:val="1"/>
                <w:bCs w:val="1"/>
                <w:color w:val="auto"/>
                <w:w w:val="91"/>
              </w:rPr>
              <w:t>‑</w:t>
            </w:r>
            <w:r>
              <w:rPr>
                <w:rFonts w:ascii="Arial" w:cs="Arial" w:eastAsia="Arial" w:hAnsi="Arial"/>
                <w:sz w:val="14"/>
                <w:szCs w:val="14"/>
                <w:b w:val="1"/>
                <w:bCs w:val="1"/>
                <w:color w:val="auto"/>
                <w:w w:val="91"/>
              </w:rPr>
              <w:t>4097528</w:t>
            </w:r>
          </w:p>
        </w:tc>
        <w:tc>
          <w:tcPr>
            <w:tcW w:w="0" w:type="dxa"/>
            <w:vAlign w:val="bottom"/>
          </w:tcPr>
          <w:p>
            <w:pPr>
              <w:spacing w:after="0"/>
              <w:rPr>
                <w:sz w:val="1"/>
                <w:szCs w:val="1"/>
                <w:color w:val="auto"/>
              </w:rPr>
            </w:pPr>
          </w:p>
        </w:tc>
      </w:tr>
      <w:tr>
        <w:trPr>
          <w:trHeight w:val="135"/>
        </w:trPr>
        <w:tc>
          <w:tcPr>
            <w:tcW w:w="6340" w:type="dxa"/>
            <w:vAlign w:val="bottom"/>
            <w:gridSpan w:val="3"/>
          </w:tcPr>
          <w:p>
            <w:pPr>
              <w:jc w:val="center"/>
              <w:ind w:right="3980"/>
              <w:spacing w:after="0" w:line="135" w:lineRule="exact"/>
              <w:rPr>
                <w:sz w:val="20"/>
                <w:szCs w:val="20"/>
                <w:color w:val="auto"/>
              </w:rPr>
            </w:pPr>
            <w:r>
              <w:rPr>
                <w:rFonts w:ascii="Arial" w:cs="Arial" w:eastAsia="Arial" w:hAnsi="Arial"/>
                <w:sz w:val="14"/>
                <w:szCs w:val="14"/>
                <w:b w:val="1"/>
                <w:bCs w:val="1"/>
                <w:color w:val="auto"/>
                <w:w w:val="93"/>
              </w:rPr>
              <w:t>(State or other jurisdiction of</w:t>
            </w:r>
          </w:p>
        </w:tc>
        <w:tc>
          <w:tcPr>
            <w:tcW w:w="136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340" w:type="dxa"/>
            <w:vAlign w:val="bottom"/>
            <w:gridSpan w:val="3"/>
          </w:tcPr>
          <w:p>
            <w:pPr>
              <w:jc w:val="center"/>
              <w:ind w:right="3980"/>
              <w:spacing w:after="0"/>
              <w:rPr>
                <w:sz w:val="20"/>
                <w:szCs w:val="20"/>
                <w:color w:val="auto"/>
              </w:rPr>
            </w:pPr>
            <w:r>
              <w:rPr>
                <w:rFonts w:ascii="Arial" w:cs="Arial" w:eastAsia="Arial" w:hAnsi="Arial"/>
                <w:sz w:val="14"/>
                <w:szCs w:val="14"/>
                <w:b w:val="1"/>
                <w:bCs w:val="1"/>
                <w:color w:val="auto"/>
                <w:w w:val="94"/>
              </w:rPr>
              <w:t>incorporation or organization)</w:t>
            </w:r>
          </w:p>
        </w:tc>
        <w:tc>
          <w:tcPr>
            <w:tcW w:w="136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13"/>
        </w:trPr>
        <w:tc>
          <w:tcPr>
            <w:tcW w:w="6340" w:type="dxa"/>
            <w:vAlign w:val="bottom"/>
            <w:gridSpan w:val="3"/>
          </w:tcPr>
          <w:p>
            <w:pPr>
              <w:jc w:val="center"/>
              <w:ind w:right="4140"/>
              <w:spacing w:after="0"/>
              <w:rPr>
                <w:sz w:val="20"/>
                <w:szCs w:val="20"/>
                <w:color w:val="auto"/>
              </w:rPr>
            </w:pPr>
            <w:r>
              <w:rPr>
                <w:rFonts w:ascii="Arial" w:cs="Arial" w:eastAsia="Arial" w:hAnsi="Arial"/>
                <w:sz w:val="14"/>
                <w:szCs w:val="14"/>
                <w:b w:val="1"/>
                <w:bCs w:val="1"/>
                <w:color w:val="auto"/>
                <w:w w:val="93"/>
              </w:rPr>
              <w:t>11 Hurley Street</w:t>
            </w:r>
          </w:p>
        </w:tc>
        <w:tc>
          <w:tcPr>
            <w:tcW w:w="13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02141</w:t>
            </w:r>
          </w:p>
        </w:tc>
        <w:tc>
          <w:tcPr>
            <w:tcW w:w="0" w:type="dxa"/>
            <w:vAlign w:val="bottom"/>
          </w:tcPr>
          <w:p>
            <w:pPr>
              <w:spacing w:after="0"/>
              <w:rPr>
                <w:sz w:val="1"/>
                <w:szCs w:val="1"/>
                <w:color w:val="auto"/>
              </w:rPr>
            </w:pPr>
          </w:p>
        </w:tc>
      </w:tr>
      <w:tr>
        <w:trPr>
          <w:trHeight w:val="135"/>
        </w:trPr>
        <w:tc>
          <w:tcPr>
            <w:tcW w:w="6340" w:type="dxa"/>
            <w:vAlign w:val="bottom"/>
            <w:gridSpan w:val="3"/>
          </w:tcPr>
          <w:p>
            <w:pPr>
              <w:jc w:val="center"/>
              <w:ind w:right="3960"/>
              <w:spacing w:after="0" w:line="135" w:lineRule="exact"/>
              <w:rPr>
                <w:sz w:val="20"/>
                <w:szCs w:val="20"/>
                <w:color w:val="auto"/>
              </w:rPr>
            </w:pPr>
            <w:r>
              <w:rPr>
                <w:rFonts w:ascii="Arial" w:cs="Arial" w:eastAsia="Arial" w:hAnsi="Arial"/>
                <w:sz w:val="14"/>
                <w:szCs w:val="14"/>
                <w:b w:val="1"/>
                <w:bCs w:val="1"/>
                <w:color w:val="auto"/>
                <w:w w:val="91"/>
              </w:rPr>
              <w:t>Cambridge, Massachusetts</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340" w:type="dxa"/>
            <w:vAlign w:val="bottom"/>
            <w:gridSpan w:val="3"/>
          </w:tcPr>
          <w:p>
            <w:pPr>
              <w:jc w:val="center"/>
              <w:ind w:right="39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60" w:type="dxa"/>
            <w:vAlign w:val="bottom"/>
          </w:tcPr>
          <w:p>
            <w:pPr>
              <w:jc w:val="center"/>
              <w:ind w:left="16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bl>
    <w:p>
      <w:pPr>
        <w:spacing w:after="0" w:line="105"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(617) 401</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9000</w:t>
      </w: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0" w:lineRule="exact"/>
        <w:rPr>
          <w:sz w:val="24"/>
          <w:szCs w:val="24"/>
          <w:color w:val="auto"/>
        </w:rPr>
      </w:pPr>
    </w:p>
    <w:p>
      <w:pPr>
        <w:ind w:right="140" w:firstLine="648"/>
        <w:spacing w:after="0" w:line="15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firstLine="648"/>
        <w:spacing w:after="0" w:line="156" w:lineRule="exact"/>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4"/>
          <w:szCs w:val="14"/>
          <w:color w:val="auto"/>
        </w:rPr>
        <w:t>‑</w:t>
      </w:r>
      <w:r>
        <w:rPr>
          <w:rFonts w:ascii="Arial" w:cs="Arial" w:eastAsia="Arial" w:hAnsi="Arial"/>
          <w:sz w:val="14"/>
          <w:szCs w:val="14"/>
          <w:color w:val="auto"/>
        </w:rPr>
        <w:t xml:space="preserve">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00" w:firstLine="648"/>
        <w:spacing w:after="0" w:line="151"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ectPr>
          <w:pgSz w:w="11900" w:h="16838" w:orient="portrait"/>
          <w:cols w:equalWidth="0" w:num="1">
            <w:col w:w="9060"/>
          </w:cols>
          <w:pgMar w:left="1420" w:top="220" w:right="1419" w:bottom="1440" w:gutter="0" w:footer="0" w:header="0"/>
        </w:sectPr>
      </w:pPr>
    </w:p>
    <w:p>
      <w:pPr>
        <w:spacing w:after="0" w:line="76"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9" w:lineRule="exact"/>
        <w:rPr>
          <w:sz w:val="24"/>
          <w:szCs w:val="24"/>
          <w:color w:val="auto"/>
        </w:rPr>
      </w:pPr>
    </w:p>
    <w:p>
      <w:pPr>
        <w:sectPr>
          <w:pgSz w:w="11900" w:h="16838" w:orient="portrait"/>
          <w:cols w:equalWidth="0" w:num="4">
            <w:col w:w="1300" w:space="200"/>
            <w:col w:w="3460" w:space="720"/>
            <w:col w:w="1120" w:space="720"/>
            <w:col w:w="1540"/>
          </w:cols>
          <w:pgMar w:left="1420" w:top="220" w:right="1419" w:bottom="1440" w:gutter="0" w:footer="0" w:header="0"/>
          <w:type w:val="continuous"/>
        </w:sectPr>
      </w:pPr>
    </w:p>
    <w:p>
      <w:pPr>
        <w:spacing w:after="0" w:line="2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49" w:lineRule="exact"/>
        <w:rPr>
          <w:sz w:val="24"/>
          <w:szCs w:val="24"/>
          <w:color w:val="auto"/>
        </w:rPr>
      </w:pPr>
    </w:p>
    <w:p>
      <w:pPr>
        <w:sectPr>
          <w:pgSz w:w="11900" w:h="16838" w:orient="portrait"/>
          <w:cols w:equalWidth="0" w:num="5">
            <w:col w:w="1220" w:space="280"/>
            <w:col w:w="140" w:space="60"/>
            <w:col w:w="3260" w:space="720"/>
            <w:col w:w="1560" w:space="280"/>
            <w:col w:w="1540"/>
          </w:cols>
          <w:pgMar w:left="1420" w:top="220" w:right="141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6" w:lineRule="exact"/>
        <w:rPr>
          <w:sz w:val="24"/>
          <w:szCs w:val="24"/>
          <w:color w:val="auto"/>
        </w:rPr>
      </w:pPr>
    </w:p>
    <w:p>
      <w:pPr>
        <w:ind w:right="80" w:firstLine="648"/>
        <w:spacing w:after="0" w:line="167"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4"/>
          <w:szCs w:val="14"/>
          <w:color w:val="auto"/>
        </w:rPr>
        <w:t>☒</w:t>
      </w:r>
    </w:p>
    <w:p>
      <w:pPr>
        <w:spacing w:after="0" w:line="45" w:lineRule="exact"/>
        <w:rPr>
          <w:sz w:val="24"/>
          <w:szCs w:val="24"/>
          <w:color w:val="auto"/>
        </w:rPr>
      </w:pPr>
    </w:p>
    <w:p>
      <w:pPr>
        <w:ind w:left="660" w:right="1040"/>
        <w:spacing w:after="0" w:line="227"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the Common Stock outstanding as of April 27, 2018 was 47,204,376.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575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67945</wp:posOffset>
            </wp:positionV>
            <wp:extent cx="575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650875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20" w:right="141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331"/>
        </w:trPr>
        <w:tc>
          <w:tcPr>
            <w:tcW w:w="868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7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Borders>
              <w:top w:val="single" w:sz="8" w:color="0000EE"/>
              <w:bottom w:val="single" w:sz="8" w:color="0000EE"/>
            </w:tcBorders>
            <w:gridSpan w:val="10"/>
          </w:tcPr>
          <w:p>
            <w:pPr>
              <w:spacing w:after="0" w:line="15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w:t>
              </w:r>
            </w:hyperlink>
          </w:p>
        </w:tc>
        <w:tc>
          <w:tcPr>
            <w:tcW w:w="3900" w:type="dxa"/>
            <w:vAlign w:val="bottom"/>
            <w:tcBorders>
              <w:bottom w:val="single" w:sz="8" w:color="0000EE"/>
            </w:tcBorders>
            <w:gridSpan w:val="4"/>
          </w:tcPr>
          <w:p>
            <w:pPr>
              <w:ind w:left="80"/>
              <w:spacing w:after="0" w:line="15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Sheets as of March 31, 2018 and December 31, 2017</w:t>
              </w:r>
            </w:hyperlink>
          </w:p>
        </w:tc>
        <w:tc>
          <w:tcPr>
            <w:tcW w:w="1480" w:type="dxa"/>
            <w:vAlign w:val="bottom"/>
            <w:gridSpan w:val="5"/>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760" w:type="dxa"/>
            <w:vAlign w:val="bottom"/>
            <w:gridSpan w:val="19"/>
          </w:tcPr>
          <w:p>
            <w:pPr>
              <w:spacing w:after="0" w:line="15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for the three months ended March 31, 2018 and 2017</w:t>
              </w:r>
            </w:hyperlink>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540" w:type="dxa"/>
            <w:vAlign w:val="bottom"/>
            <w:tcBorders>
              <w:top w:val="single" w:sz="8" w:color="0000EE"/>
              <w:bottom w:val="single" w:sz="8" w:color="0000EE"/>
            </w:tcBorders>
            <w:gridSpan w:val="17"/>
          </w:tcPr>
          <w:p>
            <w:pPr>
              <w:spacing w:after="0" w:line="15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months ended March 31, 2018</w:t>
              </w:r>
            </w:hyperlink>
          </w:p>
        </w:tc>
        <w:tc>
          <w:tcPr>
            <w:tcW w:w="20" w:type="dxa"/>
            <w:vAlign w:val="bottom"/>
            <w:tcBorders>
              <w:bottom w:val="single" w:sz="8" w:color="0000EE"/>
            </w:tcBorders>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560" w:type="dxa"/>
            <w:vAlign w:val="bottom"/>
            <w:gridSpan w:val="18"/>
          </w:tcPr>
          <w:p>
            <w:pPr>
              <w:spacing w:after="0" w:line="156" w:lineRule="exact"/>
              <w:rPr>
                <w:rFonts w:ascii="Arial" w:cs="Arial" w:eastAsia="Arial" w:hAnsi="Arial"/>
                <w:sz w:val="18"/>
                <w:szCs w:val="18"/>
                <w:color w:val="0000EE"/>
              </w:rPr>
            </w:pPr>
            <w:hyperlink w:anchor="page5">
              <w:r>
                <w:rPr>
                  <w:rFonts w:ascii="Arial" w:cs="Arial" w:eastAsia="Arial" w:hAnsi="Arial"/>
                  <w:sz w:val="18"/>
                  <w:szCs w:val="18"/>
                  <w:color w:val="0000EE"/>
                </w:rPr>
                <w:t>and 2017</w:t>
              </w:r>
            </w:hyperlink>
          </w:p>
        </w:tc>
        <w:tc>
          <w:tcPr>
            <w:tcW w:w="2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0000EE"/>
            </w:tcBorders>
            <w:gridSpan w:val="3"/>
          </w:tcPr>
          <w:p>
            <w:pPr>
              <w:spacing w:after="0" w:line="156" w:lineRule="exact"/>
              <w:rPr>
                <w:rFonts w:ascii="Arial" w:cs="Arial" w:eastAsia="Arial" w:hAnsi="Arial"/>
                <w:sz w:val="17"/>
                <w:szCs w:val="17"/>
                <w:color w:val="0000EE"/>
                <w:w w:val="73"/>
              </w:rPr>
            </w:pPr>
            <w:hyperlink w:anchor="page6">
              <w:r>
                <w:rPr>
                  <w:rFonts w:ascii="Arial" w:cs="Arial" w:eastAsia="Arial" w:hAnsi="Arial"/>
                  <w:sz w:val="17"/>
                  <w:szCs w:val="17"/>
                  <w:color w:val="0000EE"/>
                  <w:w w:val="73"/>
                </w:rPr>
                <w:t>Condensed</w:t>
              </w:r>
            </w:hyperlink>
          </w:p>
        </w:tc>
        <w:tc>
          <w:tcPr>
            <w:tcW w:w="7100" w:type="dxa"/>
            <w:vAlign w:val="bottom"/>
            <w:gridSpan w:val="16"/>
          </w:tcPr>
          <w:p>
            <w:pPr>
              <w:ind w:left="180"/>
              <w:spacing w:after="0" w:line="15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Consolidated Statements of Cash Flows for the three months ended March 31, 2018 and</w:t>
              </w:r>
            </w:hyperlink>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62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90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720" w:type="dxa"/>
            <w:vAlign w:val="bottom"/>
            <w:tcBorders>
              <w:top w:val="single" w:sz="8" w:color="0000EE"/>
            </w:tcBorders>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line="156" w:lineRule="exact"/>
              <w:rPr>
                <w:rFonts w:ascii="Arial" w:cs="Arial" w:eastAsia="Arial" w:hAnsi="Arial"/>
                <w:sz w:val="18"/>
                <w:szCs w:val="18"/>
                <w:color w:val="0000EE"/>
                <w:w w:val="72"/>
              </w:rPr>
            </w:pPr>
            <w:hyperlink w:anchor="page7">
              <w:r>
                <w:rPr>
                  <w:rFonts w:ascii="Arial" w:cs="Arial" w:eastAsia="Arial" w:hAnsi="Arial"/>
                  <w:sz w:val="18"/>
                  <w:szCs w:val="18"/>
                  <w:color w:val="0000EE"/>
                  <w:w w:val="72"/>
                </w:rPr>
                <w:t>Notes</w:t>
              </w:r>
            </w:hyperlink>
          </w:p>
        </w:tc>
        <w:tc>
          <w:tcPr>
            <w:tcW w:w="7400" w:type="dxa"/>
            <w:vAlign w:val="bottom"/>
            <w:gridSpan w:val="18"/>
          </w:tcPr>
          <w:p>
            <w:pPr>
              <w:ind w:left="100"/>
              <w:spacing w:after="0" w:line="156" w:lineRule="exact"/>
              <w:rPr>
                <w:rFonts w:ascii="Arial" w:cs="Arial" w:eastAsia="Arial" w:hAnsi="Arial"/>
                <w:sz w:val="18"/>
                <w:szCs w:val="18"/>
                <w:color w:val="0000EE"/>
              </w:rPr>
            </w:pPr>
            <w:hyperlink w:anchor="page7">
              <w:r>
                <w:rPr>
                  <w:rFonts w:ascii="Arial" w:cs="Arial" w:eastAsia="Arial" w:hAnsi="Arial"/>
                  <w:sz w:val="18"/>
                  <w:szCs w:val="18"/>
                  <w:color w:val="0000EE"/>
                </w:rPr>
                <w:t>to Condensed Consolidated Financial Statements</w:t>
              </w:r>
            </w:hyperlink>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920" w:type="dxa"/>
            <w:vAlign w:val="bottom"/>
            <w:gridSpan w:val="4"/>
          </w:tcPr>
          <w:p>
            <w:pPr>
              <w:spacing w:after="0" w:line="156" w:lineRule="exact"/>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4000" w:type="dxa"/>
            <w:vAlign w:val="bottom"/>
            <w:tcBorders>
              <w:top w:val="single" w:sz="8" w:color="0000EE"/>
            </w:tcBorders>
            <w:gridSpan w:val="11"/>
          </w:tcPr>
          <w:p>
            <w:pPr>
              <w:spacing w:after="0" w:line="15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Management’s Discussion and Analysis of Financial</w:t>
              </w:r>
            </w:hyperlink>
          </w:p>
        </w:tc>
        <w:tc>
          <w:tcPr>
            <w:tcW w:w="3760" w:type="dxa"/>
            <w:vAlign w:val="bottom"/>
            <w:gridSpan w:val="8"/>
          </w:tcPr>
          <w:p>
            <w:pPr>
              <w:spacing w:after="0" w:line="156" w:lineRule="exact"/>
              <w:rPr>
                <w:rFonts w:ascii="Arial" w:cs="Arial" w:eastAsia="Arial" w:hAnsi="Arial"/>
                <w:sz w:val="18"/>
                <w:szCs w:val="18"/>
                <w:color w:val="0000EE"/>
              </w:rPr>
            </w:pPr>
            <w:hyperlink w:anchor="page31">
              <w:r>
                <w:rPr>
                  <w:rFonts w:ascii="Arial" w:cs="Arial" w:eastAsia="Arial" w:hAnsi="Arial"/>
                  <w:sz w:val="18"/>
                  <w:szCs w:val="18"/>
                  <w:color w:val="0000EE"/>
                </w:rPr>
                <w:t>Condition and Results of Operations</w:t>
              </w:r>
            </w:hyperlink>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line="15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3.</w:t>
              </w:r>
            </w:hyperlink>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60" w:type="dxa"/>
            <w:vAlign w:val="bottom"/>
            <w:tcBorders>
              <w:top w:val="single" w:sz="8" w:color="0000EE"/>
            </w:tcBorders>
            <w:gridSpan w:val="15"/>
          </w:tcPr>
          <w:p>
            <w:pPr>
              <w:spacing w:after="0" w:line="156"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1300" w:type="dxa"/>
            <w:vAlign w:val="bottom"/>
            <w:gridSpan w:val="4"/>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56"/>
        </w:trPr>
        <w:tc>
          <w:tcPr>
            <w:tcW w:w="52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4.</w:t>
              </w:r>
            </w:hyperlink>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Controls and Procedures</w:t>
              </w:r>
            </w:hyperlink>
          </w:p>
        </w:tc>
        <w:tc>
          <w:tcPr>
            <w:tcW w:w="2600" w:type="dxa"/>
            <w:vAlign w:val="bottom"/>
            <w:tcBorders>
              <w:top w:val="single" w:sz="8" w:color="0000EE"/>
            </w:tcBorders>
            <w:gridSpan w:val="6"/>
          </w:tcPr>
          <w:p>
            <w:pPr>
              <w:spacing w:after="0"/>
              <w:rPr>
                <w:sz w:val="13"/>
                <w:szCs w:val="13"/>
                <w:color w:val="auto"/>
              </w:rPr>
            </w:pPr>
          </w:p>
        </w:tc>
        <w:tc>
          <w:tcPr>
            <w:tcW w:w="3380" w:type="dxa"/>
            <w:vAlign w:val="bottom"/>
            <w:gridSpan w:val="6"/>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31"/>
        </w:trPr>
        <w:tc>
          <w:tcPr>
            <w:tcW w:w="8680" w:type="dxa"/>
            <w:vAlign w:val="bottom"/>
            <w:gridSpan w:val="23"/>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31"/>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1.</w:t>
              </w:r>
            </w:hyperlink>
          </w:p>
        </w:tc>
        <w:tc>
          <w:tcPr>
            <w:tcW w:w="400" w:type="dxa"/>
            <w:vAlign w:val="bottom"/>
            <w:tcBorders>
              <w:top w:val="single" w:sz="8" w:color="0000EE"/>
            </w:tcBorders>
            <w:gridSpan w:val="3"/>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500" w:type="dxa"/>
            <w:vAlign w:val="bottom"/>
            <w:tcBorders>
              <w:top w:val="single" w:sz="8" w:color="0000EE"/>
            </w:tcBorders>
            <w:gridSpan w:val="2"/>
          </w:tcPr>
          <w:p>
            <w:pPr>
              <w:spacing w:after="0"/>
              <w:rPr>
                <w:sz w:val="24"/>
                <w:szCs w:val="24"/>
                <w:color w:val="auto"/>
              </w:rPr>
            </w:pPr>
          </w:p>
        </w:tc>
        <w:tc>
          <w:tcPr>
            <w:tcW w:w="592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56"/>
        </w:trPr>
        <w:tc>
          <w:tcPr>
            <w:tcW w:w="920" w:type="dxa"/>
            <w:vAlign w:val="bottom"/>
            <w:gridSpan w:val="4"/>
          </w:tcPr>
          <w:p>
            <w:pPr>
              <w:spacing w:after="0" w:line="156" w:lineRule="exact"/>
              <w:rPr>
                <w:rFonts w:ascii="Arial" w:cs="Arial" w:eastAsia="Arial" w:hAnsi="Arial"/>
                <w:sz w:val="18"/>
                <w:szCs w:val="18"/>
                <w:color w:val="0000EE"/>
              </w:rPr>
            </w:pPr>
            <w:hyperlink w:anchor="page45">
              <w:r>
                <w:rPr>
                  <w:rFonts w:ascii="Arial" w:cs="Arial" w:eastAsia="Arial" w:hAnsi="Arial"/>
                  <w:sz w:val="18"/>
                  <w:szCs w:val="18"/>
                  <w:color w:val="0000EE"/>
                </w:rPr>
                <w:t>Item 1A.</w:t>
              </w:r>
            </w:hyperlink>
          </w:p>
        </w:tc>
        <w:tc>
          <w:tcPr>
            <w:tcW w:w="1340" w:type="dxa"/>
            <w:vAlign w:val="bottom"/>
            <w:gridSpan w:val="6"/>
          </w:tcPr>
          <w:p>
            <w:pPr>
              <w:spacing w:after="0" w:line="156" w:lineRule="exact"/>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3020" w:type="dxa"/>
            <w:vAlign w:val="bottom"/>
            <w:gridSpan w:val="6"/>
          </w:tcPr>
          <w:p>
            <w:pPr>
              <w:spacing w:after="0"/>
              <w:rPr>
                <w:sz w:val="13"/>
                <w:szCs w:val="13"/>
                <w:color w:val="auto"/>
              </w:rPr>
            </w:pPr>
          </w:p>
        </w:tc>
        <w:tc>
          <w:tcPr>
            <w:tcW w:w="3400" w:type="dxa"/>
            <w:vAlign w:val="bottom"/>
            <w:gridSpan w:val="7"/>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56"/>
        </w:trPr>
        <w:tc>
          <w:tcPr>
            <w:tcW w:w="640" w:type="dxa"/>
            <w:vAlign w:val="bottom"/>
            <w:tcBorders>
              <w:top w:val="single" w:sz="8" w:color="0000EE"/>
            </w:tcBorders>
            <w:gridSpan w:val="2"/>
          </w:tcPr>
          <w:p>
            <w:pPr>
              <w:spacing w:after="0" w:line="156" w:lineRule="exact"/>
              <w:rPr>
                <w:rFonts w:ascii="Arial" w:cs="Arial" w:eastAsia="Arial" w:hAnsi="Arial"/>
                <w:sz w:val="18"/>
                <w:szCs w:val="18"/>
                <w:color w:val="0000EE"/>
              </w:rPr>
            </w:pPr>
            <w:hyperlink w:anchor="page98">
              <w:r>
                <w:rPr>
                  <w:rFonts w:ascii="Arial" w:cs="Arial" w:eastAsia="Arial" w:hAnsi="Arial"/>
                  <w:sz w:val="18"/>
                  <w:szCs w:val="18"/>
                  <w:color w:val="0000EE"/>
                </w:rPr>
                <w:t>Item 2.</w:t>
              </w:r>
            </w:hyperlink>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top w:val="single" w:sz="8" w:color="0000EE"/>
            </w:tcBorders>
            <w:gridSpan w:val="4"/>
          </w:tcPr>
          <w:p>
            <w:pPr>
              <w:spacing w:after="0" w:line="156" w:lineRule="exact"/>
              <w:rPr>
                <w:rFonts w:ascii="Arial" w:cs="Arial" w:eastAsia="Arial" w:hAnsi="Arial"/>
                <w:sz w:val="18"/>
                <w:szCs w:val="18"/>
                <w:color w:val="0000EE"/>
                <w:w w:val="85"/>
              </w:rPr>
            </w:pPr>
            <w:hyperlink w:anchor="page98">
              <w:r>
                <w:rPr>
                  <w:rFonts w:ascii="Arial" w:cs="Arial" w:eastAsia="Arial" w:hAnsi="Arial"/>
                  <w:sz w:val="18"/>
                  <w:szCs w:val="18"/>
                  <w:color w:val="0000EE"/>
                  <w:w w:val="85"/>
                </w:rPr>
                <w:t>Unregistered</w:t>
              </w:r>
            </w:hyperlink>
          </w:p>
        </w:tc>
        <w:tc>
          <w:tcPr>
            <w:tcW w:w="6860" w:type="dxa"/>
            <w:vAlign w:val="bottom"/>
            <w:gridSpan w:val="15"/>
          </w:tcPr>
          <w:p>
            <w:pPr>
              <w:ind w:left="80"/>
              <w:spacing w:after="0" w:line="156" w:lineRule="exact"/>
              <w:rPr>
                <w:rFonts w:ascii="Arial" w:cs="Arial" w:eastAsia="Arial" w:hAnsi="Arial"/>
                <w:sz w:val="18"/>
                <w:szCs w:val="18"/>
                <w:color w:val="0000EE"/>
              </w:rPr>
            </w:pPr>
            <w:hyperlink w:anchor="page98">
              <w:r>
                <w:rPr>
                  <w:rFonts w:ascii="Arial" w:cs="Arial" w:eastAsia="Arial" w:hAnsi="Arial"/>
                  <w:sz w:val="18"/>
                  <w:szCs w:val="18"/>
                  <w:color w:val="0000EE"/>
                </w:rPr>
                <w:t>Sales of Equity Securities and Use of Proceeds</w:t>
              </w:r>
            </w:hyperlink>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line="15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Item 5.</w:t>
              </w:r>
            </w:hyperlink>
          </w:p>
        </w:tc>
        <w:tc>
          <w:tcPr>
            <w:tcW w:w="2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4360" w:type="dxa"/>
            <w:vAlign w:val="bottom"/>
            <w:tcBorders>
              <w:top w:val="single" w:sz="8" w:color="0000EE"/>
            </w:tcBorders>
            <w:gridSpan w:val="12"/>
          </w:tcPr>
          <w:p>
            <w:pPr>
              <w:spacing w:after="0" w:line="156" w:lineRule="exact"/>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3400" w:type="dxa"/>
            <w:vAlign w:val="bottom"/>
            <w:gridSpan w:val="7"/>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line="15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Item 6.</w:t>
              </w:r>
            </w:hyperlink>
          </w:p>
        </w:tc>
        <w:tc>
          <w:tcPr>
            <w:tcW w:w="2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Borders>
              <w:top w:val="single" w:sz="8" w:color="0000EE"/>
            </w:tcBorders>
            <w:gridSpan w:val="5"/>
          </w:tcPr>
          <w:p>
            <w:pPr>
              <w:spacing w:after="0" w:line="156" w:lineRule="exact"/>
              <w:rPr>
                <w:rFonts w:ascii="Arial" w:cs="Arial" w:eastAsia="Arial" w:hAnsi="Arial"/>
                <w:sz w:val="18"/>
                <w:szCs w:val="18"/>
                <w:color w:val="0000EE"/>
              </w:rPr>
            </w:pPr>
            <w:hyperlink w:anchor="page100">
              <w:r>
                <w:rPr>
                  <w:rFonts w:ascii="Arial" w:cs="Arial" w:eastAsia="Arial" w:hAnsi="Arial"/>
                  <w:sz w:val="18"/>
                  <w:szCs w:val="18"/>
                  <w:color w:val="0000EE"/>
                </w:rPr>
                <w:t>Exhibits</w:t>
              </w:r>
            </w:hyperlink>
          </w:p>
        </w:tc>
        <w:tc>
          <w:tcPr>
            <w:tcW w:w="6440" w:type="dxa"/>
            <w:vAlign w:val="bottom"/>
            <w:gridSpan w:val="14"/>
          </w:tcPr>
          <w:p>
            <w:pPr>
              <w:spacing w:after="0"/>
              <w:rPr>
                <w:sz w:val="13"/>
                <w:szCs w:val="13"/>
                <w:color w:val="auto"/>
              </w:rPr>
            </w:pPr>
          </w:p>
        </w:tc>
        <w:tc>
          <w:tcPr>
            <w:tcW w:w="380" w:type="dxa"/>
            <w:vAlign w:val="bottom"/>
          </w:tcPr>
          <w:p>
            <w:pPr>
              <w:jc w:val="right"/>
              <w:spacing w:after="0" w:line="15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gridSpan w:val="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Signatures</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817"/>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gridSpan w:val="11"/>
          </w:tcPr>
          <w:p>
            <w:pPr>
              <w:ind w:left="356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jc w:val="center"/>
        <w:spacing w:after="0" w:line="203" w:lineRule="auto"/>
        <w:rPr>
          <w:sz w:val="20"/>
          <w:szCs w:val="20"/>
          <w:color w:val="auto"/>
        </w:rPr>
      </w:pPr>
      <w:r>
        <w:rPr>
          <w:rFonts w:ascii="Arial" w:cs="Arial" w:eastAsia="Arial" w:hAnsi="Arial"/>
          <w:sz w:val="18"/>
          <w:szCs w:val="18"/>
          <w:b w:val="1"/>
          <w:bCs w:val="1"/>
          <w:color w:val="auto"/>
        </w:rPr>
        <w:t>Editas Medicine, Inc.</w:t>
      </w:r>
    </w:p>
    <w:p>
      <w:pPr>
        <w:jc w:val="center"/>
        <w:spacing w:after="0" w:line="204"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03"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2"/>
        </w:trPr>
        <w:tc>
          <w:tcPr>
            <w:tcW w:w="6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6"/>
        </w:trPr>
        <w:tc>
          <w:tcPr>
            <w:tcW w:w="68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217,671</w:t>
            </w:r>
          </w:p>
        </w:tc>
        <w:tc>
          <w:tcPr>
            <w:tcW w:w="1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5"/>
              <w:spacing w:after="0" w:line="162"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146,630</w:t>
            </w:r>
          </w:p>
        </w:tc>
        <w:tc>
          <w:tcPr>
            <w:tcW w:w="0" w:type="dxa"/>
            <w:vAlign w:val="bottom"/>
          </w:tcPr>
          <w:p>
            <w:pPr>
              <w:spacing w:after="0"/>
              <w:rPr>
                <w:sz w:val="1"/>
                <w:szCs w:val="1"/>
                <w:color w:val="auto"/>
              </w:rPr>
            </w:pPr>
          </w:p>
        </w:tc>
      </w:tr>
      <w:tr>
        <w:trPr>
          <w:trHeight w:val="162"/>
        </w:trPr>
        <w:tc>
          <w:tcPr>
            <w:tcW w:w="6820" w:type="dxa"/>
            <w:vAlign w:val="bottom"/>
          </w:tcPr>
          <w:p>
            <w:pPr>
              <w:ind w:left="220"/>
              <w:spacing w:after="0"/>
              <w:rPr>
                <w:sz w:val="20"/>
                <w:szCs w:val="20"/>
                <w:color w:val="auto"/>
              </w:rPr>
            </w:pPr>
            <w:r>
              <w:rPr>
                <w:rFonts w:ascii="Arial" w:cs="Arial" w:eastAsia="Arial" w:hAnsi="Arial"/>
                <w:sz w:val="14"/>
                <w:szCs w:val="14"/>
                <w:color w:val="auto"/>
              </w:rPr>
              <w:t>Marketable securities</w:t>
            </w: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141,150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6"/>
                <w:szCs w:val="16"/>
                <w:color w:val="auto"/>
              </w:rPr>
              <w:t>182,509</w:t>
            </w: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162"/>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3,060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156"/>
        </w:trPr>
        <w:tc>
          <w:tcPr>
            <w:tcW w:w="682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current assets</w:t>
            </w: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362,812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332,199</w:t>
            </w:r>
          </w:p>
        </w:tc>
        <w:tc>
          <w:tcPr>
            <w:tcW w:w="0" w:type="dxa"/>
            <w:vAlign w:val="bottom"/>
          </w:tcPr>
          <w:p>
            <w:pPr>
              <w:spacing w:after="0"/>
              <w:rPr>
                <w:sz w:val="1"/>
                <w:szCs w:val="1"/>
                <w:color w:val="auto"/>
              </w:rPr>
            </w:pPr>
          </w:p>
        </w:tc>
      </w:tr>
      <w:tr>
        <w:trPr>
          <w:trHeight w:val="156"/>
        </w:trPr>
        <w:tc>
          <w:tcPr>
            <w:tcW w:w="6820" w:type="dxa"/>
            <w:vAlign w:val="bottom"/>
          </w:tcPr>
          <w:p>
            <w:pPr>
              <w:spacing w:after="0" w:line="155" w:lineRule="exact"/>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39,551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6"/>
                <w:szCs w:val="16"/>
                <w:color w:val="auto"/>
              </w:rPr>
              <w:t>39,442</w:t>
            </w: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 and other non-current assets</w:t>
            </w: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1,619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163"/>
        </w:trPr>
        <w:tc>
          <w:tcPr>
            <w:tcW w:w="682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403,982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5"/>
              <w:spacing w:after="0" w:line="156"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373,260</w:t>
            </w: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8,996</w:t>
            </w:r>
          </w:p>
        </w:tc>
        <w:tc>
          <w:tcPr>
            <w:tcW w:w="1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5"/>
              <w:spacing w:after="0" w:line="162"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4,020</w:t>
            </w:r>
          </w:p>
        </w:tc>
        <w:tc>
          <w:tcPr>
            <w:tcW w:w="0" w:type="dxa"/>
            <w:vAlign w:val="bottom"/>
          </w:tcPr>
          <w:p>
            <w:pPr>
              <w:spacing w:after="0"/>
              <w:rPr>
                <w:sz w:val="1"/>
                <w:szCs w:val="1"/>
                <w:color w:val="auto"/>
              </w:rPr>
            </w:pPr>
          </w:p>
        </w:tc>
      </w:tr>
      <w:tr>
        <w:trPr>
          <w:trHeight w:val="162"/>
        </w:trPr>
        <w:tc>
          <w:tcPr>
            <w:tcW w:w="682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7,767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6"/>
                <w:szCs w:val="16"/>
                <w:color w:val="auto"/>
              </w:rPr>
              <w:t>11,049</w:t>
            </w: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Notes payable</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162"/>
        </w:trPr>
        <w:tc>
          <w:tcPr>
            <w:tcW w:w="6820" w:type="dxa"/>
            <w:vAlign w:val="bottom"/>
          </w:tcPr>
          <w:p>
            <w:pPr>
              <w:ind w:left="220"/>
              <w:spacing w:after="0"/>
              <w:rPr>
                <w:sz w:val="20"/>
                <w:szCs w:val="20"/>
                <w:color w:val="auto"/>
              </w:rPr>
            </w:pPr>
            <w:r>
              <w:rPr>
                <w:rFonts w:ascii="Arial" w:cs="Arial" w:eastAsia="Arial" w:hAnsi="Arial"/>
                <w:sz w:val="14"/>
                <w:szCs w:val="14"/>
                <w:color w:val="auto"/>
              </w:rPr>
              <w:t>Deferred revenue, current</w:t>
            </w: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13,323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6"/>
                <w:szCs w:val="16"/>
                <w:color w:val="auto"/>
              </w:rPr>
              <w:t>13,238</w:t>
            </w: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156"/>
        </w:trPr>
        <w:tc>
          <w:tcPr>
            <w:tcW w:w="6820" w:type="dxa"/>
            <w:vAlign w:val="bottom"/>
          </w:tcPr>
          <w:p>
            <w:pPr>
              <w:ind w:left="320"/>
              <w:spacing w:after="0" w:line="155" w:lineRule="exact"/>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30,994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6"/>
                <w:szCs w:val="16"/>
                <w:color w:val="auto"/>
              </w:rPr>
              <w:t>36,707</w:t>
            </w: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 net of current portion</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91,972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94,725</w:t>
            </w: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Construction financing lease obligation, net of current portion</w:t>
            </w:r>
          </w:p>
        </w:tc>
        <w:tc>
          <w:tcPr>
            <w:tcW w:w="14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33,190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6"/>
                <w:szCs w:val="16"/>
                <w:color w:val="auto"/>
              </w:rPr>
              <w:t>33,431</w:t>
            </w: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156"/>
        </w:trPr>
        <w:tc>
          <w:tcPr>
            <w:tcW w:w="682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156,467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165,180</w:t>
            </w:r>
          </w:p>
        </w:tc>
        <w:tc>
          <w:tcPr>
            <w:tcW w:w="0" w:type="dxa"/>
            <w:vAlign w:val="bottom"/>
          </w:tcPr>
          <w:p>
            <w:pPr>
              <w:spacing w:after="0"/>
              <w:rPr>
                <w:sz w:val="1"/>
                <w:szCs w:val="1"/>
                <w:color w:val="auto"/>
              </w:rPr>
            </w:pPr>
          </w:p>
        </w:tc>
      </w:tr>
      <w:tr>
        <w:trPr>
          <w:trHeight w:val="156"/>
        </w:trPr>
        <w:tc>
          <w:tcPr>
            <w:tcW w:w="68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Commitments and contingencies (see note 7)</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8"/>
              </w:rPr>
              <w:t>Preferred stock, $0.0001 par value per share: 5,000,000 shares authorized; no shares issued or outstanding</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6820" w:type="dxa"/>
            <w:vAlign w:val="bottom"/>
          </w:tcPr>
          <w:p>
            <w:pPr>
              <w:ind w:left="220"/>
              <w:spacing w:after="0" w:line="108" w:lineRule="exact"/>
              <w:rPr>
                <w:sz w:val="20"/>
                <w:szCs w:val="20"/>
                <w:color w:val="auto"/>
              </w:rPr>
            </w:pPr>
            <w:r>
              <w:rPr>
                <w:rFonts w:ascii="Arial" w:cs="Arial" w:eastAsia="Arial" w:hAnsi="Arial"/>
                <w:sz w:val="12"/>
                <w:szCs w:val="12"/>
                <w:color w:val="auto"/>
              </w:rPr>
              <w:t>Common stock, $0.0001 par value per share: 195,000,000 shares authorized; 47,119,176 and 45,025,448</w:t>
            </w: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20" w:type="dxa"/>
            <w:vAlign w:val="bottom"/>
          </w:tcPr>
          <w:p>
            <w:pPr>
              <w:ind w:left="220"/>
              <w:spacing w:after="0" w:line="135" w:lineRule="exact"/>
              <w:rPr>
                <w:sz w:val="20"/>
                <w:szCs w:val="20"/>
                <w:color w:val="auto"/>
              </w:rPr>
            </w:pPr>
            <w:r>
              <w:rPr>
                <w:rFonts w:ascii="Arial" w:cs="Arial" w:eastAsia="Arial" w:hAnsi="Arial"/>
                <w:sz w:val="14"/>
                <w:szCs w:val="14"/>
                <w:color w:val="auto"/>
                <w:w w:val="95"/>
              </w:rPr>
              <w:t>shares issued, and 46,711,695 and 44,507,960 shares outstanding at March 31, 2018 and December 31, 2017,</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2"/>
        </w:trPr>
        <w:tc>
          <w:tcPr>
            <w:tcW w:w="6820" w:type="dxa"/>
            <w:vAlign w:val="bottom"/>
          </w:tcPr>
          <w:p>
            <w:pPr>
              <w:ind w:left="220"/>
              <w:spacing w:after="0"/>
              <w:rPr>
                <w:sz w:val="20"/>
                <w:szCs w:val="20"/>
                <w:color w:val="auto"/>
              </w:rPr>
            </w:pPr>
            <w:r>
              <w:rPr>
                <w:rFonts w:ascii="Arial" w:cs="Arial" w:eastAsia="Arial" w:hAnsi="Arial"/>
                <w:sz w:val="14"/>
                <w:szCs w:val="14"/>
                <w:color w:val="auto"/>
              </w:rPr>
              <w:t>respectively</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584,825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514,002</w:t>
            </w:r>
          </w:p>
        </w:tc>
        <w:tc>
          <w:tcPr>
            <w:tcW w:w="0" w:type="dxa"/>
            <w:vAlign w:val="bottom"/>
          </w:tcPr>
          <w:p>
            <w:pPr>
              <w:spacing w:after="0"/>
              <w:rPr>
                <w:sz w:val="1"/>
                <w:szCs w:val="1"/>
                <w:color w:val="auto"/>
              </w:rPr>
            </w:pPr>
          </w:p>
        </w:tc>
      </w:tr>
      <w:tr>
        <w:trPr>
          <w:trHeight w:val="162"/>
        </w:trPr>
        <w:tc>
          <w:tcPr>
            <w:tcW w:w="682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Pr>
          <w:p>
            <w:pPr>
              <w:spacing w:after="0"/>
              <w:rPr>
                <w:sz w:val="14"/>
                <w:szCs w:val="14"/>
                <w:color w:val="auto"/>
              </w:rPr>
            </w:pPr>
          </w:p>
        </w:tc>
        <w:tc>
          <w:tcPr>
            <w:tcW w:w="100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(337,262)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(305,850)</w:t>
            </w:r>
          </w:p>
        </w:tc>
        <w:tc>
          <w:tcPr>
            <w:tcW w:w="0" w:type="dxa"/>
            <w:vAlign w:val="bottom"/>
          </w:tcPr>
          <w:p>
            <w:pPr>
              <w:spacing w:after="0"/>
              <w:rPr>
                <w:sz w:val="1"/>
                <w:szCs w:val="1"/>
                <w:color w:val="auto"/>
              </w:rPr>
            </w:pPr>
          </w:p>
        </w:tc>
      </w:tr>
      <w:tr>
        <w:trPr>
          <w:trHeight w:val="156"/>
        </w:trPr>
        <w:tc>
          <w:tcPr>
            <w:tcW w:w="682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stockholders’ equity</w:t>
            </w: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247,515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208,080</w:t>
            </w:r>
          </w:p>
        </w:tc>
        <w:tc>
          <w:tcPr>
            <w:tcW w:w="0" w:type="dxa"/>
            <w:vAlign w:val="bottom"/>
          </w:tcPr>
          <w:p>
            <w:pPr>
              <w:spacing w:after="0"/>
              <w:rPr>
                <w:sz w:val="1"/>
                <w:szCs w:val="1"/>
                <w:color w:val="auto"/>
              </w:rPr>
            </w:pPr>
          </w:p>
        </w:tc>
      </w:tr>
      <w:tr>
        <w:trPr>
          <w:trHeight w:val="163"/>
        </w:trPr>
        <w:tc>
          <w:tcPr>
            <w:tcW w:w="6820" w:type="dxa"/>
            <w:vAlign w:val="bottom"/>
            <w:tcBorders>
              <w:bottom w:val="single" w:sz="8" w:color="CCEEFF"/>
            </w:tcBorders>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403,982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5"/>
              <w:spacing w:after="0" w:line="156"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373,260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04"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(amounts in thousands, except per share and share data)</w:t>
      </w:r>
    </w:p>
    <w:p>
      <w:pPr>
        <w:spacing w:after="0" w:line="123"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Three Months Ended</w:t>
      </w:r>
    </w:p>
    <w:p>
      <w:pPr>
        <w:ind w:left="760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68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1"/>
              <w:spacing w:after="0" w:line="136"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11"/>
              <w:spacing w:after="0" w:line="136" w:lineRule="exact"/>
              <w:rPr>
                <w:sz w:val="20"/>
                <w:szCs w:val="20"/>
                <w:color w:val="auto"/>
              </w:rPr>
            </w:pPr>
            <w:r>
              <w:rPr>
                <w:rFonts w:ascii="Arial" w:cs="Arial" w:eastAsia="Arial" w:hAnsi="Arial"/>
                <w:sz w:val="14"/>
                <w:szCs w:val="14"/>
                <w:b w:val="1"/>
                <w:bCs w:val="1"/>
                <w:color w:val="auto"/>
              </w:rPr>
              <w:t>2017</w:t>
            </w:r>
          </w:p>
        </w:tc>
      </w:tr>
      <w:tr>
        <w:trPr>
          <w:trHeight w:val="169"/>
        </w:trPr>
        <w:tc>
          <w:tcPr>
            <w:tcW w:w="68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Collaboration and other research and development revenues</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3,927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682</w:t>
            </w:r>
          </w:p>
        </w:tc>
      </w:tr>
      <w:tr>
        <w:trPr>
          <w:trHeight w:val="176"/>
        </w:trPr>
        <w:tc>
          <w:tcPr>
            <w:tcW w:w="680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6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21,300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19,021</w:t>
            </w:r>
          </w:p>
        </w:tc>
      </w:tr>
      <w:tr>
        <w:trPr>
          <w:trHeight w:val="176"/>
        </w:trPr>
        <w:tc>
          <w:tcPr>
            <w:tcW w:w="68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14,186</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12,288</w:t>
            </w:r>
          </w:p>
        </w:tc>
      </w:tr>
      <w:tr>
        <w:trPr>
          <w:trHeight w:val="169"/>
        </w:trPr>
        <w:tc>
          <w:tcPr>
            <w:tcW w:w="680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35,486</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31,309</w:t>
            </w:r>
          </w:p>
        </w:tc>
      </w:tr>
      <w:tr>
        <w:trPr>
          <w:trHeight w:val="169"/>
        </w:trPr>
        <w:tc>
          <w:tcPr>
            <w:tcW w:w="6800" w:type="dxa"/>
            <w:vAlign w:val="bottom"/>
          </w:tcPr>
          <w:p>
            <w:pPr>
              <w:spacing w:after="0" w:line="170" w:lineRule="exact"/>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(31,559)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(30,627)</w:t>
            </w:r>
          </w:p>
        </w:tc>
      </w:tr>
      <w:tr>
        <w:trPr>
          <w:trHeight w:val="176"/>
        </w:trPr>
        <w:tc>
          <w:tcPr>
            <w:tcW w:w="6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6"/>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182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140</w:t>
            </w:r>
          </w:p>
        </w:tc>
      </w:tr>
      <w:tr>
        <w:trPr>
          <w:trHeight w:val="176"/>
        </w:trPr>
        <w:tc>
          <w:tcPr>
            <w:tcW w:w="6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Interest income (expense), net</w:t>
            </w: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(610)</w:t>
            </w:r>
          </w:p>
        </w:tc>
      </w:tr>
      <w:tr>
        <w:trPr>
          <w:trHeight w:val="169"/>
        </w:trPr>
        <w:tc>
          <w:tcPr>
            <w:tcW w:w="6800" w:type="dxa"/>
            <w:vAlign w:val="bottom"/>
            <w:tcBorders>
              <w:bottom w:val="single" w:sz="8" w:color="CCEEFF"/>
            </w:tcBorders>
          </w:tcPr>
          <w:p>
            <w:pPr>
              <w:ind w:left="220"/>
              <w:spacing w:after="0" w:line="170" w:lineRule="exact"/>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620</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(470)</w:t>
            </w:r>
          </w:p>
        </w:tc>
      </w:tr>
      <w:tr>
        <w:trPr>
          <w:trHeight w:val="169"/>
        </w:trPr>
        <w:tc>
          <w:tcPr>
            <w:tcW w:w="68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(30,939)</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(31,097)</w:t>
            </w:r>
          </w:p>
        </w:tc>
      </w:tr>
      <w:tr>
        <w:trPr>
          <w:trHeight w:val="176"/>
        </w:trPr>
        <w:tc>
          <w:tcPr>
            <w:tcW w:w="68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(0.67)</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(0.85)</w:t>
            </w:r>
          </w:p>
        </w:tc>
      </w:tr>
      <w:tr>
        <w:trPr>
          <w:trHeight w:val="183"/>
        </w:trPr>
        <w:tc>
          <w:tcPr>
            <w:tcW w:w="6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45,992,008</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36,485,421</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line="204"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23" w:lineRule="exact"/>
        <w:rPr>
          <w:sz w:val="20"/>
          <w:szCs w:val="20"/>
          <w:color w:val="auto"/>
        </w:rPr>
      </w:pPr>
    </w:p>
    <w:p>
      <w:pPr>
        <w:jc w:val="right"/>
        <w:ind w:right="360"/>
        <w:spacing w:after="0"/>
        <w:rPr>
          <w:sz w:val="20"/>
          <w:szCs w:val="20"/>
          <w:color w:val="auto"/>
        </w:rPr>
      </w:pPr>
      <w:r>
        <w:rPr>
          <w:rFonts w:ascii="Arial" w:cs="Arial" w:eastAsia="Arial" w:hAnsi="Arial"/>
          <w:sz w:val="14"/>
          <w:szCs w:val="14"/>
          <w:b w:val="1"/>
          <w:bCs w:val="1"/>
          <w:color w:val="auto"/>
        </w:rPr>
        <w:t>Three Months Ended</w:t>
      </w:r>
    </w:p>
    <w:p>
      <w:pPr>
        <w:ind w:left="772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70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4"/>
              <w:spacing w:after="0" w:line="136"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4"/>
              <w:spacing w:after="0" w:line="136" w:lineRule="exact"/>
              <w:rPr>
                <w:sz w:val="20"/>
                <w:szCs w:val="20"/>
                <w:color w:val="auto"/>
              </w:rPr>
            </w:pPr>
            <w:r>
              <w:rPr>
                <w:rFonts w:ascii="Arial" w:cs="Arial" w:eastAsia="Arial" w:hAnsi="Arial"/>
                <w:sz w:val="14"/>
                <w:szCs w:val="14"/>
                <w:b w:val="1"/>
                <w:bCs w:val="1"/>
                <w:color w:val="auto"/>
              </w:rPr>
              <w:t>2017</w:t>
            </w:r>
          </w:p>
        </w:tc>
      </w:tr>
      <w:tr>
        <w:trPr>
          <w:trHeight w:val="169"/>
        </w:trPr>
        <w:tc>
          <w:tcPr>
            <w:tcW w:w="70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(30,939)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(31,097)</w:t>
            </w:r>
          </w:p>
        </w:tc>
      </w:tr>
      <w:tr>
        <w:trPr>
          <w:trHeight w:val="176"/>
        </w:trPr>
        <w:tc>
          <w:tcPr>
            <w:tcW w:w="7020" w:type="dxa"/>
            <w:vAlign w:val="bottom"/>
          </w:tcPr>
          <w:p>
            <w:pPr>
              <w:spacing w:after="0" w:line="176" w:lineRule="exact"/>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7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Unrealized loss on marketable debt securities</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7020" w:type="dxa"/>
            <w:vAlign w:val="bottom"/>
          </w:tcPr>
          <w:p>
            <w:pPr>
              <w:spacing w:after="0" w:line="170" w:lineRule="exact"/>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(30,991)</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(31,097)</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(unaudited)</w:t>
      </w:r>
    </w:p>
    <w:p>
      <w:pPr>
        <w:jc w:val="center"/>
        <w:spacing w:after="0" w:line="209" w:lineRule="auto"/>
        <w:rPr>
          <w:sz w:val="20"/>
          <w:szCs w:val="20"/>
          <w:color w:val="auto"/>
        </w:rPr>
      </w:pPr>
      <w:r>
        <w:rPr>
          <w:rFonts w:ascii="Arial" w:cs="Arial" w:eastAsia="Arial" w:hAnsi="Arial"/>
          <w:sz w:val="18"/>
          <w:szCs w:val="18"/>
          <w:b w:val="1"/>
          <w:bCs w:val="1"/>
          <w:color w:val="auto"/>
        </w:rPr>
        <w:t>(amounts in thousands)</w:t>
      </w:r>
    </w:p>
    <w:p>
      <w:pPr>
        <w:ind w:left="7400"/>
        <w:spacing w:after="0" w:line="202" w:lineRule="auto"/>
        <w:rPr>
          <w:sz w:val="20"/>
          <w:szCs w:val="20"/>
          <w:color w:val="auto"/>
        </w:rPr>
      </w:pPr>
      <w:r>
        <w:rPr>
          <w:rFonts w:ascii="Arial" w:cs="Arial" w:eastAsia="Arial" w:hAnsi="Arial"/>
          <w:sz w:val="14"/>
          <w:szCs w:val="14"/>
          <w:b w:val="1"/>
          <w:bCs w:val="1"/>
          <w:color w:val="auto"/>
        </w:rPr>
        <w:t>Three Months Ended</w:t>
      </w:r>
    </w:p>
    <w:p>
      <w:pPr>
        <w:ind w:left="772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70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3"/>
              <w:spacing w:after="0" w:line="136"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4"/>
              <w:spacing w:after="0" w:line="136" w:lineRule="exact"/>
              <w:rPr>
                <w:sz w:val="20"/>
                <w:szCs w:val="20"/>
                <w:color w:val="auto"/>
              </w:rPr>
            </w:pPr>
            <w:r>
              <w:rPr>
                <w:rFonts w:ascii="Arial" w:cs="Arial" w:eastAsia="Arial" w:hAnsi="Arial"/>
                <w:sz w:val="14"/>
                <w:szCs w:val="14"/>
                <w:b w:val="1"/>
                <w:bCs w:val="1"/>
                <w:color w:val="auto"/>
              </w:rPr>
              <w:t>2017</w:t>
            </w:r>
          </w:p>
        </w:tc>
      </w:tr>
      <w:tr>
        <w:trPr>
          <w:trHeight w:val="169"/>
        </w:trPr>
        <w:tc>
          <w:tcPr>
            <w:tcW w:w="70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Cash flow from operating activities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76"/>
        </w:trPr>
        <w:tc>
          <w:tcPr>
            <w:tcW w:w="702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(30,939)</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(31,097)</w:t>
            </w:r>
          </w:p>
        </w:tc>
      </w:tr>
      <w:tr>
        <w:trPr>
          <w:trHeight w:val="176"/>
        </w:trPr>
        <w:tc>
          <w:tcPr>
            <w:tcW w:w="7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76"/>
        </w:trPr>
        <w:tc>
          <w:tcPr>
            <w:tcW w:w="7020" w:type="dxa"/>
            <w:vAlign w:val="bottom"/>
          </w:tcPr>
          <w:p>
            <w:pPr>
              <w:spacing w:after="0" w:line="176" w:lineRule="exact"/>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6,528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5,804</w:t>
            </w:r>
          </w:p>
        </w:tc>
      </w:tr>
      <w:tr>
        <w:trPr>
          <w:trHeight w:val="176"/>
        </w:trPr>
        <w:tc>
          <w:tcPr>
            <w:tcW w:w="7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631</w:t>
            </w:r>
          </w:p>
        </w:tc>
      </w:tr>
      <w:tr>
        <w:trPr>
          <w:trHeight w:val="176"/>
        </w:trPr>
        <w:tc>
          <w:tcPr>
            <w:tcW w:w="7020" w:type="dxa"/>
            <w:vAlign w:val="bottom"/>
          </w:tcPr>
          <w:p>
            <w:pPr>
              <w:spacing w:after="0" w:line="176" w:lineRule="exact"/>
              <w:rPr>
                <w:sz w:val="20"/>
                <w:szCs w:val="20"/>
                <w:color w:val="auto"/>
              </w:rPr>
            </w:pPr>
            <w:r>
              <w:rPr>
                <w:rFonts w:ascii="Arial" w:cs="Arial" w:eastAsia="Arial" w:hAnsi="Arial"/>
                <w:sz w:val="18"/>
                <w:szCs w:val="18"/>
                <w:color w:val="auto"/>
              </w:rPr>
              <w:t>Non-cash research and development expense</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1,942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5,000</w:t>
            </w:r>
          </w:p>
        </w:tc>
      </w:tr>
      <w:tr>
        <w:trPr>
          <w:trHeight w:val="176"/>
        </w:trPr>
        <w:tc>
          <w:tcPr>
            <w:tcW w:w="7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non-cash items, net</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r>
      <w:tr>
        <w:trPr>
          <w:trHeight w:val="176"/>
        </w:trPr>
        <w:tc>
          <w:tcPr>
            <w:tcW w:w="7020" w:type="dxa"/>
            <w:vAlign w:val="bottom"/>
          </w:tcPr>
          <w:p>
            <w:pPr>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7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(857)</w:t>
            </w:r>
          </w:p>
        </w:tc>
      </w:tr>
      <w:tr>
        <w:trPr>
          <w:trHeight w:val="176"/>
        </w:trPr>
        <w:tc>
          <w:tcPr>
            <w:tcW w:w="7020" w:type="dxa"/>
            <w:vAlign w:val="bottom"/>
          </w:tcPr>
          <w:p>
            <w:pPr>
              <w:ind w:left="2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5"/>
                <w:szCs w:val="15"/>
                <w:color w:val="auto"/>
              </w:rPr>
            </w:pPr>
          </w:p>
        </w:tc>
        <w:tc>
          <w:tcPr>
            <w:tcW w:w="8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(761)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486</w:t>
            </w:r>
          </w:p>
        </w:tc>
      </w:tr>
      <w:tr>
        <w:trPr>
          <w:trHeight w:val="176"/>
        </w:trPr>
        <w:tc>
          <w:tcPr>
            <w:tcW w:w="7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w:t>
            </w:r>
          </w:p>
        </w:tc>
      </w:tr>
      <w:tr>
        <w:trPr>
          <w:trHeight w:val="176"/>
        </w:trPr>
        <w:tc>
          <w:tcPr>
            <w:tcW w:w="7020" w:type="dxa"/>
            <w:vAlign w:val="bottom"/>
          </w:tcPr>
          <w:p>
            <w:pPr>
              <w:ind w:left="220"/>
              <w:spacing w:after="0" w:line="176"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5,095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10,078</w:t>
            </w:r>
          </w:p>
        </w:tc>
      </w:tr>
      <w:tr>
        <w:trPr>
          <w:trHeight w:val="176"/>
        </w:trPr>
        <w:tc>
          <w:tcPr>
            <w:tcW w:w="7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(10,539)</w:t>
            </w:r>
          </w:p>
        </w:tc>
      </w:tr>
      <w:tr>
        <w:trPr>
          <w:trHeight w:val="176"/>
        </w:trPr>
        <w:tc>
          <w:tcPr>
            <w:tcW w:w="7020" w:type="dxa"/>
            <w:vAlign w:val="bottom"/>
          </w:tcPr>
          <w:p>
            <w:pPr>
              <w:ind w:left="220"/>
              <w:spacing w:after="0" w:line="176" w:lineRule="exact"/>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5"/>
                <w:szCs w:val="15"/>
                <w:color w:val="auto"/>
              </w:rPr>
            </w:pPr>
          </w:p>
        </w:tc>
        <w:tc>
          <w:tcPr>
            <w:tcW w:w="8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(3,142)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90,214</w:t>
            </w:r>
          </w:p>
        </w:tc>
      </w:tr>
      <w:tr>
        <w:trPr>
          <w:trHeight w:val="169"/>
        </w:trPr>
        <w:tc>
          <w:tcPr>
            <w:tcW w:w="7020" w:type="dxa"/>
            <w:vAlign w:val="bottom"/>
            <w:tcBorders>
              <w:top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Net cash (used in) provided by operating activities</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(22,460)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69,791</w:t>
            </w:r>
          </w:p>
        </w:tc>
      </w:tr>
      <w:tr>
        <w:trPr>
          <w:trHeight w:val="169"/>
        </w:trPr>
        <w:tc>
          <w:tcPr>
            <w:tcW w:w="7020" w:type="dxa"/>
            <w:vAlign w:val="bottom"/>
          </w:tcPr>
          <w:p>
            <w:pPr>
              <w:spacing w:after="0" w:line="170" w:lineRule="exact"/>
              <w:rPr>
                <w:sz w:val="20"/>
                <w:szCs w:val="20"/>
                <w:color w:val="auto"/>
              </w:rPr>
            </w:pPr>
            <w:r>
              <w:rPr>
                <w:rFonts w:ascii="Arial" w:cs="Arial" w:eastAsia="Arial" w:hAnsi="Arial"/>
                <w:sz w:val="18"/>
                <w:szCs w:val="18"/>
                <w:b w:val="1"/>
                <w:bCs w:val="1"/>
                <w:color w:val="auto"/>
              </w:rPr>
              <w:t>Cash flow from investing activities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6"/>
        </w:trPr>
        <w:tc>
          <w:tcPr>
            <w:tcW w:w="7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(656)</w:t>
            </w:r>
          </w:p>
        </w:tc>
      </w:tr>
      <w:tr>
        <w:trPr>
          <w:trHeight w:val="176"/>
        </w:trPr>
        <w:tc>
          <w:tcPr>
            <w:tcW w:w="7020" w:type="dxa"/>
            <w:vAlign w:val="bottom"/>
          </w:tcPr>
          <w:p>
            <w:pPr>
              <w:spacing w:after="0" w:line="176" w:lineRule="exact"/>
              <w:rPr>
                <w:sz w:val="20"/>
                <w:szCs w:val="20"/>
                <w:color w:val="auto"/>
              </w:rPr>
            </w:pPr>
            <w:r>
              <w:rPr>
                <w:rFonts w:ascii="Arial" w:cs="Arial" w:eastAsia="Arial" w:hAnsi="Arial"/>
                <w:sz w:val="18"/>
                <w:szCs w:val="18"/>
                <w:color w:val="auto"/>
              </w:rPr>
              <w:t>Proceeds from the sale of equipment</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7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Purchases of marketable securities</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(52,674)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70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Proceeds from maturities of marketable securities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94,500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r>
      <w:tr>
        <w:trPr>
          <w:trHeight w:val="169"/>
        </w:trPr>
        <w:tc>
          <w:tcPr>
            <w:tcW w:w="702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40,820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(656)</w:t>
            </w:r>
          </w:p>
        </w:tc>
      </w:tr>
      <w:tr>
        <w:trPr>
          <w:trHeight w:val="169"/>
        </w:trPr>
        <w:tc>
          <w:tcPr>
            <w:tcW w:w="7020" w:type="dxa"/>
            <w:vAlign w:val="bottom"/>
          </w:tcPr>
          <w:p>
            <w:pPr>
              <w:spacing w:after="0" w:line="170" w:lineRule="exact"/>
              <w:rPr>
                <w:sz w:val="20"/>
                <w:szCs w:val="20"/>
                <w:color w:val="auto"/>
              </w:rPr>
            </w:pPr>
            <w:r>
              <w:rPr>
                <w:rFonts w:ascii="Arial" w:cs="Arial" w:eastAsia="Arial" w:hAnsi="Arial"/>
                <w:sz w:val="18"/>
                <w:szCs w:val="18"/>
                <w:b w:val="1"/>
                <w:bCs w:val="1"/>
                <w:color w:val="auto"/>
              </w:rPr>
              <w:t>Cash flow from financing activities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6"/>
        </w:trPr>
        <w:tc>
          <w:tcPr>
            <w:tcW w:w="7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Proceeds from offering of common stock, net of issuance costs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48,474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97,102</w:t>
            </w:r>
          </w:p>
        </w:tc>
      </w:tr>
      <w:tr>
        <w:trPr>
          <w:trHeight w:val="176"/>
        </w:trPr>
        <w:tc>
          <w:tcPr>
            <w:tcW w:w="7020" w:type="dxa"/>
            <w:vAlign w:val="bottom"/>
          </w:tcPr>
          <w:p>
            <w:pPr>
              <w:spacing w:after="0" w:line="176" w:lineRule="exact"/>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4,410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435</w:t>
            </w:r>
          </w:p>
        </w:tc>
      </w:tr>
      <w:tr>
        <w:trPr>
          <w:trHeight w:val="176"/>
        </w:trPr>
        <w:tc>
          <w:tcPr>
            <w:tcW w:w="7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Payments on construction financing lease obligation</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(443)</w:t>
            </w:r>
          </w:p>
        </w:tc>
      </w:tr>
      <w:tr>
        <w:trPr>
          <w:trHeight w:val="169"/>
        </w:trPr>
        <w:tc>
          <w:tcPr>
            <w:tcW w:w="7020" w:type="dxa"/>
            <w:vAlign w:val="bottom"/>
            <w:tcBorders>
              <w:bottom w:val="single" w:sz="8" w:color="CCEEFF"/>
            </w:tcBorders>
          </w:tcPr>
          <w:p>
            <w:pPr>
              <w:ind w:left="220"/>
              <w:spacing w:after="0" w:line="170" w:lineRule="exact"/>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52,681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97,094</w:t>
            </w:r>
          </w:p>
        </w:tc>
      </w:tr>
      <w:tr>
        <w:trPr>
          <w:trHeight w:val="169"/>
        </w:trPr>
        <w:tc>
          <w:tcPr>
            <w:tcW w:w="70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increase in cash and cash equivalents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71,041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166,229</w:t>
            </w:r>
          </w:p>
        </w:tc>
      </w:tr>
      <w:tr>
        <w:trPr>
          <w:trHeight w:val="176"/>
        </w:trPr>
        <w:tc>
          <w:tcPr>
            <w:tcW w:w="70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Cash, cash equivalents and restricted cash, beginning of period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148,249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186,942</w:t>
            </w:r>
          </w:p>
        </w:tc>
      </w:tr>
      <w:tr>
        <w:trPr>
          <w:trHeight w:val="189"/>
        </w:trPr>
        <w:tc>
          <w:tcPr>
            <w:tcW w:w="70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cash equivalents and restricted cash, end of period</w:t>
            </w: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219,290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353,171</w:t>
            </w:r>
          </w:p>
        </w:tc>
      </w:tr>
      <w:tr>
        <w:trPr>
          <w:trHeight w:val="163"/>
        </w:trPr>
        <w:tc>
          <w:tcPr>
            <w:tcW w:w="7020" w:type="dxa"/>
            <w:vAlign w:val="bottom"/>
          </w:tcPr>
          <w:p>
            <w:pPr>
              <w:spacing w:after="0" w:line="163" w:lineRule="exact"/>
              <w:rPr>
                <w:sz w:val="20"/>
                <w:szCs w:val="20"/>
                <w:color w:val="auto"/>
              </w:rPr>
            </w:pPr>
            <w:r>
              <w:rPr>
                <w:rFonts w:ascii="Arial" w:cs="Arial" w:eastAsia="Arial" w:hAnsi="Arial"/>
                <w:sz w:val="18"/>
                <w:szCs w:val="18"/>
                <w:b w:val="1"/>
                <w:bCs w:val="1"/>
                <w:color w:val="auto"/>
              </w:rPr>
              <w:t>Supplemental disclosure of cash and non-cash activities: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6"/>
        </w:trPr>
        <w:tc>
          <w:tcPr>
            <w:tcW w:w="7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Fixed asset additions included in accounts payable and accrued expenses</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w:t>
            </w:r>
          </w:p>
        </w:tc>
      </w:tr>
      <w:tr>
        <w:trPr>
          <w:trHeight w:val="176"/>
        </w:trPr>
        <w:tc>
          <w:tcPr>
            <w:tcW w:w="7020" w:type="dxa"/>
            <w:vAlign w:val="bottom"/>
          </w:tcPr>
          <w:p>
            <w:pPr>
              <w:spacing w:after="0" w:line="176" w:lineRule="exact"/>
              <w:rPr>
                <w:sz w:val="20"/>
                <w:szCs w:val="20"/>
                <w:color w:val="auto"/>
              </w:rPr>
            </w:pPr>
            <w:r>
              <w:rPr>
                <w:rFonts w:ascii="Arial" w:cs="Arial" w:eastAsia="Arial" w:hAnsi="Arial"/>
                <w:sz w:val="18"/>
                <w:szCs w:val="18"/>
                <w:color w:val="auto"/>
              </w:rPr>
              <w:t>Reclassification of liability for common stock subject to repurchase</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3</w:t>
            </w:r>
          </w:p>
        </w:tc>
      </w:tr>
      <w:tr>
        <w:trPr>
          <w:trHeight w:val="176"/>
        </w:trPr>
        <w:tc>
          <w:tcPr>
            <w:tcW w:w="7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Issuance of common stock for settlement of success payments (see note 8)</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9,530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r>
      <w:tr>
        <w:trPr>
          <w:trHeight w:val="176"/>
        </w:trPr>
        <w:tc>
          <w:tcPr>
            <w:tcW w:w="7020" w:type="dxa"/>
            <w:vAlign w:val="bottom"/>
          </w:tcPr>
          <w:p>
            <w:pPr>
              <w:spacing w:after="0" w:line="176" w:lineRule="exact"/>
              <w:rPr>
                <w:sz w:val="20"/>
                <w:szCs w:val="20"/>
                <w:color w:val="auto"/>
              </w:rPr>
            </w:pPr>
            <w:r>
              <w:rPr>
                <w:rFonts w:ascii="Arial" w:cs="Arial" w:eastAsia="Arial" w:hAnsi="Arial"/>
                <w:sz w:val="18"/>
                <w:szCs w:val="18"/>
                <w:color w:val="auto"/>
              </w:rPr>
              <w:t>Adjustment to deferred revenue for revenue adoption</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474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r>
      <w:tr>
        <w:trPr>
          <w:trHeight w:val="203"/>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Offering costs included in accounts payable and accrued expenses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Editas Medicine, Inc.</w:t>
      </w:r>
    </w:p>
    <w:p>
      <w:pPr>
        <w:jc w:val="center"/>
        <w:ind w:right="-20"/>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48" w:lineRule="exact"/>
        <w:rPr>
          <w:sz w:val="20"/>
          <w:szCs w:val="20"/>
          <w:color w:val="auto"/>
        </w:rPr>
      </w:pPr>
    </w:p>
    <w:p>
      <w:pPr>
        <w:ind w:right="179" w:firstLine="648"/>
        <w:spacing w:after="0" w:line="194" w:lineRule="exact"/>
        <w:rPr>
          <w:sz w:val="20"/>
          <w:szCs w:val="20"/>
          <w:color w:val="auto"/>
        </w:rPr>
      </w:pPr>
      <w:r>
        <w:rPr>
          <w:rFonts w:ascii="Arial" w:cs="Arial" w:eastAsia="Arial" w:hAnsi="Arial"/>
          <w:sz w:val="18"/>
          <w:szCs w:val="18"/>
          <w:color w:val="auto"/>
        </w:rPr>
        <w:t>Editas Medicine, Inc. (the “Company”) is a research stage company dedicated to treating patients with genetically defined diseases by correcting their disease</w:t>
      </w:r>
      <w:r>
        <w:rPr>
          <w:rFonts w:ascii="MS PGothic" w:cs="MS PGothic" w:eastAsia="MS PGothic" w:hAnsi="MS PGothic"/>
          <w:sz w:val="18"/>
          <w:szCs w:val="18"/>
          <w:color w:val="auto"/>
        </w:rPr>
        <w:t>‑</w:t>
      </w:r>
      <w:r>
        <w:rPr>
          <w:rFonts w:ascii="Arial" w:cs="Arial" w:eastAsia="Arial" w:hAnsi="Arial"/>
          <w:sz w:val="18"/>
          <w:szCs w:val="18"/>
          <w:color w:val="auto"/>
        </w:rPr>
        <w:t>causing genes. The Company was incorporated in the state of Delaware in September 2013. Its principal offices are in Cambridge, Massachusetts.</w:t>
      </w:r>
    </w:p>
    <w:p>
      <w:pPr>
        <w:spacing w:after="0" w:line="123" w:lineRule="exact"/>
        <w:rPr>
          <w:sz w:val="20"/>
          <w:szCs w:val="20"/>
          <w:color w:val="auto"/>
        </w:rPr>
      </w:pPr>
    </w:p>
    <w:p>
      <w:pPr>
        <w:ind w:right="59" w:firstLine="648"/>
        <w:spacing w:after="0" w:line="211" w:lineRule="auto"/>
        <w:rPr>
          <w:sz w:val="20"/>
          <w:szCs w:val="20"/>
          <w:color w:val="auto"/>
        </w:rPr>
      </w:pPr>
      <w:r>
        <w:rPr>
          <w:rFonts w:ascii="Arial" w:cs="Arial" w:eastAsia="Arial" w:hAnsi="Arial"/>
          <w:sz w:val="18"/>
          <w:szCs w:val="18"/>
          <w:color w:val="auto"/>
        </w:rPr>
        <w:t>Since its inception, the Company has devoted substantially all of its efforts to business planning, research and development, recruiting management and technical staff, and raising capital. The Company has primarily financed its operations through various equity and debt financings, including the initial public offering of its common stock (the “IPO”), its follow-on public offerings of its common stock in March 2017 and December 2017, its at-the-market offering of its common stock in January 2018, and private placements of preferred stock, payments received under a research collaboration with Juno Therapeutics, Inc., a Celgene company that is a wholly-owned subsidiary of Celgene Corporation (“Juno Therapeutics”), and from an upfront payment paid under a strategic alliance and option agreement with Allergan Pharmaceuticals International Limited (“Allergan”).</w:t>
      </w:r>
    </w:p>
    <w:p>
      <w:pPr>
        <w:spacing w:after="0" w:line="124" w:lineRule="exact"/>
        <w:rPr>
          <w:sz w:val="20"/>
          <w:szCs w:val="20"/>
          <w:color w:val="auto"/>
        </w:rPr>
      </w:pPr>
    </w:p>
    <w:p>
      <w:pPr>
        <w:ind w:right="79" w:firstLine="648"/>
        <w:spacing w:after="0" w:line="185" w:lineRule="exact"/>
        <w:rPr>
          <w:sz w:val="20"/>
          <w:szCs w:val="20"/>
          <w:color w:val="auto"/>
        </w:rPr>
      </w:pPr>
      <w:r>
        <w:rPr>
          <w:rFonts w:ascii="Arial" w:cs="Arial" w:eastAsia="Arial" w:hAnsi="Arial"/>
          <w:sz w:val="18"/>
          <w:szCs w:val="18"/>
          <w:color w:val="auto"/>
        </w:rPr>
        <w:t>The Company is subject to risks common to companies in the biotechnology industry, including but not limited to, risks of failure of preclinical studies and clinical trials, the need to obtain marketing approval for any drug product candidate that it may identify and develop, the need to successfully commercialize and gain market acceptance of its product candidates, dependence on key personnel, protection of proprietary technology, compliance with government regulations, development by competitors of technological innovations and ability to transition from pilot</w:t>
      </w:r>
      <w:r>
        <w:rPr>
          <w:rFonts w:ascii="MS PGothic" w:cs="MS PGothic" w:eastAsia="MS PGothic" w:hAnsi="MS PGothic"/>
          <w:sz w:val="18"/>
          <w:szCs w:val="18"/>
          <w:color w:val="auto"/>
        </w:rPr>
        <w:t>‑</w:t>
      </w:r>
      <w:r>
        <w:rPr>
          <w:rFonts w:ascii="Arial" w:cs="Arial" w:eastAsia="Arial" w:hAnsi="Arial"/>
          <w:sz w:val="18"/>
          <w:szCs w:val="18"/>
          <w:color w:val="auto"/>
        </w:rPr>
        <w:t>scale manufacturing to large</w:t>
      </w:r>
      <w:r>
        <w:rPr>
          <w:rFonts w:ascii="MS PGothic" w:cs="MS PGothic" w:eastAsia="MS PGothic" w:hAnsi="MS PGothic"/>
          <w:sz w:val="18"/>
          <w:szCs w:val="18"/>
          <w:color w:val="auto"/>
        </w:rPr>
        <w:t>‑</w:t>
      </w:r>
      <w:r>
        <w:rPr>
          <w:rFonts w:ascii="Arial" w:cs="Arial" w:eastAsia="Arial" w:hAnsi="Arial"/>
          <w:sz w:val="18"/>
          <w:szCs w:val="18"/>
          <w:color w:val="auto"/>
        </w:rPr>
        <w:t>scale production of products.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144" w:lineRule="exact"/>
        <w:rPr>
          <w:sz w:val="20"/>
          <w:szCs w:val="20"/>
          <w:color w:val="auto"/>
        </w:rPr>
      </w:pPr>
    </w:p>
    <w:p>
      <w:pPr>
        <w:ind w:right="199" w:firstLine="648"/>
        <w:spacing w:after="0" w:line="223" w:lineRule="auto"/>
        <w:rPr>
          <w:sz w:val="20"/>
          <w:szCs w:val="20"/>
          <w:color w:val="auto"/>
        </w:rPr>
      </w:pPr>
      <w:r>
        <w:rPr>
          <w:rFonts w:ascii="Arial" w:cs="Arial" w:eastAsia="Arial" w:hAnsi="Arial"/>
          <w:sz w:val="17"/>
          <w:szCs w:val="17"/>
          <w:color w:val="auto"/>
        </w:rPr>
        <w:t>In February 2016, the Company completed its IPO and received aggregate net proceeds of approximately $97.5 million, after deducting underwriting discounts and commissions and other offering expenses payable by the Company. In March 2017, the Company completed a follow-on offering and received net proceeds of approximately $96.7 million (the “March Offering”), after deducting underwriting discounts and commissions and other offering expenses payable by the Company. In December 2017, the Company completed another follow-on offering and received net proceeds of approximately $57.2 million, after deducting underwriting discounts and other offering expenses payable by the Company. During January 2018, the Company completed at-the-market offerings and received net proceeds of approximately $48.5 million (the “January Offering”).</w:t>
      </w:r>
    </w:p>
    <w:p>
      <w:pPr>
        <w:spacing w:after="0" w:line="127" w:lineRule="exact"/>
        <w:rPr>
          <w:sz w:val="20"/>
          <w:szCs w:val="20"/>
          <w:color w:val="auto"/>
        </w:rPr>
      </w:pPr>
    </w:p>
    <w:p>
      <w:pPr>
        <w:ind w:right="39" w:firstLine="713"/>
        <w:spacing w:after="0" w:line="248" w:lineRule="auto"/>
        <w:rPr>
          <w:sz w:val="20"/>
          <w:szCs w:val="20"/>
          <w:color w:val="auto"/>
        </w:rPr>
      </w:pPr>
      <w:r>
        <w:rPr>
          <w:rFonts w:ascii="Arial" w:cs="Arial" w:eastAsia="Arial" w:hAnsi="Arial"/>
          <w:sz w:val="16"/>
          <w:szCs w:val="16"/>
          <w:color w:val="auto"/>
        </w:rPr>
        <w:t>The Company has incurred annual net operating losses in every year since its inception. The Company expects that its existing cash, cash equivalents and marketable securities at March 31, 2018, anticipated interest income, and anticipated</w:t>
      </w:r>
    </w:p>
    <w:p>
      <w:pPr>
        <w:ind w:right="59"/>
        <w:spacing w:after="0" w:line="221" w:lineRule="auto"/>
        <w:rPr>
          <w:sz w:val="20"/>
          <w:szCs w:val="20"/>
          <w:color w:val="auto"/>
        </w:rPr>
      </w:pPr>
      <w:r>
        <w:rPr>
          <w:rFonts w:ascii="Arial" w:cs="Arial" w:eastAsia="Arial" w:hAnsi="Arial"/>
          <w:sz w:val="17"/>
          <w:szCs w:val="17"/>
          <w:color w:val="auto"/>
        </w:rPr>
        <w:t>research support under the Company’s collaboration agreement with Juno Therapeutics will enable it to fund its operating expenses and capital expenditure requirements for at least the next 24 months following the date of this Quarterly Report on Form 10-Q. The Company had an accumulated deficit of $337.3 million at March 31, 2018, and will require substantial additional capital to fund its operations. The Company has never generated any product revenue. There can be no assurance that the Company will be able to obtain additional debt or equity financing or generate product revenue or revenues from collaborative partners, on terms acceptable to the Company, on a timely basis or at all. The failure of the Company to obtain sufficient funds on acceptable terms when needed could have a material adverse effect on the Company’s business, results of operations, and financial condition.</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44"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The condensed consolidated financial statements of the Company included herein have been prepared, without audit,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from this report, as is permitted by such rules and regulations. Accordingly, these condensed consolidated financial statements should be read in conjunction with the financial statements and notes thereto included in the Company’s Annual Report on Form 10-K for the fiscal year ended December 31, 2017 (the “Annual Report”).</w:t>
      </w:r>
    </w:p>
    <w:p>
      <w:pPr>
        <w:spacing w:after="0" w:line="122"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The unaudited condensed consolidated financial statements include the accounts of Editas Medicine, Inc. and its wholly owned subsidiary, Editas Securities Corporation. All intercompany transactions and balances of the subsidiary have been eliminated in consolidation. In the opinion of management, the information furnished reflects all adjustments, all of which are of a normal and recurring nature, necessary for a fair presentation of the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three months ended March 31, 2018 and 2017 are referred to as the first quarter of 2018 and 2017, respectively. The results of operations for interim periods are not necessarily indicative of results to be expected for the full year or any other interim period.</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firstLine="432"/>
        <w:spacing w:after="0" w:line="24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amounts reported in the consolidated financial statements and accompanying notes. On an ongoing basis, the Company’s management evaluates its estimates, which include, but are not limited to, estimates related to revenue recognition, accrued expenses, stock-based compensation expense and deferred tax valuation allowances. The Company bases its estimates on historical experience and other market-specific or relevant assumptions that it believes to be reasonable under the circumstances. Actual results may differ from those estimates or assumptions.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44" w:lineRule="exact"/>
        <w:rPr>
          <w:sz w:val="20"/>
          <w:szCs w:val="20"/>
          <w:color w:val="auto"/>
        </w:rPr>
      </w:pPr>
    </w:p>
    <w:p>
      <w:pPr>
        <w:ind w:right="200" w:firstLine="648"/>
        <w:spacing w:after="0" w:line="238" w:lineRule="auto"/>
        <w:rPr>
          <w:sz w:val="20"/>
          <w:szCs w:val="20"/>
          <w:color w:val="auto"/>
        </w:rPr>
      </w:pPr>
      <w:r>
        <w:rPr>
          <w:rFonts w:ascii="Arial" w:cs="Arial" w:eastAsia="Arial" w:hAnsi="Arial"/>
          <w:sz w:val="17"/>
          <w:szCs w:val="17"/>
          <w:color w:val="auto"/>
        </w:rPr>
        <w:t>The Company’s significant accounting policies are described in Note 2, “Summary of Significant Accounting Policies,” to the Consolidated Financial Statements included in the Annual Report. There have been no material changes to the significant accounting policies previously disclosed in the Annual Report other than as noted below.</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 xml:space="preserve">Effective January 1, 2018, the Company adopted the provisions of Financial Accounting Standards Board (“FASB”)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using the modified retrospective transition method. Under this method, the Company recorded the cumulative effect of initially applying the new standard to all contracts as of the date of adoption.</w:t>
      </w:r>
    </w:p>
    <w:p>
      <w:pPr>
        <w:spacing w:after="0" w:line="122"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The Company enters into collaboration agreements and certain other agreements that are within the scope of ASC 606, under which the Company licenses, may license or grants an option to license rights to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w:t>
      </w:r>
    </w:p>
    <w:p>
      <w:pPr>
        <w:spacing w:after="0" w:line="122"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w:t>
      </w:r>
    </w:p>
    <w:p>
      <w:pPr>
        <w:spacing w:after="0" w:line="122" w:lineRule="exact"/>
        <w:rPr>
          <w:sz w:val="20"/>
          <w:szCs w:val="20"/>
          <w:color w:val="auto"/>
        </w:rPr>
      </w:pPr>
    </w:p>
    <w:p>
      <w:pPr>
        <w:ind w:right="120" w:firstLine="648"/>
        <w:spacing w:after="0" w:line="236" w:lineRule="auto"/>
        <w:rPr>
          <w:sz w:val="20"/>
          <w:szCs w:val="20"/>
          <w:color w:val="auto"/>
        </w:rPr>
      </w:pPr>
      <w:r>
        <w:rPr>
          <w:rFonts w:ascii="Arial" w:cs="Arial" w:eastAsia="Arial" w:hAnsi="Arial"/>
          <w:sz w:val="16"/>
          <w:szCs w:val="16"/>
          <w:color w:val="auto"/>
        </w:rPr>
        <w:t>The promised good or services in the Company’s arrangements typically consist of a license, or option to license, rights to the Company’s intellectual property or research and development services. The Company provides options to additional items in such arrangements, which are accounted for as separate contracts when the customer elects to exercise such options, unless the option provides a material right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122"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payment and the likelihood that the payments will be received.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27"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The Company’s contracts often include development and regulatory milestone payments that are as assessed under the most likely amount method and constrained if it is probable that a significant revenue reversal would occur.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development and clinical milestones and any related constraint, and if necessary, adjust its estimate of the overall transaction price. Any such adjustments are recorded on a cumulative catch-up basis, which would affect collaboration and other research and development revenues in the period of adjustment.</w:t>
      </w:r>
    </w:p>
    <w:p>
      <w:pPr>
        <w:spacing w:after="0" w:line="122"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For arrangements that include sales-based royalties, including milestone payments based on the level of sales, and the license is deemed to be the predominant item to which the royalties relate, the Company recognizes revenue at the later of</w:t>
      </w:r>
    </w:p>
    <w:p>
      <w:pPr>
        <w:spacing w:after="0" w:line="1" w:lineRule="exact"/>
        <w:rPr>
          <w:sz w:val="20"/>
          <w:szCs w:val="20"/>
          <w:color w:val="auto"/>
        </w:rPr>
      </w:pPr>
    </w:p>
    <w:p>
      <w:pPr>
        <w:ind w:right="260" w:firstLine="3"/>
        <w:spacing w:after="0" w:line="218"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when the related sales occur, or (ii) when the performance obligation to which some or all of the royalty has been allocated has been satisfied (or partially satisfied). To date, the Company has not recognized any royalty revenue resulting from any of the Company’s collaboration or strategic alliance arrangements.</w:t>
      </w:r>
    </w:p>
    <w:p>
      <w:pPr>
        <w:spacing w:after="0" w:line="122" w:lineRule="exact"/>
        <w:rPr>
          <w:sz w:val="20"/>
          <w:szCs w:val="20"/>
          <w:color w:val="auto"/>
        </w:rPr>
      </w:pPr>
    </w:p>
    <w:p>
      <w:pPr>
        <w:ind w:right="160" w:firstLine="648"/>
        <w:spacing w:after="0" w:line="239" w:lineRule="auto"/>
        <w:rPr>
          <w:sz w:val="20"/>
          <w:szCs w:val="20"/>
          <w:color w:val="auto"/>
        </w:rPr>
      </w:pPr>
      <w:r>
        <w:rPr>
          <w:rFonts w:ascii="Arial" w:cs="Arial" w:eastAsia="Arial" w:hAnsi="Arial"/>
          <w:sz w:val="16"/>
          <w:szCs w:val="16"/>
          <w:color w:val="auto"/>
        </w:rPr>
        <w:t>The Company allocates the transaction price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22" w:lineRule="exact"/>
        <w:rPr>
          <w:sz w:val="20"/>
          <w:szCs w:val="20"/>
          <w:color w:val="auto"/>
        </w:rPr>
      </w:pPr>
    </w:p>
    <w:p>
      <w:pPr>
        <w:ind w:right="300" w:firstLine="648"/>
        <w:spacing w:after="0" w:line="219" w:lineRule="auto"/>
        <w:rPr>
          <w:sz w:val="20"/>
          <w:szCs w:val="20"/>
          <w:color w:val="auto"/>
        </w:rPr>
      </w:pPr>
      <w:r>
        <w:rPr>
          <w:rFonts w:ascii="Arial" w:cs="Arial" w:eastAsia="Arial" w:hAnsi="Arial"/>
          <w:sz w:val="18"/>
          <w:szCs w:val="18"/>
          <w:color w:val="auto"/>
        </w:rPr>
        <w:t>The Company receives payments from its customers based on billing schedules established in each contract. Up-front payments and fees are recorded as deferred revenue upon receipt or when due until the Company performs its obligations under these arrangements. Amounts are recorded as accounts receivable when the Company’s right to consideration is unconditional.</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144"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 xml:space="preserve">In October 2016, the FASB issued Accounting Standards Update (“ASU”) No. 2016-18, </w:t>
      </w:r>
      <w:r>
        <w:rPr>
          <w:rFonts w:ascii="Arial" w:cs="Arial" w:eastAsia="Arial" w:hAnsi="Arial"/>
          <w:sz w:val="16"/>
          <w:szCs w:val="16"/>
          <w:i w:val="1"/>
          <w:iCs w:val="1"/>
          <w:color w:val="auto"/>
        </w:rPr>
        <w:t>Restricted Cash</w:t>
      </w:r>
      <w:r>
        <w:rPr>
          <w:rFonts w:ascii="Arial" w:cs="Arial" w:eastAsia="Arial" w:hAnsi="Arial"/>
          <w:sz w:val="16"/>
          <w:szCs w:val="16"/>
          <w:color w:val="auto"/>
        </w:rPr>
        <w:t xml:space="preserve"> (“ASU 2016-18”), which requires that a statement of cash flows explain the change during the period in the total of cash, cash equivalents, and restricted cash or restricted cash equivalents. Therefore, amounts described as restricted cash and restricted cash equivalents should be included with cash and cash equivalents when reconciling the beginning-of-period and end-of-period total amounts shown on the statement of cash flows. ASU 2016-18 was effective for fiscal years beginning after December 15, 2017, and interim periods within those years. The guidance is effective on a retrospective basis. The Company adopted this guidance as of October 1, 2017. The Company reclassified restricted cash in the statements of cash flows to be included in the cash and cash equivalents balance. The reclassification was not material to the periods presented. The following table presents cash, cash equivalents and restricted cash as reported on the condensed consolidated balance sheets that equal the total amounts on the condensed consolidated statements of cash flows (in thousands):</w:t>
      </w:r>
    </w:p>
    <w:p>
      <w:pPr>
        <w:spacing w:after="0" w:line="171"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Three Months Ended</w:t>
      </w:r>
    </w:p>
    <w:p>
      <w:pPr>
        <w:ind w:left="750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660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14"/>
              <w:spacing w:after="0" w:line="136"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14"/>
              <w:spacing w:after="0" w:line="136" w:lineRule="exact"/>
              <w:rPr>
                <w:sz w:val="20"/>
                <w:szCs w:val="20"/>
                <w:color w:val="auto"/>
              </w:rPr>
            </w:pPr>
            <w:r>
              <w:rPr>
                <w:rFonts w:ascii="Arial" w:cs="Arial" w:eastAsia="Arial" w:hAnsi="Arial"/>
                <w:sz w:val="14"/>
                <w:szCs w:val="14"/>
                <w:b w:val="1"/>
                <w:bCs w:val="1"/>
                <w:color w:val="auto"/>
              </w:rPr>
              <w:t>2017</w:t>
            </w:r>
          </w:p>
        </w:tc>
      </w:tr>
      <w:tr>
        <w:trPr>
          <w:trHeight w:val="169"/>
        </w:trPr>
        <w:tc>
          <w:tcPr>
            <w:tcW w:w="6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217,671</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351,552</w:t>
            </w:r>
          </w:p>
        </w:tc>
      </w:tr>
      <w:tr>
        <w:trPr>
          <w:trHeight w:val="176"/>
        </w:trPr>
        <w:tc>
          <w:tcPr>
            <w:tcW w:w="66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Restricted cash included in "Restricted cash and other non-current assets"</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1,619</w:t>
            </w: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1,619</w:t>
            </w:r>
          </w:p>
        </w:tc>
      </w:tr>
      <w:tr>
        <w:trPr>
          <w:trHeight w:val="176"/>
        </w:trPr>
        <w:tc>
          <w:tcPr>
            <w:tcW w:w="660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219,290</w:t>
            </w:r>
          </w:p>
        </w:tc>
        <w:tc>
          <w:tcPr>
            <w:tcW w:w="2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353,171</w:t>
            </w:r>
          </w:p>
        </w:tc>
      </w:tr>
    </w:tbl>
    <w:p>
      <w:pPr>
        <w:spacing w:after="0" w:line="148" w:lineRule="exact"/>
        <w:rPr>
          <w:sz w:val="20"/>
          <w:szCs w:val="20"/>
          <w:color w:val="auto"/>
        </w:rPr>
      </w:pPr>
    </w:p>
    <w:p>
      <w:pPr>
        <w:ind w:right="20" w:firstLine="432"/>
        <w:spacing w:after="0" w:line="22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the revenue recognition requirements in FASB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and most industry-specific guidance. The new standard requires that an entity recognize revenue to depict the transfer of promised goods or services to customers in an amount that reflects the consideration to which the entity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Thereafter a series of clarifying ASU’s, narrow scope improvements and practical expedients were issued. This collective guidance resulted in the new revenue standards under ASC 606 and numerous updates have been issued subsequent to the initial guidance that provide clarification on a number of specific issues and require additional disclosures. ASC 606 is effective for fiscal years, and interim periods within those years, beginning after December 15, 2017 and should be applied retrospectively to each prior reporting period presented or retrospectively with the cumulative effect of initially applying this update recognized at the date of initial application.</w:t>
      </w:r>
    </w:p>
    <w:p>
      <w:pPr>
        <w:spacing w:after="0" w:line="129" w:lineRule="exact"/>
        <w:rPr>
          <w:sz w:val="20"/>
          <w:szCs w:val="20"/>
          <w:color w:val="auto"/>
        </w:rPr>
      </w:pPr>
    </w:p>
    <w:p>
      <w:pPr>
        <w:ind w:firstLine="432"/>
        <w:spacing w:after="0" w:line="212" w:lineRule="auto"/>
        <w:rPr>
          <w:sz w:val="20"/>
          <w:szCs w:val="20"/>
          <w:color w:val="auto"/>
        </w:rPr>
      </w:pPr>
      <w:r>
        <w:rPr>
          <w:rFonts w:ascii="Arial" w:cs="Arial" w:eastAsia="Arial" w:hAnsi="Arial"/>
          <w:sz w:val="18"/>
          <w:szCs w:val="18"/>
          <w:color w:val="auto"/>
        </w:rPr>
        <w:t>The Company adopted the new standard effective January 1, 2018 using the modified retrospective approach. As part of the adoption, the Company reviewed all contracts that were not yet completed as of the date of initial application in determining the cumulative-effect impact related to the adoption of Topic 606. The adoption of ASC 606 resulted in the changes to (i) the allocation of arrangement consideration; including the determination of estimated selling price and the allocation of variable consideration to specific performance obligations for the Company’s collaboration agreement with Juno Therapeutics and (ii) the application of proportional performance as a measure of progress on service related deliverables for the Company’s strategic alliance with Allergan.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 w:firstLine="432"/>
        <w:spacing w:after="0" w:line="229" w:lineRule="auto"/>
        <w:rPr>
          <w:sz w:val="20"/>
          <w:szCs w:val="20"/>
          <w:color w:val="auto"/>
        </w:rPr>
      </w:pPr>
      <w:r>
        <w:rPr>
          <w:rFonts w:ascii="Arial" w:cs="Arial" w:eastAsia="Arial" w:hAnsi="Arial"/>
          <w:sz w:val="17"/>
          <w:szCs w:val="17"/>
          <w:color w:val="auto"/>
        </w:rPr>
        <w:t>Effective January 1, 2018, the Company’s adoption of ASC 606 resulted in increases of $0.5 million in deferred revenue and accumulated deficit, which was primarily due to an adjustment for two milestone payments previously earned that will now be recognized over time, partially offset by acceleration of proportional performance revenue. For the three months ended March 31, 2018, revenue increased by $0.1 million and net loss decreased by $0.1 million, which did not have a material impact on the Company’s basic and diluted earnings per share.</w:t>
      </w:r>
    </w:p>
    <w:p>
      <w:pPr>
        <w:spacing w:after="0" w:line="121" w:lineRule="exact"/>
        <w:rPr>
          <w:sz w:val="20"/>
          <w:szCs w:val="20"/>
          <w:color w:val="auto"/>
        </w:rPr>
      </w:pPr>
    </w:p>
    <w:p>
      <w:pPr>
        <w:ind w:right="120" w:firstLine="432"/>
        <w:spacing w:after="0" w:line="235" w:lineRule="auto"/>
        <w:rPr>
          <w:sz w:val="20"/>
          <w:szCs w:val="20"/>
          <w:color w:val="auto"/>
        </w:rPr>
      </w:pPr>
      <w:r>
        <w:rPr>
          <w:rFonts w:ascii="Arial" w:cs="Arial" w:eastAsia="Arial" w:hAnsi="Arial"/>
          <w:sz w:val="18"/>
          <w:szCs w:val="18"/>
          <w:color w:val="auto"/>
        </w:rPr>
        <w:t>The following table presents changes in the Company’s deferred revenue balance as of January 1, 2018 resulting from adoption of ASC 606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Balance at</w:t>
            </w:r>
          </w:p>
        </w:tc>
        <w:tc>
          <w:tcPr>
            <w:tcW w:w="200" w:type="dxa"/>
            <w:vAlign w:val="bottom"/>
          </w:tcPr>
          <w:p>
            <w:pPr>
              <w:spacing w:after="0"/>
              <w:rPr>
                <w:sz w:val="14"/>
                <w:szCs w:val="14"/>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w:t>
            </w: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Balance at January</w:t>
            </w:r>
          </w:p>
        </w:tc>
        <w:tc>
          <w:tcPr>
            <w:tcW w:w="0" w:type="dxa"/>
            <w:vAlign w:val="bottom"/>
          </w:tcPr>
          <w:p>
            <w:pPr>
              <w:spacing w:after="0"/>
              <w:rPr>
                <w:sz w:val="1"/>
                <w:szCs w:val="1"/>
                <w:color w:val="auto"/>
              </w:rPr>
            </w:pPr>
          </w:p>
        </w:tc>
      </w:tr>
      <w:tr>
        <w:trPr>
          <w:trHeight w:val="110"/>
        </w:trPr>
        <w:tc>
          <w:tcPr>
            <w:tcW w:w="4940" w:type="dxa"/>
            <w:vAlign w:val="bottom"/>
          </w:tcPr>
          <w:p>
            <w:pPr>
              <w:spacing w:after="0"/>
              <w:rPr>
                <w:sz w:val="9"/>
                <w:szCs w:val="9"/>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1, 2018</w:t>
            </w:r>
          </w:p>
        </w:tc>
        <w:tc>
          <w:tcPr>
            <w:tcW w:w="0" w:type="dxa"/>
            <w:vAlign w:val="bottom"/>
          </w:tcPr>
          <w:p>
            <w:pPr>
              <w:spacing w:after="0"/>
              <w:rPr>
                <w:sz w:val="1"/>
                <w:szCs w:val="1"/>
                <w:color w:val="auto"/>
              </w:rPr>
            </w:pPr>
          </w:p>
        </w:tc>
      </w:tr>
      <w:tr>
        <w:trPr>
          <w:trHeight w:val="53"/>
        </w:trPr>
        <w:tc>
          <w:tcPr>
            <w:tcW w:w="4940" w:type="dxa"/>
            <w:vAlign w:val="bottom"/>
            <w:vMerge w:val="restart"/>
          </w:tcPr>
          <w:p>
            <w:pPr>
              <w:spacing w:after="0"/>
              <w:rPr>
                <w:sz w:val="20"/>
                <w:szCs w:val="20"/>
                <w:color w:val="auto"/>
              </w:rPr>
            </w:pPr>
            <w:r>
              <w:rPr>
                <w:rFonts w:ascii="Arial" w:cs="Arial" w:eastAsia="Arial" w:hAnsi="Arial"/>
                <w:sz w:val="18"/>
                <w:szCs w:val="18"/>
                <w:color w:val="auto"/>
              </w:rPr>
              <w:t>Contract liabilities:</w:t>
            </w:r>
          </w:p>
        </w:tc>
        <w:tc>
          <w:tcPr>
            <w:tcW w:w="13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4940" w:type="dxa"/>
            <w:vAlign w:val="bottom"/>
            <w:vMerge w:val="continue"/>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Deferred revenue</w:t>
            </w:r>
          </w:p>
        </w:tc>
        <w:tc>
          <w:tcPr>
            <w:tcW w:w="12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   (107,963)</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(108,437)</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firstLine="432"/>
        <w:spacing w:after="0" w:line="235" w:lineRule="auto"/>
        <w:rPr>
          <w:sz w:val="20"/>
          <w:szCs w:val="20"/>
          <w:color w:val="auto"/>
        </w:rPr>
      </w:pPr>
      <w:r>
        <w:rPr>
          <w:rFonts w:ascii="Arial" w:cs="Arial" w:eastAsia="Arial" w:hAnsi="Arial"/>
          <w:sz w:val="18"/>
          <w:szCs w:val="18"/>
          <w:color w:val="auto"/>
        </w:rPr>
        <w:t>During the three months ended March 31, 2018, the Company recognized the following revenue as a result of changes in its deferred revenue balance in the respective periods (in thousands):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recognized in the period from:</w:t>
      </w:r>
    </w:p>
    <w:p>
      <w:pPr>
        <w:spacing w:after="0" w:line="2" w:lineRule="exact"/>
        <w:rPr>
          <w:sz w:val="20"/>
          <w:szCs w:val="20"/>
          <w:color w:val="auto"/>
        </w:rPr>
      </w:pPr>
    </w:p>
    <w:p>
      <w:pPr>
        <w:ind w:left="120"/>
        <w:spacing w:after="0"/>
        <w:tabs>
          <w:tab w:leader="none" w:pos="7340" w:val="left"/>
          <w:tab w:leader="none" w:pos="8580" w:val="left"/>
        </w:tabs>
        <w:rPr>
          <w:sz w:val="20"/>
          <w:szCs w:val="20"/>
          <w:color w:val="auto"/>
        </w:rPr>
      </w:pPr>
      <w:r>
        <w:rPr>
          <w:rFonts w:ascii="Arial" w:cs="Arial" w:eastAsia="Arial" w:hAnsi="Arial"/>
          <w:sz w:val="18"/>
          <w:szCs w:val="18"/>
          <w:color w:val="auto"/>
        </w:rPr>
        <w:t>Amounts included in deferred revenue at the beginning of the period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5754370"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11760"/>
                    </a:xfrm>
                    <a:prstGeom prst="rect">
                      <a:avLst/>
                    </a:prstGeom>
                    <a:noFill/>
                  </pic:spPr>
                </pic:pic>
              </a:graphicData>
            </a:graphic>
          </wp:anchor>
        </w:drawing>
      </w:r>
    </w:p>
    <w:p>
      <w:pPr>
        <w:spacing w:after="0" w:line="108" w:lineRule="exact"/>
        <w:rPr>
          <w:sz w:val="20"/>
          <w:szCs w:val="20"/>
          <w:color w:val="auto"/>
        </w:rPr>
      </w:pPr>
    </w:p>
    <w:p>
      <w:pPr>
        <w:ind w:right="60" w:firstLine="432"/>
        <w:spacing w:after="0" w:line="235" w:lineRule="auto"/>
        <w:rPr>
          <w:sz w:val="20"/>
          <w:szCs w:val="20"/>
          <w:color w:val="auto"/>
        </w:rPr>
      </w:pPr>
      <w:r>
        <w:rPr>
          <w:rFonts w:ascii="Arial" w:cs="Arial" w:eastAsia="Arial" w:hAnsi="Arial"/>
          <w:sz w:val="18"/>
          <w:szCs w:val="18"/>
          <w:color w:val="auto"/>
        </w:rPr>
        <w:t>In connection with its adoption of ASC 606, the Company has included the following financial statement line items for comparability purposes for the years ended March 31, 2018 (in thousands):</w:t>
      </w:r>
    </w:p>
    <w:p>
      <w:pPr>
        <w:sectPr>
          <w:pgSz w:w="11900" w:h="16838" w:orient="portrait"/>
          <w:cols w:equalWidth="0" w:num="1">
            <w:col w:w="9060"/>
          </w:cols>
          <w:pgMar w:left="1420" w:top="112"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20"/>
        <w:spacing w:after="0" w:line="212" w:lineRule="auto"/>
        <w:rPr>
          <w:sz w:val="20"/>
          <w:szCs w:val="20"/>
          <w:color w:val="auto"/>
        </w:rPr>
      </w:pPr>
      <w:r>
        <w:rPr>
          <w:rFonts w:ascii="Arial" w:cs="Arial" w:eastAsia="Arial" w:hAnsi="Arial"/>
          <w:sz w:val="18"/>
          <w:szCs w:val="18"/>
          <w:color w:val="auto"/>
        </w:rPr>
        <w:t>Collaboration and other research and development revenues 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-222250</wp:posOffset>
            </wp:positionV>
            <wp:extent cx="575437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8"/>
          <w:szCs w:val="18"/>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5754370"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1176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8"/>
          <w:szCs w:val="18"/>
          <w:color w:val="auto"/>
        </w:rPr>
        <w:t>Net loss per share attributable to common stockholders, basic and diluted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7"/>
          </w:tcPr>
          <w:p>
            <w:pPr>
              <w:jc w:val="right"/>
              <w:ind w:right="756"/>
              <w:spacing w:after="0"/>
              <w:rPr>
                <w:sz w:val="20"/>
                <w:szCs w:val="20"/>
                <w:color w:val="auto"/>
              </w:rPr>
            </w:pPr>
            <w:r>
              <w:rPr>
                <w:rFonts w:ascii="Arial" w:cs="Arial" w:eastAsia="Arial" w:hAnsi="Arial"/>
                <w:sz w:val="14"/>
                <w:szCs w:val="14"/>
                <w:b w:val="1"/>
                <w:bCs w:val="1"/>
                <w:color w:val="auto"/>
              </w:rPr>
              <w:t>Three Months Ended March 31, 2018</w:t>
            </w:r>
          </w:p>
        </w:tc>
        <w:tc>
          <w:tcPr>
            <w:tcW w:w="0" w:type="dxa"/>
            <w:vAlign w:val="bottom"/>
          </w:tcPr>
          <w:p>
            <w:pPr>
              <w:spacing w:after="0"/>
              <w:rPr>
                <w:sz w:val="1"/>
                <w:szCs w:val="1"/>
                <w:color w:val="auto"/>
              </w:rPr>
            </w:pPr>
          </w:p>
        </w:tc>
      </w:tr>
      <w:tr>
        <w:trPr>
          <w:trHeight w:val="108"/>
        </w:trPr>
        <w:tc>
          <w:tcPr>
            <w:tcW w:w="1420" w:type="dxa"/>
            <w:vAlign w:val="bottom"/>
            <w:gridSpan w:val="3"/>
          </w:tcPr>
          <w:p>
            <w:pPr>
              <w:ind w:left="60"/>
              <w:spacing w:after="0" w:line="108" w:lineRule="exact"/>
              <w:rPr>
                <w:sz w:val="20"/>
                <w:szCs w:val="20"/>
                <w:color w:val="auto"/>
              </w:rPr>
            </w:pPr>
            <w:r>
              <w:rPr>
                <w:rFonts w:ascii="Arial" w:cs="Arial" w:eastAsia="Arial" w:hAnsi="Arial"/>
                <w:sz w:val="12"/>
                <w:szCs w:val="12"/>
                <w:b w:val="1"/>
                <w:bCs w:val="1"/>
                <w:color w:val="auto"/>
              </w:rPr>
              <w:t>As reported under</w:t>
            </w:r>
          </w:p>
        </w:tc>
        <w:tc>
          <w:tcPr>
            <w:tcW w:w="1440" w:type="dxa"/>
            <w:vAlign w:val="bottom"/>
            <w:gridSpan w:val="3"/>
          </w:tcPr>
          <w:p>
            <w:pPr>
              <w:jc w:val="right"/>
              <w:ind w:right="280"/>
              <w:spacing w:after="0" w:line="108" w:lineRule="exact"/>
              <w:rPr>
                <w:sz w:val="20"/>
                <w:szCs w:val="20"/>
                <w:color w:val="auto"/>
              </w:rPr>
            </w:pPr>
            <w:r>
              <w:rPr>
                <w:rFonts w:ascii="Arial" w:cs="Arial" w:eastAsia="Arial" w:hAnsi="Arial"/>
                <w:sz w:val="12"/>
                <w:szCs w:val="12"/>
                <w:b w:val="1"/>
                <w:bCs w:val="1"/>
                <w:color w:val="auto"/>
              </w:rPr>
              <w:t>Balances without</w:t>
            </w:r>
          </w:p>
        </w:tc>
        <w:tc>
          <w:tcPr>
            <w:tcW w:w="120" w:type="dxa"/>
            <w:vAlign w:val="bottom"/>
          </w:tcPr>
          <w:p>
            <w:pPr>
              <w:spacing w:after="0"/>
              <w:rPr>
                <w:sz w:val="9"/>
                <w:szCs w:val="9"/>
                <w:color w:val="auto"/>
              </w:rPr>
            </w:pPr>
          </w:p>
        </w:tc>
        <w:tc>
          <w:tcPr>
            <w:tcW w:w="11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1"/>
              </w:rPr>
              <w:t>Effect of Change</w:t>
            </w:r>
          </w:p>
        </w:tc>
        <w:tc>
          <w:tcPr>
            <w:tcW w:w="0" w:type="dxa"/>
            <w:vAlign w:val="bottom"/>
          </w:tcPr>
          <w:p>
            <w:pPr>
              <w:spacing w:after="0"/>
              <w:rPr>
                <w:sz w:val="1"/>
                <w:szCs w:val="1"/>
                <w:color w:val="auto"/>
              </w:rPr>
            </w:pPr>
          </w:p>
        </w:tc>
      </w:tr>
      <w:tr>
        <w:trPr>
          <w:trHeight w:val="110"/>
        </w:trPr>
        <w:tc>
          <w:tcPr>
            <w:tcW w:w="220" w:type="dxa"/>
            <w:vAlign w:val="bottom"/>
          </w:tcPr>
          <w:p>
            <w:pPr>
              <w:spacing w:after="0"/>
              <w:rPr>
                <w:sz w:val="9"/>
                <w:szCs w:val="9"/>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Topic 606</w:t>
            </w:r>
          </w:p>
        </w:tc>
        <w:tc>
          <w:tcPr>
            <w:tcW w:w="14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adoption of ASC 606</w:t>
            </w:r>
          </w:p>
        </w:tc>
        <w:tc>
          <w:tcPr>
            <w:tcW w:w="1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2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3,927</w:t>
            </w:r>
          </w:p>
        </w:tc>
        <w:tc>
          <w:tcPr>
            <w:tcW w:w="180" w:type="dxa"/>
            <w:vAlign w:val="bottom"/>
          </w:tcPr>
          <w:p>
            <w:pPr>
              <w:spacing w:after="0"/>
              <w:rPr>
                <w:sz w:val="12"/>
                <w:szCs w:val="12"/>
                <w:color w:val="auto"/>
              </w:rPr>
            </w:pPr>
          </w:p>
        </w:tc>
        <w:tc>
          <w:tcPr>
            <w:tcW w:w="40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3,853</w:t>
            </w:r>
          </w:p>
        </w:tc>
        <w:tc>
          <w:tcPr>
            <w:tcW w:w="16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120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(31,559)</w:t>
            </w:r>
          </w:p>
        </w:tc>
        <w:tc>
          <w:tcPr>
            <w:tcW w:w="400" w:type="dxa"/>
            <w:vAlign w:val="bottom"/>
          </w:tcPr>
          <w:p>
            <w:pPr>
              <w:spacing w:after="0"/>
              <w:rPr>
                <w:sz w:val="15"/>
                <w:szCs w:val="15"/>
                <w:color w:val="auto"/>
              </w:rPr>
            </w:pPr>
          </w:p>
        </w:tc>
        <w:tc>
          <w:tcPr>
            <w:tcW w:w="10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(31,633)</w:t>
            </w:r>
          </w:p>
        </w:tc>
        <w:tc>
          <w:tcPr>
            <w:tcW w:w="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(30,939)</w:t>
            </w:r>
          </w:p>
        </w:tc>
        <w:tc>
          <w:tcPr>
            <w:tcW w:w="4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(31,013)</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6"/>
        </w:trPr>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(0.67)</w:t>
            </w:r>
          </w:p>
        </w:tc>
        <w:tc>
          <w:tcPr>
            <w:tcW w:w="400" w:type="dxa"/>
            <w:vAlign w:val="bottom"/>
          </w:tcPr>
          <w:p>
            <w:pPr>
              <w:jc w:val="right"/>
              <w:ind w:right="204"/>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(0.67)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4" w:lineRule="exact"/>
        <w:rPr>
          <w:sz w:val="20"/>
          <w:szCs w:val="20"/>
          <w:color w:val="auto"/>
        </w:rPr>
      </w:pPr>
    </w:p>
    <w:p>
      <w:pPr>
        <w:sectPr>
          <w:pgSz w:w="11900" w:h="16838" w:orient="portrait"/>
          <w:cols w:equalWidth="0" w:num="2">
            <w:col w:w="4740" w:space="180"/>
            <w:col w:w="4140"/>
          </w:cols>
          <w:pgMar w:left="1420" w:top="112" w:right="1419" w:bottom="1440" w:gutter="0" w:footer="0" w:header="0"/>
          <w:type w:val="continuous"/>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7"/>
          </w:tcPr>
          <w:p>
            <w:pPr>
              <w:jc w:val="right"/>
              <w:ind w:right="754"/>
              <w:spacing w:after="0"/>
              <w:rPr>
                <w:sz w:val="20"/>
                <w:szCs w:val="20"/>
                <w:color w:val="auto"/>
              </w:rPr>
            </w:pPr>
            <w:r>
              <w:rPr>
                <w:rFonts w:ascii="Arial" w:cs="Arial" w:eastAsia="Arial" w:hAnsi="Arial"/>
                <w:sz w:val="14"/>
                <w:szCs w:val="14"/>
                <w:b w:val="1"/>
                <w:bCs w:val="1"/>
                <w:color w:val="auto"/>
              </w:rPr>
              <w:t>Three Months Ended March 31, 2018</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420" w:type="dxa"/>
            <w:vAlign w:val="bottom"/>
            <w:gridSpan w:val="3"/>
          </w:tcPr>
          <w:p>
            <w:pPr>
              <w:ind w:left="60"/>
              <w:spacing w:after="0" w:line="108" w:lineRule="exact"/>
              <w:rPr>
                <w:sz w:val="20"/>
                <w:szCs w:val="20"/>
                <w:color w:val="auto"/>
              </w:rPr>
            </w:pPr>
            <w:r>
              <w:rPr>
                <w:rFonts w:ascii="Arial" w:cs="Arial" w:eastAsia="Arial" w:hAnsi="Arial"/>
                <w:sz w:val="12"/>
                <w:szCs w:val="12"/>
                <w:b w:val="1"/>
                <w:bCs w:val="1"/>
                <w:color w:val="auto"/>
              </w:rPr>
              <w:t>As reported under</w:t>
            </w:r>
          </w:p>
        </w:tc>
        <w:tc>
          <w:tcPr>
            <w:tcW w:w="1440" w:type="dxa"/>
            <w:vAlign w:val="bottom"/>
            <w:gridSpan w:val="3"/>
          </w:tcPr>
          <w:p>
            <w:pPr>
              <w:jc w:val="right"/>
              <w:ind w:right="280"/>
              <w:spacing w:after="0" w:line="108" w:lineRule="exact"/>
              <w:rPr>
                <w:sz w:val="20"/>
                <w:szCs w:val="20"/>
                <w:color w:val="auto"/>
              </w:rPr>
            </w:pPr>
            <w:r>
              <w:rPr>
                <w:rFonts w:ascii="Arial" w:cs="Arial" w:eastAsia="Arial" w:hAnsi="Arial"/>
                <w:sz w:val="12"/>
                <w:szCs w:val="12"/>
                <w:b w:val="1"/>
                <w:bCs w:val="1"/>
                <w:color w:val="auto"/>
              </w:rPr>
              <w:t>Balances without</w:t>
            </w:r>
          </w:p>
        </w:tc>
        <w:tc>
          <w:tcPr>
            <w:tcW w:w="120" w:type="dxa"/>
            <w:vAlign w:val="bottom"/>
          </w:tcPr>
          <w:p>
            <w:pPr>
              <w:spacing w:after="0"/>
              <w:rPr>
                <w:sz w:val="9"/>
                <w:szCs w:val="9"/>
                <w:color w:val="auto"/>
              </w:rPr>
            </w:pPr>
          </w:p>
        </w:tc>
        <w:tc>
          <w:tcPr>
            <w:tcW w:w="11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1"/>
              </w:rPr>
              <w:t>Effect of Change</w:t>
            </w:r>
          </w:p>
        </w:tc>
        <w:tc>
          <w:tcPr>
            <w:tcW w:w="0" w:type="dxa"/>
            <w:vAlign w:val="bottom"/>
          </w:tcPr>
          <w:p>
            <w:pPr>
              <w:spacing w:after="0"/>
              <w:rPr>
                <w:sz w:val="1"/>
                <w:szCs w:val="1"/>
                <w:color w:val="auto"/>
              </w:rPr>
            </w:pPr>
          </w:p>
        </w:tc>
      </w:tr>
      <w:tr>
        <w:trPr>
          <w:trHeight w:val="110"/>
        </w:trPr>
        <w:tc>
          <w:tcPr>
            <w:tcW w:w="4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Topic 606</w:t>
            </w:r>
          </w:p>
        </w:tc>
        <w:tc>
          <w:tcPr>
            <w:tcW w:w="14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adoption of ASC 606</w:t>
            </w:r>
          </w:p>
        </w:tc>
        <w:tc>
          <w:tcPr>
            <w:tcW w:w="1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4920" w:type="dxa"/>
            <w:vAlign w:val="bottom"/>
            <w:tcBorders>
              <w:top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Deferred revenue, current</w:t>
            </w:r>
          </w:p>
        </w:tc>
        <w:tc>
          <w:tcPr>
            <w:tcW w:w="220" w:type="dxa"/>
            <w:vAlign w:val="bottom"/>
            <w:tcBorders>
              <w:top w:val="single" w:sz="8" w:color="auto"/>
            </w:tcBorders>
            <w:shd w:val="clear" w:color="auto" w:fill="CCEEFF"/>
          </w:tcPr>
          <w:p>
            <w:pPr>
              <w:ind w:left="40"/>
              <w:spacing w:after="0" w:line="170"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(13,323)</w:t>
            </w:r>
          </w:p>
        </w:tc>
        <w:tc>
          <w:tcPr>
            <w:tcW w:w="1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42"/>
              <w:spacing w:after="0" w:line="170"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(13,238)</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76"/>
        </w:trPr>
        <w:tc>
          <w:tcPr>
            <w:tcW w:w="4920" w:type="dxa"/>
            <w:vAlign w:val="bottom"/>
          </w:tcPr>
          <w:p>
            <w:pPr>
              <w:ind w:left="120"/>
              <w:spacing w:after="0" w:line="176" w:lineRule="exact"/>
              <w:rPr>
                <w:sz w:val="20"/>
                <w:szCs w:val="20"/>
                <w:color w:val="auto"/>
              </w:rPr>
            </w:pPr>
            <w:r>
              <w:rPr>
                <w:rFonts w:ascii="Arial" w:cs="Arial" w:eastAsia="Arial" w:hAnsi="Arial"/>
                <w:sz w:val="18"/>
                <w:szCs w:val="18"/>
                <w:color w:val="auto"/>
              </w:rPr>
              <w:t>Deferred revenue, net of current portion</w:t>
            </w:r>
          </w:p>
        </w:tc>
        <w:tc>
          <w:tcPr>
            <w:tcW w:w="220" w:type="dxa"/>
            <w:vAlign w:val="bottom"/>
          </w:tcPr>
          <w:p>
            <w:pPr>
              <w:spacing w:after="0"/>
              <w:rPr>
                <w:sz w:val="15"/>
                <w:szCs w:val="15"/>
                <w:color w:val="auto"/>
              </w:rPr>
            </w:pPr>
          </w:p>
        </w:tc>
        <w:tc>
          <w:tcPr>
            <w:tcW w:w="120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(91,972)</w:t>
            </w:r>
          </w:p>
        </w:tc>
        <w:tc>
          <w:tcPr>
            <w:tcW w:w="340" w:type="dxa"/>
            <w:vAlign w:val="bottom"/>
          </w:tcPr>
          <w:p>
            <w:pPr>
              <w:spacing w:after="0"/>
              <w:rPr>
                <w:sz w:val="15"/>
                <w:szCs w:val="15"/>
                <w:color w:val="auto"/>
              </w:rPr>
            </w:pPr>
          </w:p>
        </w:tc>
        <w:tc>
          <w:tcPr>
            <w:tcW w:w="11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(91,637)</w:t>
            </w:r>
          </w:p>
        </w:tc>
        <w:tc>
          <w:tcPr>
            <w:tcW w:w="12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(337,262)</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42"/>
              <w:spacing w:after="0" w:line="17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(337,336)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432"/>
        <w:spacing w:after="0" w:line="212" w:lineRule="auto"/>
        <w:rPr>
          <w:sz w:val="20"/>
          <w:szCs w:val="20"/>
          <w:color w:val="auto"/>
        </w:rPr>
      </w:pPr>
      <w:r>
        <w:rPr>
          <w:rFonts w:ascii="Arial" w:cs="Arial" w:eastAsia="Arial" w:hAnsi="Arial"/>
          <w:sz w:val="18"/>
          <w:szCs w:val="18"/>
          <w:color w:val="auto"/>
        </w:rPr>
        <w:t>In January 2017, the FASB issued ASU No. 2017-01, Business Combinations (“ASU 2017-01”), which clarified the definition of a business and provides a screen to determine when an integrated set of assets and activities is not a business. The screen requires that when substantially all of the fair value of the gross assets acquired, or disposed of, is concentrated in a single identifiable asset or a group of similar identifiable assets, the set is not a business. This new standard was effective for fiscal years beginning after December 15, 2017, and interim periods within those years. Early adoption was permitted. The Company adopted this new standard as of January 1, 2017, with prospective application to any business development transactions</w:t>
      </w:r>
    </w:p>
    <w:p>
      <w:pPr>
        <w:spacing w:after="0" w:line="125" w:lineRule="exact"/>
        <w:rPr>
          <w:sz w:val="20"/>
          <w:szCs w:val="20"/>
          <w:color w:val="auto"/>
        </w:rPr>
      </w:pPr>
    </w:p>
    <w:p>
      <w:pPr>
        <w:ind w:right="500" w:firstLine="432"/>
        <w:spacing w:after="0" w:line="289" w:lineRule="auto"/>
        <w:rPr>
          <w:sz w:val="20"/>
          <w:szCs w:val="20"/>
          <w:color w:val="auto"/>
        </w:rPr>
      </w:pPr>
      <w:r>
        <w:rPr>
          <w:rFonts w:ascii="Arial" w:cs="Arial" w:eastAsia="Arial" w:hAnsi="Arial"/>
          <w:sz w:val="16"/>
          <w:szCs w:val="16"/>
          <w:color w:val="auto"/>
        </w:rPr>
        <w:t>In May 2017, the FASB issued ASU No. 2017-09, Compensation-Stock Compensation (“ASU 2017-09”), which provided guidance about which changes to the terms or conditions of a share-based payment award require an entity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apply modification accounting. The new guidance requires modification accounting if the vesting condition, fair value or award classification is not the same both before and after a change to the terms and conditions of the award. This new standard was effective for fiscal years beginning after December 15, 2017, and interim periods within those years. The Company adopted this new standard as of January 1, 2018 and it did not have a material impact to its condensed consolidated financial statements.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 Accounting Pronouncements – Issued</w:t>
      </w:r>
    </w:p>
    <w:p>
      <w:pPr>
        <w:spacing w:after="0" w:line="144" w:lineRule="exact"/>
        <w:rPr>
          <w:sz w:val="20"/>
          <w:szCs w:val="20"/>
          <w:color w:val="auto"/>
        </w:rPr>
      </w:pPr>
    </w:p>
    <w:p>
      <w:pPr>
        <w:ind w:right="60" w:firstLine="432"/>
        <w:spacing w:after="0" w:line="212" w:lineRule="auto"/>
        <w:rPr>
          <w:sz w:val="20"/>
          <w:szCs w:val="20"/>
          <w:color w:val="auto"/>
        </w:rPr>
      </w:pPr>
      <w:r>
        <w:rPr>
          <w:rFonts w:ascii="Arial" w:cs="Arial" w:eastAsia="Arial" w:hAnsi="Arial"/>
          <w:sz w:val="18"/>
          <w:szCs w:val="18"/>
          <w:color w:val="auto"/>
        </w:rPr>
        <w:t>In February 2016, the FASB issued ASU No. 2016-02, Leases (“ASU 2016-02”), which applies to all leases and will require lessees to record most leases on the balance sheet, but recognize expense in a manner similar to the current standard. ASU 2016-02 is effective for fiscal years beginning after December 15, 2018 and interim periods within those years. Entities are required to use a modified retrospective approach of adoption for leases that exist or are entered into after the beginning of the earliest comparative period in the financial statements. Full retrospective application is prohibited. The Company is evaluating the potential impact that the adoption of ASU 2016-02 will have on the Company’s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&amp; Marketable Securities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and marketable securities consisted of the following at March 31, 2018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00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Unrealized</w:t>
            </w:r>
          </w:p>
        </w:tc>
        <w:tc>
          <w:tcPr>
            <w:tcW w:w="8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9"/>
        </w:trPr>
        <w:tc>
          <w:tcPr>
            <w:tcW w:w="46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Cash equivalents and marketable securities:</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0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164,950</w:t>
            </w:r>
          </w:p>
        </w:tc>
        <w:tc>
          <w:tcPr>
            <w:tcW w:w="140" w:type="dxa"/>
            <w:vAlign w:val="bottom"/>
          </w:tcPr>
          <w:p>
            <w:pPr>
              <w:spacing w:after="0"/>
              <w:rPr>
                <w:sz w:val="15"/>
                <w:szCs w:val="15"/>
                <w:color w:val="auto"/>
              </w:rPr>
            </w:pPr>
          </w:p>
        </w:tc>
        <w:tc>
          <w:tcPr>
            <w:tcW w:w="120" w:type="dxa"/>
            <w:vAlign w:val="bottom"/>
          </w:tcPr>
          <w:p>
            <w:pPr>
              <w:spacing w:after="0" w:line="176" w:lineRule="exact"/>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176" w:lineRule="exact"/>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164,950</w:t>
            </w:r>
          </w:p>
        </w:tc>
        <w:tc>
          <w:tcPr>
            <w:tcW w:w="0" w:type="dxa"/>
            <w:vAlign w:val="bottom"/>
          </w:tcPr>
          <w:p>
            <w:pPr>
              <w:spacing w:after="0"/>
              <w:rPr>
                <w:sz w:val="1"/>
                <w:szCs w:val="1"/>
                <w:color w:val="auto"/>
              </w:rPr>
            </w:pPr>
          </w:p>
        </w:tc>
      </w:tr>
      <w:tr>
        <w:trPr>
          <w:trHeight w:val="176"/>
        </w:trPr>
        <w:tc>
          <w:tcPr>
            <w:tcW w:w="48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Treasuries</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163,711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163,682</w:t>
            </w:r>
          </w:p>
        </w:tc>
        <w:tc>
          <w:tcPr>
            <w:tcW w:w="0" w:type="dxa"/>
            <w:vAlign w:val="bottom"/>
          </w:tcPr>
          <w:p>
            <w:pPr>
              <w:spacing w:after="0"/>
              <w:rPr>
                <w:sz w:val="1"/>
                <w:szCs w:val="1"/>
                <w:color w:val="auto"/>
              </w:rPr>
            </w:pPr>
          </w:p>
        </w:tc>
      </w:tr>
      <w:tr>
        <w:trPr>
          <w:trHeight w:val="189"/>
        </w:trPr>
        <w:tc>
          <w:tcPr>
            <w:tcW w:w="48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Government agency securities</w:t>
            </w:r>
          </w:p>
        </w:tc>
        <w:tc>
          <w:tcPr>
            <w:tcW w:w="1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29,963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(23)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29,940</w:t>
            </w:r>
          </w:p>
        </w:tc>
        <w:tc>
          <w:tcPr>
            <w:tcW w:w="0" w:type="dxa"/>
            <w:vAlign w:val="bottom"/>
          </w:tcPr>
          <w:p>
            <w:pPr>
              <w:spacing w:after="0"/>
              <w:rPr>
                <w:sz w:val="1"/>
                <w:szCs w:val="1"/>
                <w:color w:val="auto"/>
              </w:rPr>
            </w:pPr>
          </w:p>
        </w:tc>
      </w:tr>
      <w:tr>
        <w:trPr>
          <w:trHeight w:val="176"/>
        </w:trPr>
        <w:tc>
          <w:tcPr>
            <w:tcW w:w="4800" w:type="dxa"/>
            <w:vAlign w:val="bottom"/>
            <w:tcBorders>
              <w:top w:val="single" w:sz="8" w:color="CCEEFF"/>
              <w:bottom w:val="single" w:sz="8" w:color="CCEEFF"/>
            </w:tcBorders>
            <w:gridSpan w:val="2"/>
            <w:shd w:val="clear" w:color="auto" w:fill="CCEEFF"/>
          </w:tcPr>
          <w:p>
            <w:pPr>
              <w:ind w:left="440"/>
              <w:spacing w:after="0" w:line="170" w:lineRule="exact"/>
              <w:rPr>
                <w:sz w:val="20"/>
                <w:szCs w:val="20"/>
                <w:color w:val="auto"/>
              </w:rPr>
            </w:pPr>
            <w:r>
              <w:rPr>
                <w:rFonts w:ascii="Arial" w:cs="Arial" w:eastAsia="Arial" w:hAnsi="Arial"/>
                <w:sz w:val="18"/>
                <w:szCs w:val="18"/>
                <w:color w:val="auto"/>
              </w:rPr>
              <w:t>Total cash equivalents and marketable securities</w:t>
            </w: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358,624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358,572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Cash equivalents and marketable securities consisted of the following at December 31, 2017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00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Unrealized</w:t>
            </w:r>
          </w:p>
        </w:tc>
        <w:tc>
          <w:tcPr>
            <w:tcW w:w="8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9"/>
        </w:trPr>
        <w:tc>
          <w:tcPr>
            <w:tcW w:w="46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Cash equivalents and marketable securities:</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134,635</w:t>
            </w:r>
          </w:p>
        </w:tc>
        <w:tc>
          <w:tcPr>
            <w:tcW w:w="140" w:type="dxa"/>
            <w:vAlign w:val="bottom"/>
          </w:tcPr>
          <w:p>
            <w:pPr>
              <w:spacing w:after="0"/>
              <w:rPr>
                <w:sz w:val="16"/>
                <w:szCs w:val="16"/>
                <w:color w:val="auto"/>
              </w:rPr>
            </w:pPr>
          </w:p>
        </w:tc>
        <w:tc>
          <w:tcPr>
            <w:tcW w:w="120" w:type="dxa"/>
            <w:vAlign w:val="bottom"/>
          </w:tcPr>
          <w:p>
            <w:pPr>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134,635</w:t>
            </w:r>
          </w:p>
        </w:tc>
        <w:tc>
          <w:tcPr>
            <w:tcW w:w="0" w:type="dxa"/>
            <w:vAlign w:val="bottom"/>
          </w:tcPr>
          <w:p>
            <w:pPr>
              <w:spacing w:after="0"/>
              <w:rPr>
                <w:sz w:val="1"/>
                <w:szCs w:val="1"/>
                <w:color w:val="auto"/>
              </w:rPr>
            </w:pPr>
          </w:p>
        </w:tc>
      </w:tr>
      <w:tr>
        <w:trPr>
          <w:trHeight w:val="189"/>
        </w:trPr>
        <w:tc>
          <w:tcPr>
            <w:tcW w:w="48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U.S. Treasuries</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135,601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135,554</w:t>
            </w:r>
          </w:p>
        </w:tc>
        <w:tc>
          <w:tcPr>
            <w:tcW w:w="0" w:type="dxa"/>
            <w:vAlign w:val="bottom"/>
          </w:tcPr>
          <w:p>
            <w:pPr>
              <w:spacing w:after="0"/>
              <w:rPr>
                <w:sz w:val="1"/>
                <w:szCs w:val="1"/>
                <w:color w:val="auto"/>
              </w:rPr>
            </w:pPr>
          </w:p>
        </w:tc>
      </w:tr>
      <w:tr>
        <w:trPr>
          <w:trHeight w:val="189"/>
        </w:trPr>
        <w:tc>
          <w:tcPr>
            <w:tcW w:w="48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Government agency securities</w:t>
            </w:r>
          </w:p>
        </w:tc>
        <w:tc>
          <w:tcPr>
            <w:tcW w:w="1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58,979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(29)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58,950</w:t>
            </w:r>
          </w:p>
        </w:tc>
        <w:tc>
          <w:tcPr>
            <w:tcW w:w="0" w:type="dxa"/>
            <w:vAlign w:val="bottom"/>
          </w:tcPr>
          <w:p>
            <w:pPr>
              <w:spacing w:after="0"/>
              <w:rPr>
                <w:sz w:val="1"/>
                <w:szCs w:val="1"/>
                <w:color w:val="auto"/>
              </w:rPr>
            </w:pPr>
          </w:p>
        </w:tc>
      </w:tr>
      <w:tr>
        <w:trPr>
          <w:trHeight w:val="176"/>
        </w:trPr>
        <w:tc>
          <w:tcPr>
            <w:tcW w:w="4800" w:type="dxa"/>
            <w:vAlign w:val="bottom"/>
            <w:tcBorders>
              <w:top w:val="single" w:sz="8" w:color="CCEEFF"/>
              <w:bottom w:val="single" w:sz="8" w:color="CCEEFF"/>
            </w:tcBorders>
            <w:gridSpan w:val="2"/>
            <w:shd w:val="clear" w:color="auto" w:fill="CCEEFF"/>
          </w:tcPr>
          <w:p>
            <w:pPr>
              <w:ind w:left="440"/>
              <w:spacing w:after="0" w:line="170" w:lineRule="exact"/>
              <w:rPr>
                <w:sz w:val="20"/>
                <w:szCs w:val="20"/>
                <w:color w:val="auto"/>
              </w:rPr>
            </w:pPr>
            <w:r>
              <w:rPr>
                <w:rFonts w:ascii="Arial" w:cs="Arial" w:eastAsia="Arial" w:hAnsi="Arial"/>
                <w:sz w:val="18"/>
                <w:szCs w:val="18"/>
                <w:color w:val="auto"/>
              </w:rPr>
              <w:t>Total cash equivalents and marketable securities</w:t>
            </w: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329,215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329,139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At March 31, 2018, the Company held 23 securities that were in an unrealized loss position. The aggregate fair value of securities held by the Company in an unrealized loss position for less than 12 months at March 31, 2018 was $147.7 million, and there were no securities held by the Company in an unrealized loss position for more than 12 months. As of March 31, 2018, the Company did not intend to sell, and would not be more likely than not required to sell, the securities in an unrealized loss position before recovery of their amortized cost bases. Furthermore, the Company has determined that there was no material change in the credit risk of these securities. As a result, the Company determined it did not hold any securities with any other-than-temporary impairment as of March 31, 2018.</w:t>
      </w:r>
    </w:p>
    <w:p>
      <w:pPr>
        <w:spacing w:after="0" w:line="122" w:lineRule="exact"/>
        <w:rPr>
          <w:sz w:val="20"/>
          <w:szCs w:val="20"/>
          <w:color w:val="auto"/>
        </w:rPr>
      </w:pPr>
    </w:p>
    <w:p>
      <w:pPr>
        <w:ind w:right="400" w:firstLine="648"/>
        <w:spacing w:after="0" w:line="235" w:lineRule="auto"/>
        <w:rPr>
          <w:sz w:val="20"/>
          <w:szCs w:val="20"/>
          <w:color w:val="auto"/>
        </w:rPr>
      </w:pPr>
      <w:r>
        <w:rPr>
          <w:rFonts w:ascii="Arial" w:cs="Arial" w:eastAsia="Arial" w:hAnsi="Arial"/>
          <w:sz w:val="18"/>
          <w:szCs w:val="18"/>
          <w:color w:val="auto"/>
        </w:rPr>
        <w:t>There were no realized gains or losses on available-for-sale securities during the three months ended March 31, 2018 or 2017.</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measured at fair value on a recurring basis as of March 31, 2018 were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Quoted Prices</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1"/>
                <w:szCs w:val="11"/>
                <w:color w:val="auto"/>
              </w:rPr>
            </w:pPr>
          </w:p>
        </w:tc>
        <w:tc>
          <w:tcPr>
            <w:tcW w:w="88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Observable</w:t>
            </w:r>
          </w:p>
        </w:tc>
        <w:tc>
          <w:tcPr>
            <w:tcW w:w="2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16"/>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69"/>
        </w:trPr>
        <w:tc>
          <w:tcPr>
            <w:tcW w:w="49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0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164,950</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164,950</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gridSpan w:val="2"/>
          </w:tcPr>
          <w:p>
            <w:pPr>
              <w:ind w:left="420"/>
              <w:spacing w:after="0" w:line="176" w:lineRule="exact"/>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Treasuries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52,472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52,472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00" w:type="dxa"/>
            <w:vAlign w:val="bottom"/>
            <w:gridSpan w:val="2"/>
          </w:tcPr>
          <w:p>
            <w:pPr>
              <w:spacing w:after="0" w:line="176" w:lineRule="exact"/>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Treasuries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111,210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111,210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0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Government agency securities</w:t>
            </w: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29,940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29,940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42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ind w:left="5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Money market funds, included in restricted cash</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1,619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1,619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00" w:type="dxa"/>
            <w:vAlign w:val="bottom"/>
            <w:gridSpan w:val="2"/>
          </w:tcPr>
          <w:p>
            <w:pPr>
              <w:ind w:left="220"/>
              <w:spacing w:after="0" w:line="170" w:lineRule="exact"/>
              <w:rPr>
                <w:sz w:val="20"/>
                <w:szCs w:val="20"/>
                <w:color w:val="auto"/>
              </w:rPr>
            </w:pPr>
            <w:r>
              <w:rPr>
                <w:rFonts w:ascii="Arial" w:cs="Arial" w:eastAsia="Arial" w:hAnsi="Arial"/>
                <w:sz w:val="18"/>
                <w:szCs w:val="18"/>
                <w:color w:val="auto"/>
              </w:rPr>
              <w:t>Total financial assets</w:t>
            </w:r>
          </w:p>
        </w:tc>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360,191</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360,191</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20"/>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ind w:left="56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Assets measured at fair value on a recurring basis as of December 31, 2017 were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Quoted Prices</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1"/>
                <w:szCs w:val="11"/>
                <w:color w:val="auto"/>
              </w:rPr>
            </w:pPr>
          </w:p>
        </w:tc>
        <w:tc>
          <w:tcPr>
            <w:tcW w:w="88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Observable</w:t>
            </w:r>
          </w:p>
        </w:tc>
        <w:tc>
          <w:tcPr>
            <w:tcW w:w="2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Financial Assets</w:t>
            </w:r>
          </w:p>
        </w:tc>
        <w:tc>
          <w:tcPr>
            <w:tcW w:w="16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16"/>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4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69"/>
        </w:trPr>
        <w:tc>
          <w:tcPr>
            <w:tcW w:w="49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40" w:type="dxa"/>
            <w:vAlign w:val="bottom"/>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2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134,635</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134,635</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gridSpan w:val="2"/>
          </w:tcPr>
          <w:p>
            <w:pPr>
              <w:ind w:left="420"/>
              <w:spacing w:after="0" w:line="176" w:lineRule="exact"/>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Treasuries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11,995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11,995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940" w:type="dxa"/>
            <w:vAlign w:val="bottom"/>
          </w:tcPr>
          <w:p>
            <w:pPr>
              <w:spacing w:after="0" w:line="176" w:lineRule="exact"/>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Treasuries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123,559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123,559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940" w:type="dxa"/>
            <w:vAlign w:val="bottom"/>
          </w:tcPr>
          <w:p>
            <w:pPr>
              <w:ind w:left="220"/>
              <w:spacing w:after="0" w:line="176" w:lineRule="exact"/>
              <w:rPr>
                <w:sz w:val="20"/>
                <w:szCs w:val="20"/>
                <w:color w:val="auto"/>
              </w:rPr>
            </w:pPr>
            <w:r>
              <w:rPr>
                <w:rFonts w:ascii="Arial" w:cs="Arial" w:eastAsia="Arial" w:hAnsi="Arial"/>
                <w:sz w:val="18"/>
                <w:szCs w:val="18"/>
                <w:color w:val="auto"/>
              </w:rPr>
              <w:t>Government agency securities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58,950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58,950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42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ind w:left="5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Money market funds, included in restricted cash</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1,619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1,619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940" w:type="dxa"/>
            <w:vAlign w:val="bottom"/>
          </w:tcPr>
          <w:p>
            <w:pPr>
              <w:ind w:left="220"/>
              <w:spacing w:after="0" w:line="170" w:lineRule="exact"/>
              <w:rPr>
                <w:sz w:val="20"/>
                <w:szCs w:val="20"/>
                <w:color w:val="auto"/>
              </w:rPr>
            </w:pPr>
            <w:r>
              <w:rPr>
                <w:rFonts w:ascii="Arial" w:cs="Arial" w:eastAsia="Arial" w:hAnsi="Arial"/>
                <w:sz w:val="18"/>
                <w:szCs w:val="18"/>
                <w:color w:val="auto"/>
              </w:rPr>
              <w:t>Total financial assets</w:t>
            </w:r>
          </w:p>
        </w:tc>
        <w:tc>
          <w:tcPr>
            <w:tcW w:w="1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330,758</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330,758</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20"/>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ind w:left="56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transfers between fair value measurement levels during the three months ended March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 (in thousands):</w:t>
      </w:r>
    </w:p>
    <w:tbl>
      <w:tblPr>
        <w:tblLayout w:type="fixed"/>
        <w:tblInd w:w="0" w:type="dxa"/>
        <w:tblCellMar>
          <w:top w:w="0" w:type="dxa"/>
          <w:left w:w="0" w:type="dxa"/>
          <w:bottom w:w="0" w:type="dxa"/>
          <w:right w:w="0" w:type="dxa"/>
        </w:tblCellMar>
      </w:tblPr>
      <w:tr>
        <w:trPr>
          <w:trHeight w:val="155"/>
        </w:trPr>
        <w:tc>
          <w:tcPr>
            <w:tcW w:w="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3"/>
                <w:szCs w:val="13"/>
                <w:color w:val="auto"/>
              </w:rPr>
            </w:pPr>
          </w:p>
        </w:tc>
        <w:tc>
          <w:tcPr>
            <w:tcW w:w="900" w:type="dxa"/>
            <w:vAlign w:val="bottom"/>
          </w:tcPr>
          <w:p>
            <w:pPr>
              <w:spacing w:after="0"/>
              <w:rPr>
                <w:sz w:val="13"/>
                <w:szCs w:val="13"/>
                <w:color w:val="auto"/>
              </w:rPr>
            </w:pPr>
          </w:p>
        </w:tc>
      </w:tr>
      <w:tr>
        <w:trPr>
          <w:trHeight w:val="102"/>
        </w:trPr>
        <w:tc>
          <w:tcPr>
            <w:tcW w:w="9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2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March 31,</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December 31,</w:t>
            </w:r>
          </w:p>
        </w:tc>
        <w:tc>
          <w:tcPr>
            <w:tcW w:w="900" w:type="dxa"/>
            <w:vAlign w:val="bottom"/>
          </w:tcPr>
          <w:p>
            <w:pPr>
              <w:spacing w:after="0"/>
              <w:rPr>
                <w:sz w:val="8"/>
                <w:szCs w:val="8"/>
                <w:color w:val="auto"/>
              </w:rPr>
            </w:pPr>
          </w:p>
        </w:tc>
      </w:tr>
      <w:tr>
        <w:trPr>
          <w:trHeight w:val="162"/>
        </w:trPr>
        <w:tc>
          <w:tcPr>
            <w:tcW w:w="920" w:type="dxa"/>
            <w:vAlign w:val="bottom"/>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90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3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Employee related expenses</w:t>
            </w:r>
          </w:p>
        </w:tc>
        <w:tc>
          <w:tcPr>
            <w:tcW w:w="20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1"/>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2,799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3,708</w:t>
            </w: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3360" w:type="dxa"/>
            <w:vAlign w:val="bottom"/>
          </w:tcPr>
          <w:p>
            <w:pPr>
              <w:spacing w:after="0" w:line="176" w:lineRule="exact"/>
              <w:rPr>
                <w:sz w:val="20"/>
                <w:szCs w:val="20"/>
                <w:color w:val="auto"/>
              </w:rPr>
            </w:pPr>
            <w:r>
              <w:rPr>
                <w:rFonts w:ascii="Arial" w:cs="Arial" w:eastAsia="Arial" w:hAnsi="Arial"/>
                <w:sz w:val="18"/>
                <w:szCs w:val="18"/>
                <w:color w:val="auto"/>
                <w:w w:val="92"/>
              </w:rPr>
              <w:t>Process and platform development expenses</w:t>
            </w: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2,179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2,301</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6"/>
              </w:rPr>
              <w:t>Intellectual property and patent related fees</w:t>
            </w:r>
          </w:p>
        </w:tc>
        <w:tc>
          <w:tcPr>
            <w:tcW w:w="2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2,007</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2,370</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60" w:type="dxa"/>
            <w:vAlign w:val="bottom"/>
          </w:tcPr>
          <w:p>
            <w:pPr>
              <w:spacing w:after="0" w:line="176" w:lineRule="exact"/>
              <w:rPr>
                <w:sz w:val="20"/>
                <w:szCs w:val="20"/>
                <w:color w:val="auto"/>
              </w:rPr>
            </w:pPr>
            <w:r>
              <w:rPr>
                <w:rFonts w:ascii="Arial" w:cs="Arial" w:eastAsia="Arial" w:hAnsi="Arial"/>
                <w:sz w:val="18"/>
                <w:szCs w:val="18"/>
                <w:color w:val="auto"/>
              </w:rPr>
              <w:t>Professional service expenses</w:t>
            </w: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618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487</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expenses</w:t>
            </w:r>
          </w:p>
        </w:tc>
        <w:tc>
          <w:tcPr>
            <w:tcW w:w="2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164</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183</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Success payment expenses</w:t>
            </w:r>
          </w:p>
        </w:tc>
        <w:tc>
          <w:tcPr>
            <w:tcW w:w="20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2,000</w:t>
            </w:r>
          </w:p>
        </w:tc>
        <w:tc>
          <w:tcPr>
            <w:tcW w:w="900" w:type="dxa"/>
            <w:vAlign w:val="bottom"/>
          </w:tcPr>
          <w:p>
            <w:pPr>
              <w:spacing w:after="0"/>
              <w:rPr>
                <w:sz w:val="15"/>
                <w:szCs w:val="15"/>
                <w:color w:val="auto"/>
              </w:rPr>
            </w:pPr>
          </w:p>
        </w:tc>
      </w:tr>
      <w:tr>
        <w:trPr>
          <w:trHeight w:val="189"/>
        </w:trPr>
        <w:tc>
          <w:tcPr>
            <w:tcW w:w="920" w:type="dxa"/>
            <w:vAlign w:val="bottom"/>
          </w:tcPr>
          <w:p>
            <w:pPr>
              <w:spacing w:after="0"/>
              <w:rPr>
                <w:sz w:val="16"/>
                <w:szCs w:val="16"/>
                <w:color w:val="auto"/>
              </w:rPr>
            </w:pPr>
          </w:p>
        </w:tc>
        <w:tc>
          <w:tcPr>
            <w:tcW w:w="336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1"/>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7,767</w:t>
            </w: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11,049</w:t>
            </w:r>
          </w:p>
        </w:tc>
        <w:tc>
          <w:tcPr>
            <w:tcW w:w="900" w:type="dxa"/>
            <w:vAlign w:val="bottom"/>
          </w:tcPr>
          <w:p>
            <w:pPr>
              <w:spacing w:after="0"/>
              <w:rPr>
                <w:sz w:val="16"/>
                <w:szCs w:val="16"/>
                <w:color w:val="auto"/>
              </w:rPr>
            </w:pPr>
          </w:p>
        </w:tc>
      </w:tr>
      <w:tr>
        <w:trPr>
          <w:trHeight w:val="811"/>
        </w:trPr>
        <w:tc>
          <w:tcPr>
            <w:tcW w:w="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60" w:type="dxa"/>
            <w:vAlign w:val="bottom"/>
          </w:tcPr>
          <w:p>
            <w:pPr>
              <w:jc w:val="right"/>
              <w:ind w:right="16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 (in thousands):</w:t>
      </w:r>
    </w:p>
    <w:tbl>
      <w:tblPr>
        <w:tblLayout w:type="fixed"/>
        <w:tblInd w:w="920" w:type="dxa"/>
        <w:tblCellMar>
          <w:top w:w="0" w:type="dxa"/>
          <w:left w:w="0" w:type="dxa"/>
          <w:bottom w:w="0" w:type="dxa"/>
          <w:right w:w="0" w:type="dxa"/>
        </w:tblCellMar>
      </w:tblPr>
      <w:tr>
        <w:trPr>
          <w:trHeight w:val="155"/>
        </w:trPr>
        <w:tc>
          <w:tcPr>
            <w:tcW w:w="3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720"/>
              <w:spacing w:after="0" w:line="155" w:lineRule="exact"/>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3"/>
                <w:szCs w:val="13"/>
                <w:color w:val="auto"/>
              </w:rPr>
            </w:pPr>
          </w:p>
        </w:tc>
      </w:tr>
      <w:tr>
        <w:trPr>
          <w:trHeight w:val="102"/>
        </w:trPr>
        <w:tc>
          <w:tcPr>
            <w:tcW w:w="37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right"/>
              <w:ind w:right="76"/>
              <w:spacing w:after="0" w:line="102" w:lineRule="exact"/>
              <w:rPr>
                <w:sz w:val="20"/>
                <w:szCs w:val="20"/>
                <w:color w:val="auto"/>
              </w:rPr>
            </w:pPr>
            <w:r>
              <w:rPr>
                <w:rFonts w:ascii="Arial" w:cs="Arial" w:eastAsia="Arial" w:hAnsi="Arial"/>
                <w:sz w:val="11"/>
                <w:szCs w:val="11"/>
                <w:b w:val="1"/>
                <w:bCs w:val="1"/>
                <w:color w:val="auto"/>
              </w:rPr>
              <w:t>March 31,</w:t>
            </w:r>
          </w:p>
        </w:tc>
        <w:tc>
          <w:tcPr>
            <w:tcW w:w="160" w:type="dxa"/>
            <w:vAlign w:val="bottom"/>
          </w:tcPr>
          <w:p>
            <w:pPr>
              <w:spacing w:after="0"/>
              <w:rPr>
                <w:sz w:val="8"/>
                <w:szCs w:val="8"/>
                <w:color w:val="auto"/>
              </w:rPr>
            </w:pPr>
          </w:p>
        </w:tc>
        <w:tc>
          <w:tcPr>
            <w:tcW w:w="90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December 31,</w:t>
            </w:r>
          </w:p>
        </w:tc>
      </w:tr>
      <w:tr>
        <w:trPr>
          <w:trHeight w:val="162"/>
        </w:trPr>
        <w:tc>
          <w:tcPr>
            <w:tcW w:w="376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r>
      <w:tr>
        <w:trPr>
          <w:trHeight w:val="169"/>
        </w:trPr>
        <w:tc>
          <w:tcPr>
            <w:tcW w:w="37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Building</w:t>
            </w: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35,167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35,167</w:t>
            </w:r>
          </w:p>
        </w:tc>
      </w:tr>
      <w:tr>
        <w:trPr>
          <w:trHeight w:val="176"/>
        </w:trPr>
        <w:tc>
          <w:tcPr>
            <w:tcW w:w="3760" w:type="dxa"/>
            <w:vAlign w:val="bottom"/>
          </w:tcPr>
          <w:p>
            <w:pPr>
              <w:spacing w:after="0" w:line="176" w:lineRule="exact"/>
              <w:rPr>
                <w:sz w:val="20"/>
                <w:szCs w:val="20"/>
                <w:color w:val="auto"/>
              </w:rPr>
            </w:pPr>
            <w:r>
              <w:rPr>
                <w:rFonts w:ascii="Arial" w:cs="Arial" w:eastAsia="Arial" w:hAnsi="Arial"/>
                <w:sz w:val="18"/>
                <w:szCs w:val="18"/>
                <w:color w:val="auto"/>
              </w:rPr>
              <w:t>Laboratory equipment</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8,169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7,415</w:t>
            </w:r>
          </w:p>
        </w:tc>
      </w:tr>
      <w:tr>
        <w:trPr>
          <w:trHeight w:val="176"/>
        </w:trPr>
        <w:tc>
          <w:tcPr>
            <w:tcW w:w="3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Computer equipment</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550</w:t>
            </w:r>
          </w:p>
        </w:tc>
      </w:tr>
      <w:tr>
        <w:trPr>
          <w:trHeight w:val="176"/>
        </w:trPr>
        <w:tc>
          <w:tcPr>
            <w:tcW w:w="3760" w:type="dxa"/>
            <w:vAlign w:val="bottom"/>
          </w:tcPr>
          <w:p>
            <w:pPr>
              <w:spacing w:after="0" w:line="176" w:lineRule="exact"/>
              <w:rPr>
                <w:sz w:val="20"/>
                <w:szCs w:val="20"/>
                <w:color w:val="auto"/>
              </w:rPr>
            </w:pPr>
            <w:r>
              <w:rPr>
                <w:rFonts w:ascii="Arial" w:cs="Arial" w:eastAsia="Arial" w:hAnsi="Arial"/>
                <w:sz w:val="18"/>
                <w:szCs w:val="18"/>
                <w:color w:val="auto"/>
              </w:rPr>
              <w:t>Leasehold improvements</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177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177</w:t>
            </w:r>
          </w:p>
        </w:tc>
      </w:tr>
      <w:tr>
        <w:trPr>
          <w:trHeight w:val="176"/>
        </w:trPr>
        <w:tc>
          <w:tcPr>
            <w:tcW w:w="3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Software</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96</w:t>
            </w:r>
          </w:p>
        </w:tc>
      </w:tr>
      <w:tr>
        <w:trPr>
          <w:trHeight w:val="176"/>
        </w:trPr>
        <w:tc>
          <w:tcPr>
            <w:tcW w:w="37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Furniture and office equipment</w:t>
            </w:r>
          </w:p>
        </w:tc>
        <w:tc>
          <w:tcPr>
            <w:tcW w:w="1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95</w:t>
            </w:r>
          </w:p>
        </w:tc>
      </w:tr>
      <w:tr>
        <w:trPr>
          <w:trHeight w:val="169"/>
        </w:trPr>
        <w:tc>
          <w:tcPr>
            <w:tcW w:w="37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property and equipment</w:t>
            </w: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44,201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43,500</w:t>
            </w:r>
          </w:p>
        </w:tc>
      </w:tr>
      <w:tr>
        <w:trPr>
          <w:trHeight w:val="176"/>
        </w:trPr>
        <w:tc>
          <w:tcPr>
            <w:tcW w:w="37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Less: accumulated depreciation</w:t>
            </w:r>
          </w:p>
        </w:tc>
        <w:tc>
          <w:tcPr>
            <w:tcW w:w="1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(4,650)</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(4,058)</w:t>
            </w:r>
          </w:p>
        </w:tc>
      </w:tr>
      <w:tr>
        <w:trPr>
          <w:trHeight w:val="176"/>
        </w:trPr>
        <w:tc>
          <w:tcPr>
            <w:tcW w:w="376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Property and equipment, net</w:t>
            </w: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39,551</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39,442</w:t>
            </w:r>
          </w:p>
        </w:tc>
      </w:tr>
    </w:tbl>
    <w:p>
      <w:pPr>
        <w:spacing w:after="0" w:line="157" w:lineRule="exact"/>
        <w:rPr>
          <w:sz w:val="20"/>
          <w:szCs w:val="20"/>
          <w:color w:val="auto"/>
        </w:rPr>
      </w:pPr>
    </w:p>
    <w:p>
      <w:pPr>
        <w:jc w:val="center"/>
        <w:ind w:right="6299"/>
        <w:spacing w:after="0"/>
        <w:rPr>
          <w:sz w:val="20"/>
          <w:szCs w:val="20"/>
          <w:color w:val="auto"/>
        </w:rPr>
      </w:pPr>
      <w:r>
        <w:rPr>
          <w:rFonts w:ascii="Arial" w:cs="Arial" w:eastAsia="Arial" w:hAnsi="Arial"/>
          <w:sz w:val="16"/>
          <w:szCs w:val="16"/>
          <w:b w:val="1"/>
          <w:bCs w:val="1"/>
          <w:color w:val="auto"/>
        </w:rPr>
        <w:t>7. Commitments and Contingencies</w:t>
      </w:r>
    </w:p>
    <w:p>
      <w:pPr>
        <w:spacing w:after="0" w:line="171" w:lineRule="exact"/>
        <w:rPr>
          <w:sz w:val="20"/>
          <w:szCs w:val="20"/>
          <w:color w:val="auto"/>
        </w:rPr>
      </w:pPr>
    </w:p>
    <w:p>
      <w:pPr>
        <w:jc w:val="center"/>
        <w:ind w:right="6319"/>
        <w:spacing w:after="0"/>
        <w:rPr>
          <w:sz w:val="20"/>
          <w:szCs w:val="20"/>
          <w:color w:val="auto"/>
        </w:rPr>
      </w:pPr>
      <w:r>
        <w:rPr>
          <w:rFonts w:ascii="Arial" w:cs="Arial" w:eastAsia="Arial" w:hAnsi="Arial"/>
          <w:sz w:val="18"/>
          <w:szCs w:val="18"/>
          <w:i w:val="1"/>
          <w:iCs w:val="1"/>
          <w:color w:val="auto"/>
        </w:rPr>
        <w:t>Hurley Street Lease</w:t>
      </w:r>
    </w:p>
    <w:p>
      <w:pPr>
        <w:spacing w:after="0" w:line="144" w:lineRule="exact"/>
        <w:rPr>
          <w:sz w:val="20"/>
          <w:szCs w:val="20"/>
          <w:color w:val="auto"/>
        </w:rPr>
      </w:pPr>
    </w:p>
    <w:p>
      <w:pPr>
        <w:ind w:right="39" w:firstLine="648"/>
        <w:spacing w:after="0" w:line="225" w:lineRule="auto"/>
        <w:rPr>
          <w:sz w:val="20"/>
          <w:szCs w:val="20"/>
          <w:color w:val="auto"/>
        </w:rPr>
      </w:pPr>
      <w:r>
        <w:rPr>
          <w:rFonts w:ascii="Arial" w:cs="Arial" w:eastAsia="Arial" w:hAnsi="Arial"/>
          <w:sz w:val="17"/>
          <w:szCs w:val="17"/>
          <w:color w:val="auto"/>
        </w:rPr>
        <w:t>In February 2016, the Company entered into a lease agreement for 59,783 square feet of office and laboratory space located on Hurley Street in Cambridge, Massachusetts. The term of the lease began on October 1, 2016. In connection with the lease and as a security deposit, the Company deposited with the landlord a letter of credit in the amount of approximately $1.6 million. Subject to the terms of the lease and certain reduction requirements specified therein, the $1.6 million security deposit may decrease over time. The letter of credit, which is collateralized by the Company with cash held in a money market account, is recorded in restricted cash and other non-current assets in the accompanying condensed consolidated financial statements as of March 31, 2018 and December 31, 2017.</w:t>
      </w:r>
    </w:p>
    <w:p>
      <w:pPr>
        <w:spacing w:after="0" w:line="122" w:lineRule="exact"/>
        <w:rPr>
          <w:sz w:val="20"/>
          <w:szCs w:val="20"/>
          <w:color w:val="auto"/>
        </w:rPr>
      </w:pPr>
    </w:p>
    <w:p>
      <w:pPr>
        <w:ind w:right="39" w:firstLine="648"/>
        <w:spacing w:after="0" w:line="239" w:lineRule="auto"/>
        <w:rPr>
          <w:sz w:val="20"/>
          <w:szCs w:val="20"/>
          <w:color w:val="auto"/>
        </w:rPr>
      </w:pPr>
      <w:r>
        <w:rPr>
          <w:rFonts w:ascii="Arial" w:cs="Arial" w:eastAsia="Arial" w:hAnsi="Arial"/>
          <w:sz w:val="16"/>
          <w:szCs w:val="16"/>
          <w:color w:val="auto"/>
        </w:rPr>
        <w:t>In connection with this lease, the landlord provided a tenant improvement allowance for costs associated with the design, engineering, and construction of tenant improvements for the leased facility. For accounting purposes, the Company was deemed the owner of the building during the construction period due to the fact that the Company was involved in the construction project, including having responsibilities for cost overruns for planned tenant improvements that did not qualify as “normal tenant improvements” under the lease accounting guidance. Throughout the construction period, the Company recorded the project construction costs incurred as an asset, along with a corresponding facility lease obligation, on its balance sheet for the total amount of the project costs incurred whether funded by the Company or the landlord.</w:t>
      </w:r>
    </w:p>
    <w:p>
      <w:pPr>
        <w:spacing w:after="0" w:line="122" w:lineRule="exact"/>
        <w:rPr>
          <w:sz w:val="20"/>
          <w:szCs w:val="20"/>
          <w:color w:val="auto"/>
        </w:rPr>
      </w:pPr>
    </w:p>
    <w:p>
      <w:pPr>
        <w:ind w:right="19" w:firstLine="648"/>
        <w:spacing w:after="0" w:line="244" w:lineRule="auto"/>
        <w:rPr>
          <w:sz w:val="20"/>
          <w:szCs w:val="20"/>
          <w:color w:val="auto"/>
        </w:rPr>
      </w:pPr>
      <w:r>
        <w:rPr>
          <w:rFonts w:ascii="Arial" w:cs="Arial" w:eastAsia="Arial" w:hAnsi="Arial"/>
          <w:sz w:val="16"/>
          <w:szCs w:val="16"/>
          <w:color w:val="auto"/>
        </w:rPr>
        <w:t>Construction was completed in October 2016, and the Company considered the requirements for sale-leaseback accounting treatment, which included an evaluation of whether all risks of ownership had transferred back to the landlord, as evidenced by a lack of continuing involvement in the leased property. The Company determined that the arrangement did not qualify for sale-leaseback accounting treatment, the building asset would remain on the Company’s balance sheet at its historical cost, and such asset would be depreciated over its estimated useful life of 30 years.</w:t>
      </w:r>
    </w:p>
    <w:p>
      <w:pPr>
        <w:spacing w:after="0" w:line="118" w:lineRule="exact"/>
        <w:rPr>
          <w:sz w:val="20"/>
          <w:szCs w:val="20"/>
          <w:color w:val="auto"/>
        </w:rPr>
      </w:pPr>
    </w:p>
    <w:p>
      <w:pPr>
        <w:ind w:right="139" w:firstLine="648"/>
        <w:spacing w:after="0" w:line="229" w:lineRule="auto"/>
        <w:rPr>
          <w:sz w:val="20"/>
          <w:szCs w:val="20"/>
          <w:color w:val="auto"/>
        </w:rPr>
      </w:pPr>
      <w:r>
        <w:rPr>
          <w:rFonts w:ascii="Arial" w:cs="Arial" w:eastAsia="Arial" w:hAnsi="Arial"/>
          <w:sz w:val="17"/>
          <w:szCs w:val="17"/>
          <w:color w:val="auto"/>
        </w:rPr>
        <w:t>The Company bifurcates its future lease payments pursuant to the Hurley Street lease into (i) a portion that is allocated to the building and (ii) a portion that is allocated to the land on which the building is located, which is recorded as rental expense. Although the Company did not begin making lease payments pursuant to the Hurley Street lease until November 2016, the portion of the lease obligation allocated to the land is treated for accounting purposes as an operating lease that commenced upon execution of the Hurley Street lease in February 2016.</w:t>
      </w:r>
    </w:p>
    <w:p>
      <w:pPr>
        <w:spacing w:after="0" w:line="121" w:lineRule="exact"/>
        <w:rPr>
          <w:sz w:val="20"/>
          <w:szCs w:val="20"/>
          <w:color w:val="auto"/>
        </w:rPr>
      </w:pPr>
    </w:p>
    <w:p>
      <w:pPr>
        <w:ind w:right="199" w:firstLine="648"/>
        <w:spacing w:after="0" w:line="259" w:lineRule="auto"/>
        <w:rPr>
          <w:sz w:val="20"/>
          <w:szCs w:val="20"/>
          <w:color w:val="auto"/>
        </w:rPr>
      </w:pPr>
      <w:r>
        <w:rPr>
          <w:rFonts w:ascii="Arial" w:cs="Arial" w:eastAsia="Arial" w:hAnsi="Arial"/>
          <w:sz w:val="16"/>
          <w:szCs w:val="16"/>
          <w:color w:val="auto"/>
        </w:rPr>
        <w:t>The lease will continue until October 2023. The Company has the option to extend the lease for an additional five year term at market-based rates. The Company began using this space as its headquarters in October 2016 and rental payments for this property began in November 2016. The base rent is subject to increases over the term of the lease.</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February 2017, the Company subleased approximately 10,000 square feet of the Hurley Street premises</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pursuant to a sublease (the “Sublease”). The Sublease commenced in February 2017 and will expire on the eighteen month anniversary thereof, unless it is extended for an additional eighteen month term by the subtenant. If the subtenant elects to extend the term of the lease, the base rent is subject to a minimal increase for the subsequent eighteen month period. The total minimum rental revenue to be received in the future is $0.3 million as of March 31, 2018.</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Licensor Expense Reimbursement</w:t>
      </w:r>
    </w:p>
    <w:p>
      <w:pPr>
        <w:spacing w:after="0" w:line="144"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The Company is obligated to reimburse The Broad Institute, Inc. (“Broad”) and the President and Fellows of Harvard College (“Harvard”) for expenses incurred by each of them associated with the prosecution and maintenance of the patent rights that the Company licenses from them pursuant to the license agreement by and among the Company, Broad and Harvard, including the interference and opposition proceedings involving patents licensed to the Company under the license agreement, and other license agreements between the Company and Broad. As such, the Company anticipates that it has a substantial commitment in connection with these proceedings until such time as these proceedings have been resolved, but the amount of such commitment is not determinable. The Company incurred an aggregate of $4.6 million and $4.0 million in expense for reimbursement under such license agreements during the three months ended March 31, 2018 and 2017, respectively.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Success Payments</w:t>
      </w:r>
    </w:p>
    <w:p>
      <w:pPr>
        <w:spacing w:after="0" w:line="144"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2016, the Company entered into patent license agreements with each of The General Hospital Corporation, d/b/a Massachusetts General Hospital (“MGH”), and Broad (collectively, the “2016 License Agreements”). Pursuant to the terms of the 2016 License Agreements, the Company is required to make certain success payments to MGH, Broad and Wageningen University (“Wageningen” and such payments, collectively, the “Success Payments”), payable in cash or, at the Company’s election common stock in the case of MGH or, in the case of Broad and Wageningen, promissory notes payable in cash or, at the Company’s election subject to certain conditions, common stock of the Company. The Success Payments are payable, if and when, the Company’s market capitalization reaches specified thresholds for a specific period of time or upon a sale of the Company for consideration in excess of those thresholds, as discussed more fully in Note 8 (collectively, the “Payment Conditions”).</w:t>
      </w:r>
    </w:p>
    <w:p>
      <w:pPr>
        <w:spacing w:after="0" w:line="121" w:lineRule="exact"/>
        <w:rPr>
          <w:sz w:val="20"/>
          <w:szCs w:val="20"/>
          <w:color w:val="auto"/>
        </w:rPr>
      </w:pPr>
    </w:p>
    <w:p>
      <w:pPr>
        <w:ind w:right="120" w:firstLine="648"/>
        <w:spacing w:after="0" w:line="226" w:lineRule="auto"/>
        <w:rPr>
          <w:sz w:val="20"/>
          <w:szCs w:val="20"/>
          <w:color w:val="auto"/>
        </w:rPr>
      </w:pPr>
      <w:r>
        <w:rPr>
          <w:rFonts w:ascii="Arial" w:cs="Arial" w:eastAsia="Arial" w:hAnsi="Arial"/>
          <w:sz w:val="17"/>
          <w:szCs w:val="17"/>
          <w:color w:val="auto"/>
        </w:rPr>
        <w:t>The Success Payments were accounted for under the provisions of FASB ASC, Topic 505-50, Equity-Based Payments to Non-Employees. The Company has the right to terminate any of the 2016 License Agreements at will upon written notice. Absent any of the Payment Conditions being achieved prior to termination, the Company would not be obligated to pay any Success Payments. As such, the Company will recognize the expense and liability associated with each Success Payment upon achievement of the associated Payment Conditions, if ever. The Company records this expense as a research and development expense in its statements of operations.</w:t>
      </w:r>
    </w:p>
    <w:p>
      <w:pPr>
        <w:spacing w:after="0" w:line="125"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The Company triggered the first Success Payment under one of the 2016 License Agreements during the first quarter of 2017 when the Company’s market capitalization reached $750 million. On March 28, 2017, the Company issued promissory notes for an aggregate principal amount of $5.0 million to Broad and Wageningen and the Company settled such notes in August 2017.The Company triggered the second Success Payment under one of the 2016 License Agreements during the fourth quarter of 2017 when the Company’s market capitalization reached $1.0 billion. On December 6, 2017, the Company issued promissory notes for an aggregate principal amount of $7.5 million to Broad and the Company settled such notes in January 2018.</w:t>
      </w:r>
    </w:p>
    <w:p>
      <w:pPr>
        <w:spacing w:after="0" w:line="125"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The Company triggered the first Success Payment under the MGH license agreement during the fourth quarter of 2017 when the Company’s market capitalization reached $1.0 billion (the “First MGH Success Payment”). The Company accrued $2.0 million relating to the First MGH Success Payment owed to MGH which is included in accrued expense on the condensed consolidated balance sheet for the year ended December 31, 2017. The Company settled this liability in shares of common stock in January 2018.</w:t>
      </w:r>
    </w:p>
    <w:p>
      <w:pPr>
        <w:spacing w:after="0" w:line="122"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The Success Payments issued to the Broad and Wageningen are discussed more fully within the Notes Payable section below.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Notes Payable</w:t>
      </w:r>
    </w:p>
    <w:p>
      <w:pPr>
        <w:spacing w:after="0" w:line="144"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In December 2016, in connection with the Company’s entry into the Cpf1 license agreement with Broad (the “Cpf1 License Agreement”), one of the 2016 License Agreements, it issued promissory notes in an aggregate principal amount of $10.0 million to Broad and Wageningen (the “Initial Notes”). Outstanding principal and accrued interest on the Initial Notes were due and payable on the earlier of December 2017 or a specified period of time following a Company sale or change of control event. The Initial Notes accrued interest at a rate of 4.8% per annum. The Company fully settled the outstanding principal and accrued interest on the Initial Notes by paying $0.2 million in cash to Wageningen in August 2017 and issuing 108,104 shares and 371,166 shares of common stock to Broad in August 2017 and September 2017, respectively.</w:t>
      </w:r>
    </w:p>
    <w:p>
      <w:pPr>
        <w:spacing w:after="0" w:line="122"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In March 2017, a $5.0 million Success Payment under the Cpf1 License Agreement became due upon the market capitalization of the Company’s common stock reaching $750 million. The Company issued a promissory note to each of Broad and Wageningen in an aggregate original principal amount of $5.0 million (collectively, the “March Success Payment Notes”). Outstanding principal and accrued interest on the March Success Payment Notes were due and payable in August 2017. The March Success Payment Notes were subject to the same interest and terms as the Initial Notes, other than the maturity date. The Company settled the outstanding principal and accrued interest on the March Success Payment Notes in August 2017 by paying $0.4 million in cash to Wageningen and issuing 271,347 shares of common stock to Broad in August 2017. In September 2017, Wageningen designated Broad as the recipient of any future promissory notes that are owed to Wageningen pursuant to the Cpf1 License Agreement.</w:t>
      </w:r>
    </w:p>
    <w:p>
      <w:pPr>
        <w:spacing w:after="0" w:line="121"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color w:val="auto"/>
        </w:rPr>
        <w:t>In December 2017, $7.5 million in Success Payments under the Cpf1 License Agreement and the Cas9-II license agreement with Broad (the “Cas9-II License Agreement”), one of the 2016 License Agreements, became due upon the Company’s market capitalization reaching $1.0 billion. The Company issued promissory notes to Broad in an aggregate original principal amount of $7.5 million (collectively, the “December Success Payment Notes”). Outstanding principal and accrued interest on the December Success Payment Notes were due and payable in May 2018. The December Success Payment Notes were subject to the same interest and terms as the Initial Notes, other than the maturity date. The Company fully settled the outstanding principal and accrued interest on the December Success Payment Notes by issuing 225,909 shares of common stock to Broad in January 2018.</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144"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The Company is not a party to any litigation and did not have contingency reserves established for any litigation liabilities as of March 31, 2018 or December 31,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Significant Agreements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Juno Therapeutics Collaboration Agreement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Summary of Agreement</w:t>
      </w:r>
    </w:p>
    <w:p>
      <w:pPr>
        <w:spacing w:after="0" w:line="144" w:lineRule="exact"/>
        <w:rPr>
          <w:sz w:val="20"/>
          <w:szCs w:val="20"/>
          <w:color w:val="auto"/>
        </w:rPr>
      </w:pPr>
    </w:p>
    <w:p>
      <w:pPr>
        <w:ind w:right="220" w:firstLine="648"/>
        <w:spacing w:after="0" w:line="261" w:lineRule="auto"/>
        <w:rPr>
          <w:sz w:val="20"/>
          <w:szCs w:val="20"/>
          <w:color w:val="auto"/>
        </w:rPr>
      </w:pPr>
      <w:r>
        <w:rPr>
          <w:rFonts w:ascii="Arial" w:cs="Arial" w:eastAsia="Arial" w:hAnsi="Arial"/>
          <w:sz w:val="16"/>
          <w:szCs w:val="16"/>
          <w:color w:val="auto"/>
        </w:rPr>
        <w:t>In May 2015, the Company entered into a collaboration and license agreement (the “Collaboration Agreement”) with Juno Therapeutics. The collaboration is focused on the research and development of engineered T cells with chimeric antigen receptors (“CARs”) and T cell receptors (“TCRs”) that have been genetically modified to recognize and kill other cells. The parties will pursue the research and development of CAR and TCR engineered T cell products utilizing the Company’s genome editing technologies with Juno Therapeutics’ CAR and TCR technologies across three research areas.</w:t>
      </w:r>
    </w:p>
    <w:p>
      <w:pPr>
        <w:spacing w:after="0" w:line="121"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The collaborative program of research to be undertaken by the parties pursuant to the Collaboration Agreement will be conducted in accordance with a mutually agreed upon research plan which outlines each party’s research and development responsibilities across the three research areas. The Company’s research and development responsibilities under the research plan are related to generating genome editing reagents that modify gene targets selected by Juno Therapeutics. Juno Therapeutics is responsible for evaluating and selecting for further research and development CAR and TCR engineered T cell products modified with the Company’s genome editing reagents. Except with respect to the Company’s obligations under the mutually agreed upon research plan, Juno Therapeutics has sole responsibility, at its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own cost, for the worldwide research, development, manufacturing and commercialization of products within each of the three research areas for the diagnosis, treatment or prevention of any cancer in humans through the use of engineered T cells, excluding the diagnosis, treatment or prevention of medullary cystic kidney disease 1 (the “Exclusive Field”).</w:t>
      </w:r>
    </w:p>
    <w:p>
      <w:pPr>
        <w:spacing w:after="0" w:line="125" w:lineRule="exact"/>
        <w:rPr>
          <w:sz w:val="20"/>
          <w:szCs w:val="20"/>
          <w:color w:val="auto"/>
        </w:rPr>
      </w:pPr>
    </w:p>
    <w:p>
      <w:pPr>
        <w:ind w:right="180" w:firstLine="648"/>
        <w:spacing w:after="0" w:line="228" w:lineRule="auto"/>
        <w:rPr>
          <w:sz w:val="20"/>
          <w:szCs w:val="20"/>
          <w:color w:val="auto"/>
        </w:rPr>
      </w:pPr>
      <w:r>
        <w:rPr>
          <w:rFonts w:ascii="Arial" w:cs="Arial" w:eastAsia="Arial" w:hAnsi="Arial"/>
          <w:sz w:val="18"/>
          <w:szCs w:val="18"/>
          <w:color w:val="auto"/>
        </w:rPr>
        <w:t>The initial term of the research program commenced on May 26, 2015 and continues for five years ending on May 26, 2020 (the “Initial Research Program Term”). Juno Therapeutics may extend the Initial Research Program Term for up to two additional one year periods upon the payment of extension fees for each one year extension period, assuming the Company has agreed to the extension request(s) (together, the initial term and any extension period(s) are referred to as the “Research Program Term”).</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terms of the Collaboration Agreement, the Company granted to Juno Therapeutics during the Research</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Program Term a nonexclusive,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free, sublicensable (subject to certain conditions) license under certain of</w:t>
      </w:r>
    </w:p>
    <w:p>
      <w:pPr>
        <w:spacing w:after="0" w:line="238" w:lineRule="auto"/>
        <w:rPr>
          <w:sz w:val="20"/>
          <w:szCs w:val="20"/>
          <w:color w:val="auto"/>
        </w:rPr>
      </w:pPr>
      <w:r>
        <w:rPr>
          <w:rFonts w:ascii="Arial" w:cs="Arial" w:eastAsia="Arial" w:hAnsi="Arial"/>
          <w:sz w:val="17"/>
          <w:szCs w:val="17"/>
          <w:color w:val="auto"/>
        </w:rPr>
        <w:t>the intellectual property controlled by the Company solely for the purpose of conducting the following activities required</w:t>
      </w:r>
    </w:p>
    <w:p>
      <w:pPr>
        <w:spacing w:after="0"/>
        <w:rPr>
          <w:sz w:val="20"/>
          <w:szCs w:val="20"/>
          <w:color w:val="auto"/>
        </w:rPr>
      </w:pPr>
      <w:r>
        <w:rPr>
          <w:rFonts w:ascii="Arial" w:cs="Arial" w:eastAsia="Arial" w:hAnsi="Arial"/>
          <w:sz w:val="16"/>
          <w:szCs w:val="16"/>
          <w:color w:val="auto"/>
        </w:rPr>
        <w:t>under the specified research under the Collaboration Agreement: (i) conduct activities assigned to Juno Therapeutics under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research plan, (ii) conduct activities assigned to the Company under the research plan that the Company fails or refuses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conduct in a timely manner, (iii) use certain genome editing reagents generated under the research program to research,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evaluate and conduct preclinical testing and development of certain engineered T cells and (iv) evaluate the data developed in</w:t>
      </w:r>
    </w:p>
    <w:p>
      <w:pPr>
        <w:spacing w:after="0" w:line="238" w:lineRule="auto"/>
        <w:rPr>
          <w:sz w:val="20"/>
          <w:szCs w:val="20"/>
          <w:color w:val="auto"/>
        </w:rPr>
      </w:pPr>
      <w:r>
        <w:rPr>
          <w:rFonts w:ascii="Arial" w:cs="Arial" w:eastAsia="Arial" w:hAnsi="Arial"/>
          <w:sz w:val="17"/>
          <w:szCs w:val="17"/>
          <w:color w:val="auto"/>
        </w:rPr>
        <w:t>the conduct of activities under the research plan (the “Research License”). Additionally, as it relates to two of the three</w:t>
      </w:r>
    </w:p>
    <w:p>
      <w:pPr>
        <w:spacing w:after="0" w:line="184" w:lineRule="exact"/>
        <w:rPr>
          <w:sz w:val="20"/>
          <w:szCs w:val="20"/>
          <w:color w:val="auto"/>
        </w:rPr>
      </w:pPr>
      <w:r>
        <w:rPr>
          <w:rFonts w:ascii="Arial" w:cs="Arial" w:eastAsia="Arial" w:hAnsi="Arial"/>
          <w:sz w:val="16"/>
          <w:szCs w:val="16"/>
          <w:color w:val="auto"/>
        </w:rPr>
        <w:t>research areas, the Company granted to Juno Therapeutics an exclusive, milestone and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under certain of the intellectual property controlled by the Company to research, develop, make and have made, use, offer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sale, sell, import and export selected CAR and TCR engineered T cell products in the Exclusive Field on a worldwide basis,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specifically as it relates to certain targets selected by Juno Therapeutics pursuant to the research program. Furthermore, as it</w:t>
      </w:r>
    </w:p>
    <w:p>
      <w:pPr>
        <w:spacing w:after="0" w:line="194" w:lineRule="exact"/>
        <w:rPr>
          <w:sz w:val="20"/>
          <w:szCs w:val="20"/>
          <w:color w:val="auto"/>
        </w:rPr>
      </w:pPr>
      <w:r>
        <w:rPr>
          <w:rFonts w:ascii="Arial" w:cs="Arial" w:eastAsia="Arial" w:hAnsi="Arial"/>
          <w:sz w:val="17"/>
          <w:szCs w:val="17"/>
          <w:color w:val="auto"/>
        </w:rPr>
        <w:t>relates to the same two research areas, the Company granted to Juno Therapeutics a non</w:t>
      </w:r>
      <w:r>
        <w:rPr>
          <w:rFonts w:ascii="MS PGothic" w:cs="MS PGothic" w:eastAsia="MS PGothic" w:hAnsi="MS PGothic"/>
          <w:sz w:val="17"/>
          <w:szCs w:val="17"/>
          <w:color w:val="auto"/>
        </w:rPr>
        <w:t>‑</w:t>
      </w:r>
      <w:r>
        <w:rPr>
          <w:rFonts w:ascii="Arial" w:cs="Arial" w:eastAsia="Arial" w:hAnsi="Arial"/>
          <w:sz w:val="17"/>
          <w:szCs w:val="17"/>
          <w:color w:val="auto"/>
        </w:rPr>
        <w:t>exclusive, milestone and</w:t>
      </w:r>
    </w:p>
    <w:p>
      <w:pPr>
        <w:spacing w:after="0" w:line="184" w:lineRule="exact"/>
        <w:rPr>
          <w:sz w:val="20"/>
          <w:szCs w:val="20"/>
          <w:color w:val="auto"/>
        </w:rPr>
      </w:pPr>
      <w:r>
        <w:rPr>
          <w:rFonts w:ascii="Arial" w:cs="Arial" w:eastAsia="Arial" w:hAnsi="Arial"/>
          <w:sz w:val="16"/>
          <w:szCs w:val="16"/>
          <w:color w:val="auto"/>
        </w:rPr>
        <w:t>royalty</w:t>
      </w:r>
      <w:r>
        <w:rPr>
          <w:rFonts w:ascii="MS PGothic" w:cs="MS PGothic" w:eastAsia="MS PGothic" w:hAnsi="MS PGothic"/>
          <w:sz w:val="16"/>
          <w:szCs w:val="16"/>
          <w:color w:val="auto"/>
        </w:rPr>
        <w:t>‑</w:t>
      </w:r>
      <w:r>
        <w:rPr>
          <w:rFonts w:ascii="Arial" w:cs="Arial" w:eastAsia="Arial" w:hAnsi="Arial"/>
          <w:sz w:val="16"/>
          <w:szCs w:val="16"/>
          <w:color w:val="auto"/>
        </w:rPr>
        <w:t>bearing, sub licensable license under certain of the intellectual property controlled by the Company to use genome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editing reagents generated under the research program that are used in the creation of certain CAR or TCR engineered T cell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products on which Juno Therapeutics has filed an investigational new drug (“IND”) application in the Exclusive Field for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treatment or prevention of a cancer in humans to research, develop, make and have made, use, offer for sale, sell, import and</w:t>
      </w:r>
    </w:p>
    <w:p>
      <w:pPr>
        <w:spacing w:after="0" w:line="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export those CAR or TCR engineered T cell products in all fields outside of the Exclusive Field (the “Non</w:t>
      </w:r>
      <w:r>
        <w:rPr>
          <w:rFonts w:ascii="MS PGothic" w:cs="MS PGothic" w:eastAsia="MS PGothic" w:hAnsi="MS PGothic"/>
          <w:sz w:val="16"/>
          <w:szCs w:val="16"/>
          <w:color w:val="auto"/>
        </w:rPr>
        <w:t>‑</w:t>
      </w:r>
      <w:r>
        <w:rPr>
          <w:rFonts w:ascii="Arial" w:cs="Arial" w:eastAsia="Arial" w:hAnsi="Arial"/>
          <w:sz w:val="16"/>
          <w:szCs w:val="16"/>
          <w:color w:val="auto"/>
        </w:rPr>
        <w:t>Exclusive Field”)</w:t>
      </w:r>
    </w:p>
    <w:p>
      <w:pPr>
        <w:spacing w:after="0" w:line="238" w:lineRule="auto"/>
        <w:rPr>
          <w:sz w:val="20"/>
          <w:szCs w:val="20"/>
          <w:color w:val="auto"/>
        </w:rPr>
      </w:pPr>
      <w:r>
        <w:rPr>
          <w:rFonts w:ascii="Arial" w:cs="Arial" w:eastAsia="Arial" w:hAnsi="Arial"/>
          <w:sz w:val="17"/>
          <w:szCs w:val="17"/>
          <w:color w:val="auto"/>
        </w:rPr>
        <w:t>on a worldwide basis, specifically as it relates to certain targets selected by Juno Therapeutics pursuant to the research</w:t>
      </w:r>
    </w:p>
    <w:p>
      <w:pPr>
        <w:spacing w:after="0" w:line="189" w:lineRule="exact"/>
        <w:rPr>
          <w:sz w:val="20"/>
          <w:szCs w:val="20"/>
          <w:color w:val="auto"/>
        </w:rPr>
      </w:pPr>
      <w:r>
        <w:rPr>
          <w:rFonts w:ascii="Arial" w:cs="Arial" w:eastAsia="Arial" w:hAnsi="Arial"/>
          <w:sz w:val="17"/>
          <w:szCs w:val="17"/>
          <w:color w:val="auto"/>
        </w:rPr>
        <w:t>program (together, the license in the Exclusive Field and the license in the Non</w:t>
      </w:r>
      <w:r>
        <w:rPr>
          <w:rFonts w:ascii="MS PGothic" w:cs="MS PGothic" w:eastAsia="MS PGothic" w:hAnsi="MS PGothic"/>
          <w:sz w:val="17"/>
          <w:szCs w:val="17"/>
          <w:color w:val="auto"/>
        </w:rPr>
        <w:t>‑</w:t>
      </w:r>
      <w:r>
        <w:rPr>
          <w:rFonts w:ascii="Arial" w:cs="Arial" w:eastAsia="Arial" w:hAnsi="Arial"/>
          <w:sz w:val="17"/>
          <w:szCs w:val="17"/>
          <w:color w:val="auto"/>
        </w:rPr>
        <w:t>Exclusive Field are referred to as the</w:t>
      </w:r>
    </w:p>
    <w:p>
      <w:pPr>
        <w:spacing w:after="0"/>
        <w:rPr>
          <w:sz w:val="20"/>
          <w:szCs w:val="20"/>
          <w:color w:val="auto"/>
        </w:rPr>
      </w:pPr>
      <w:r>
        <w:rPr>
          <w:rFonts w:ascii="Arial" w:cs="Arial" w:eastAsia="Arial" w:hAnsi="Arial"/>
          <w:sz w:val="16"/>
          <w:szCs w:val="16"/>
          <w:color w:val="auto"/>
        </w:rPr>
        <w:t>“Development and Commercialization License” for each particular research area). Lastly, as it relates to the third research</w:t>
      </w:r>
    </w:p>
    <w:p>
      <w:pPr>
        <w:spacing w:after="0" w:line="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area, the Company granted to Juno Therapeutics a milestone and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under certain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controlled by the Company to use the genome editing reagents generated under the research program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that are associated with certain CAR or TCR engineered T cell products to research, develop, make and have made, use, offer</w:t>
      </w:r>
    </w:p>
    <w:p>
      <w:pPr>
        <w:spacing w:after="0" w:line="238" w:lineRule="auto"/>
        <w:rPr>
          <w:sz w:val="20"/>
          <w:szCs w:val="20"/>
          <w:color w:val="auto"/>
        </w:rPr>
      </w:pPr>
      <w:r>
        <w:rPr>
          <w:rFonts w:ascii="Arial" w:cs="Arial" w:eastAsia="Arial" w:hAnsi="Arial"/>
          <w:sz w:val="17"/>
          <w:szCs w:val="17"/>
          <w:color w:val="auto"/>
        </w:rPr>
        <w:t>for sale, sell, import or export those CAR or TCR engineered T cell products in the Exclusive Field on a worldwide basis,</w:t>
      </w:r>
    </w:p>
    <w:p>
      <w:pPr>
        <w:spacing w:after="0"/>
        <w:rPr>
          <w:sz w:val="20"/>
          <w:szCs w:val="20"/>
          <w:color w:val="auto"/>
        </w:rPr>
      </w:pPr>
      <w:r>
        <w:rPr>
          <w:rFonts w:ascii="Arial" w:cs="Arial" w:eastAsia="Arial" w:hAnsi="Arial"/>
          <w:sz w:val="16"/>
          <w:szCs w:val="16"/>
          <w:color w:val="auto"/>
        </w:rPr>
        <w:t>specifically as it relates to certain products selected by Juno Therapeutics pursuant to the research program. The license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third research area is exclusive as it relates to CAR or TCR engineered T cell products directed to certain</w:t>
      </w:r>
    </w:p>
    <w:p>
      <w:pPr>
        <w:spacing w:after="0" w:line="195" w:lineRule="exact"/>
        <w:rPr>
          <w:sz w:val="20"/>
          <w:szCs w:val="20"/>
          <w:color w:val="auto"/>
        </w:rPr>
      </w:pPr>
      <w:r>
        <w:rPr>
          <w:rFonts w:ascii="Arial" w:cs="Arial" w:eastAsia="Arial" w:hAnsi="Arial"/>
          <w:sz w:val="18"/>
          <w:szCs w:val="18"/>
          <w:color w:val="auto"/>
        </w:rPr>
        <w:t>targets as selected by Juno Therapeutics, but is otherwise non</w:t>
      </w:r>
      <w:r>
        <w:rPr>
          <w:rFonts w:ascii="MS PGothic" w:cs="MS PGothic" w:eastAsia="MS PGothic" w:hAnsi="MS PGothic"/>
          <w:sz w:val="18"/>
          <w:szCs w:val="18"/>
          <w:color w:val="auto"/>
        </w:rPr>
        <w:t>‑</w:t>
      </w:r>
      <w:r>
        <w:rPr>
          <w:rFonts w:ascii="Arial" w:cs="Arial" w:eastAsia="Arial" w:hAnsi="Arial"/>
          <w:sz w:val="18"/>
          <w:szCs w:val="18"/>
          <w:color w:val="auto"/>
        </w:rPr>
        <w:t>exclusive (referred to as the “Development and</w:t>
      </w:r>
    </w:p>
    <w:p>
      <w:pPr>
        <w:spacing w:after="0"/>
        <w:rPr>
          <w:sz w:val="20"/>
          <w:szCs w:val="20"/>
          <w:color w:val="auto"/>
        </w:rPr>
      </w:pPr>
      <w:r>
        <w:rPr>
          <w:rFonts w:ascii="Arial" w:cs="Arial" w:eastAsia="Arial" w:hAnsi="Arial"/>
          <w:sz w:val="18"/>
          <w:szCs w:val="18"/>
          <w:color w:val="auto"/>
        </w:rPr>
        <w:t>Commercialization License” for the third research area).</w:t>
      </w:r>
    </w:p>
    <w:p>
      <w:pPr>
        <w:spacing w:after="0" w:line="142"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The Collaboration Agreement will be managed on an overall basis by a project leader from each of the Company and Juno Therapeutics. The project leaders will serve as the contact point between the parties with respect to the research program and will be primarily responsible for facilitating the flow of information, interaction, and collaboration between the parties. In addition, the activities under the Collaboration Agreement during the Research Program Term will be governed by a joint research committee (“JRC”) formed by an equal number of representatives from the Company and Juno Therapeutics. The JRC will oversee, review and recommend direction of the research program. Among other responsibilities, the JRC will monitor and report research progress and ensure open and frequent exchange between the parties regarding research program activities.</w:t>
      </w:r>
    </w:p>
    <w:p>
      <w:pPr>
        <w:spacing w:after="0" w:line="127"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Under the terms of the Collaboration Agreement, the Company received a $25.0 million up</w:t>
      </w:r>
      <w:r>
        <w:rPr>
          <w:rFonts w:ascii="MS PGothic" w:cs="MS PGothic" w:eastAsia="MS PGothic" w:hAnsi="MS PGothic"/>
          <w:sz w:val="16"/>
          <w:szCs w:val="16"/>
          <w:color w:val="auto"/>
        </w:rPr>
        <w:t>‑</w:t>
      </w:r>
      <w:r>
        <w:rPr>
          <w:rFonts w:ascii="Arial" w:cs="Arial" w:eastAsia="Arial" w:hAnsi="Arial"/>
          <w:sz w:val="16"/>
          <w:szCs w:val="16"/>
          <w:color w:val="auto"/>
        </w:rPr>
        <w:t>front, non</w:t>
      </w:r>
      <w:r>
        <w:rPr>
          <w:rFonts w:ascii="MS PGothic" w:cs="MS PGothic" w:eastAsia="MS PGothic" w:hAnsi="MS PGothic"/>
          <w:sz w:val="16"/>
          <w:szCs w:val="16"/>
          <w:color w:val="auto"/>
        </w:rPr>
        <w:t>‑</w:t>
      </w:r>
      <w:r>
        <w:rPr>
          <w:rFonts w:ascii="Arial" w:cs="Arial" w:eastAsia="Arial" w:hAnsi="Arial"/>
          <w:sz w:val="16"/>
          <w:szCs w:val="16"/>
          <w:color w:val="auto"/>
        </w:rPr>
        <w:t>refundable,</w:t>
      </w:r>
    </w:p>
    <w:p>
      <w:pPr>
        <w:spacing w:after="0" w:line="183" w:lineRule="exact"/>
        <w:rPr>
          <w:sz w:val="20"/>
          <w:szCs w:val="20"/>
          <w:color w:val="auto"/>
        </w:rPr>
      </w:pP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creditable cash payment. In addition, Juno Therapeutics is obligated to pay to the Company an aggregate of up to</w:t>
      </w:r>
    </w:p>
    <w:p>
      <w:pPr>
        <w:spacing w:after="0" w:line="229" w:lineRule="auto"/>
        <w:rPr>
          <w:sz w:val="20"/>
          <w:szCs w:val="20"/>
          <w:color w:val="auto"/>
        </w:rPr>
      </w:pPr>
      <w:r>
        <w:rPr>
          <w:rFonts w:ascii="Arial" w:cs="Arial" w:eastAsia="Arial" w:hAnsi="Arial"/>
          <w:sz w:val="16"/>
          <w:szCs w:val="16"/>
          <w:color w:val="auto"/>
        </w:rPr>
        <w:t>$22.0 million in research and development funding over the Initial Research Program Term across the three research areas</w:t>
      </w:r>
    </w:p>
    <w:p>
      <w:pPr>
        <w:spacing w:after="0" w:line="229" w:lineRule="auto"/>
        <w:rPr>
          <w:sz w:val="20"/>
          <w:szCs w:val="20"/>
          <w:color w:val="auto"/>
        </w:rPr>
      </w:pPr>
      <w:r>
        <w:rPr>
          <w:rFonts w:ascii="Arial" w:cs="Arial" w:eastAsia="Arial" w:hAnsi="Arial"/>
          <w:sz w:val="16"/>
          <w:szCs w:val="16"/>
          <w:color w:val="auto"/>
        </w:rPr>
        <w:t>consisting primarily of funding for up to a specified maximum number of full time equivalents personnel each year over the</w:t>
      </w:r>
    </w:p>
    <w:p>
      <w:pPr>
        <w:spacing w:after="0" w:line="229" w:lineRule="auto"/>
        <w:rPr>
          <w:sz w:val="20"/>
          <w:szCs w:val="20"/>
          <w:color w:val="auto"/>
        </w:rPr>
      </w:pPr>
      <w:r>
        <w:rPr>
          <w:rFonts w:ascii="Arial" w:cs="Arial" w:eastAsia="Arial" w:hAnsi="Arial"/>
          <w:sz w:val="16"/>
          <w:szCs w:val="16"/>
          <w:color w:val="auto"/>
        </w:rPr>
        <w:t>Initial Research Program Term across three research areas. Under the terms of the Collaboration Agreement, there is no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incremental compensation due to the Company with respect to the Development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and Commercialization License granted to Juno Therapeutics associated with the first target or product, as applicable,</w:t>
      </w:r>
    </w:p>
    <w:p>
      <w:pPr>
        <w:spacing w:after="0" w:line="215" w:lineRule="auto"/>
        <w:rPr>
          <w:sz w:val="20"/>
          <w:szCs w:val="20"/>
          <w:color w:val="auto"/>
        </w:rPr>
      </w:pPr>
      <w:r>
        <w:rPr>
          <w:rFonts w:ascii="Arial" w:cs="Arial" w:eastAsia="Arial" w:hAnsi="Arial"/>
          <w:sz w:val="17"/>
          <w:szCs w:val="17"/>
          <w:color w:val="auto"/>
        </w:rPr>
        <w:t>designated by Juno Therapeutics within each of the three research areas. However, for two of the three research areas,</w:t>
      </w:r>
    </w:p>
    <w:p>
      <w:pPr>
        <w:spacing w:after="0" w:line="229" w:lineRule="auto"/>
        <w:rPr>
          <w:sz w:val="20"/>
          <w:szCs w:val="20"/>
          <w:color w:val="auto"/>
        </w:rPr>
      </w:pPr>
      <w:r>
        <w:rPr>
          <w:rFonts w:ascii="Arial" w:cs="Arial" w:eastAsia="Arial" w:hAnsi="Arial"/>
          <w:sz w:val="16"/>
          <w:szCs w:val="16"/>
          <w:color w:val="auto"/>
        </w:rPr>
        <w:t>Juno Therapeutics has the option to purchase up to three additional Development and Commercialization Licenses associated</w:t>
      </w:r>
    </w:p>
    <w:p>
      <w:pPr>
        <w:spacing w:after="0" w:line="229" w:lineRule="auto"/>
        <w:rPr>
          <w:sz w:val="20"/>
          <w:szCs w:val="20"/>
          <w:color w:val="auto"/>
        </w:rPr>
      </w:pPr>
      <w:r>
        <w:rPr>
          <w:rFonts w:ascii="Arial" w:cs="Arial" w:eastAsia="Arial" w:hAnsi="Arial"/>
          <w:sz w:val="16"/>
          <w:szCs w:val="16"/>
          <w:color w:val="auto"/>
        </w:rPr>
        <w:t>with other gene targets for an additional fee of approximately $2.5 million per target. In addition, Juno Therapeutics would be</w:t>
      </w:r>
    </w:p>
    <w:p>
      <w:pPr>
        <w:spacing w:after="0" w:line="229" w:lineRule="auto"/>
        <w:rPr>
          <w:sz w:val="20"/>
          <w:szCs w:val="20"/>
          <w:color w:val="auto"/>
        </w:rPr>
      </w:pPr>
      <w:r>
        <w:rPr>
          <w:rFonts w:ascii="Arial" w:cs="Arial" w:eastAsia="Arial" w:hAnsi="Arial"/>
          <w:sz w:val="16"/>
          <w:szCs w:val="16"/>
          <w:color w:val="auto"/>
        </w:rPr>
        <w:t>required to make certain milestone payments to the Company upon the achievement of specified development, regulatory and</w:t>
      </w:r>
    </w:p>
    <w:p>
      <w:pPr>
        <w:spacing w:after="0" w:line="229" w:lineRule="auto"/>
        <w:rPr>
          <w:sz w:val="20"/>
          <w:szCs w:val="20"/>
          <w:color w:val="auto"/>
        </w:rPr>
      </w:pPr>
      <w:r>
        <w:rPr>
          <w:rFonts w:ascii="Arial" w:cs="Arial" w:eastAsia="Arial" w:hAnsi="Arial"/>
          <w:sz w:val="16"/>
          <w:szCs w:val="16"/>
          <w:color w:val="auto"/>
        </w:rPr>
        <w:t>commercial events. More specifically, for the first product to achieve the associated event in each of the three research areas,</w:t>
      </w:r>
    </w:p>
    <w:p>
      <w:pPr>
        <w:spacing w:after="0" w:line="216" w:lineRule="auto"/>
        <w:rPr>
          <w:sz w:val="20"/>
          <w:szCs w:val="20"/>
          <w:color w:val="auto"/>
        </w:rPr>
      </w:pPr>
      <w:r>
        <w:rPr>
          <w:rFonts w:ascii="Arial" w:cs="Arial" w:eastAsia="Arial" w:hAnsi="Arial"/>
          <w:sz w:val="17"/>
          <w:szCs w:val="17"/>
          <w:color w:val="auto"/>
        </w:rPr>
        <w:t>the Company is eligible to receive up to a $77.5 million in development milestone payments and up to $80 million in</w:t>
      </w:r>
    </w:p>
    <w:p>
      <w:pPr>
        <w:spacing w:after="0" w:line="215" w:lineRule="auto"/>
        <w:rPr>
          <w:sz w:val="20"/>
          <w:szCs w:val="20"/>
          <w:color w:val="auto"/>
        </w:rPr>
      </w:pPr>
      <w:r>
        <w:rPr>
          <w:rFonts w:ascii="Arial" w:cs="Arial" w:eastAsia="Arial" w:hAnsi="Arial"/>
          <w:sz w:val="17"/>
          <w:szCs w:val="17"/>
          <w:color w:val="auto"/>
        </w:rPr>
        <w:t>regulatory milestone payments. In addition, the Company is eligible to receive additional development and regulatory</w:t>
      </w:r>
    </w:p>
    <w:p>
      <w:pPr>
        <w:spacing w:after="0" w:line="229" w:lineRule="auto"/>
        <w:rPr>
          <w:sz w:val="20"/>
          <w:szCs w:val="20"/>
          <w:color w:val="auto"/>
        </w:rPr>
      </w:pPr>
      <w:r>
        <w:rPr>
          <w:rFonts w:ascii="Arial" w:cs="Arial" w:eastAsia="Arial" w:hAnsi="Arial"/>
          <w:sz w:val="16"/>
          <w:szCs w:val="16"/>
          <w:color w:val="auto"/>
        </w:rPr>
        <w:t>milestone payments for subsequent products developed within each of the three research areas. Moreover, the Company is</w:t>
      </w:r>
    </w:p>
    <w:p>
      <w:pPr>
        <w:spacing w:after="0" w:line="229" w:lineRule="auto"/>
        <w:rPr>
          <w:sz w:val="20"/>
          <w:szCs w:val="20"/>
          <w:color w:val="auto"/>
        </w:rPr>
      </w:pPr>
      <w:r>
        <w:rPr>
          <w:rFonts w:ascii="Arial" w:cs="Arial" w:eastAsia="Arial" w:hAnsi="Arial"/>
          <w:sz w:val="16"/>
          <w:szCs w:val="16"/>
          <w:color w:val="auto"/>
        </w:rPr>
        <w:t>eligible for up to $75.0 million in commercial milestone payments associated with aggregate sales of all products within each</w:t>
      </w:r>
    </w:p>
    <w:p>
      <w:pPr>
        <w:spacing w:after="0" w:line="216" w:lineRule="auto"/>
        <w:rPr>
          <w:sz w:val="20"/>
          <w:szCs w:val="20"/>
          <w:color w:val="auto"/>
        </w:rPr>
      </w:pPr>
      <w:r>
        <w:rPr>
          <w:rFonts w:ascii="Arial" w:cs="Arial" w:eastAsia="Arial" w:hAnsi="Arial"/>
          <w:sz w:val="17"/>
          <w:szCs w:val="17"/>
          <w:color w:val="auto"/>
        </w:rPr>
        <w:t>of the three research areas. Development milestone payments are triggered upon the achievement of certain specified</w:t>
      </w:r>
    </w:p>
    <w:p>
      <w:pPr>
        <w:spacing w:after="0" w:line="229" w:lineRule="auto"/>
        <w:rPr>
          <w:sz w:val="20"/>
          <w:szCs w:val="20"/>
          <w:color w:val="auto"/>
        </w:rPr>
      </w:pPr>
      <w:r>
        <w:rPr>
          <w:rFonts w:ascii="Arial" w:cs="Arial" w:eastAsia="Arial" w:hAnsi="Arial"/>
          <w:sz w:val="16"/>
          <w:szCs w:val="16"/>
          <w:color w:val="auto"/>
        </w:rPr>
        <w:t>development criteria or upon initiation of a defined phase of clinical research for a product candidate. Regulatory milestone</w:t>
      </w:r>
    </w:p>
    <w:p>
      <w:pPr>
        <w:spacing w:after="0" w:line="215" w:lineRule="auto"/>
        <w:rPr>
          <w:sz w:val="20"/>
          <w:szCs w:val="20"/>
          <w:color w:val="auto"/>
        </w:rPr>
      </w:pPr>
      <w:r>
        <w:rPr>
          <w:rFonts w:ascii="Arial" w:cs="Arial" w:eastAsia="Arial" w:hAnsi="Arial"/>
          <w:sz w:val="17"/>
          <w:szCs w:val="17"/>
          <w:color w:val="auto"/>
        </w:rPr>
        <w:t>payments are triggered upon approval to market a product candidate by the United States Food and Drug Administration</w:t>
      </w:r>
    </w:p>
    <w:p>
      <w:pPr>
        <w:spacing w:after="0" w:line="204" w:lineRule="auto"/>
        <w:rPr>
          <w:sz w:val="20"/>
          <w:szCs w:val="20"/>
          <w:color w:val="auto"/>
        </w:rPr>
      </w:pPr>
      <w:r>
        <w:rPr>
          <w:rFonts w:ascii="Arial" w:cs="Arial" w:eastAsia="Arial" w:hAnsi="Arial"/>
          <w:sz w:val="18"/>
          <w:szCs w:val="18"/>
          <w:color w:val="auto"/>
        </w:rPr>
        <w:t>(“FDA”) or other global regulatory authorities. Commercial milestone payments are triggered when an approved</w:t>
      </w:r>
    </w:p>
    <w:p>
      <w:pPr>
        <w:spacing w:after="0"/>
        <w:rPr>
          <w:sz w:val="20"/>
          <w:szCs w:val="20"/>
          <w:color w:val="auto"/>
        </w:rPr>
      </w:pPr>
      <w:r>
        <w:rPr>
          <w:rFonts w:ascii="Arial" w:cs="Arial" w:eastAsia="Arial" w:hAnsi="Arial"/>
          <w:sz w:val="18"/>
          <w:szCs w:val="18"/>
          <w:color w:val="auto"/>
        </w:rPr>
        <w:t>pharmaceutical product reaches certain defined levels of net sales by the licensee.</w:t>
      </w:r>
    </w:p>
    <w:p>
      <w:pPr>
        <w:spacing w:after="0" w:line="128" w:lineRule="exact"/>
        <w:rPr>
          <w:sz w:val="20"/>
          <w:szCs w:val="20"/>
          <w:color w:val="auto"/>
        </w:rPr>
      </w:pPr>
    </w:p>
    <w:p>
      <w:pPr>
        <w:ind w:right="40" w:firstLine="648"/>
        <w:spacing w:after="0" w:line="179" w:lineRule="exact"/>
        <w:rPr>
          <w:sz w:val="20"/>
          <w:szCs w:val="20"/>
          <w:color w:val="auto"/>
        </w:rPr>
      </w:pPr>
      <w:r>
        <w:rPr>
          <w:rFonts w:ascii="Arial" w:cs="Arial" w:eastAsia="Arial" w:hAnsi="Arial"/>
          <w:sz w:val="16"/>
          <w:szCs w:val="16"/>
          <w:color w:val="auto"/>
        </w:rPr>
        <w:t>In addition, to the extent any of the product candidates covered by the licenses conveyed to Juno Therapeutics are commercialized, the Company would be entitled to receive tiered royalty payments of low double digits based on a percentage of net sales. Royalty payments are subject to certain reductions, including for any royalty payments required to be made by Juno Therapeutics related to a third</w:t>
      </w:r>
      <w:r>
        <w:rPr>
          <w:rFonts w:ascii="MS PGothic" w:cs="MS PGothic" w:eastAsia="MS PGothic" w:hAnsi="MS PGothic"/>
          <w:sz w:val="16"/>
          <w:szCs w:val="16"/>
          <w:color w:val="auto"/>
        </w:rPr>
        <w:t>‑</w:t>
      </w:r>
      <w:r>
        <w:rPr>
          <w:rFonts w:ascii="Arial" w:cs="Arial" w:eastAsia="Arial" w:hAnsi="Arial"/>
          <w:sz w:val="16"/>
          <w:szCs w:val="16"/>
          <w:color w:val="auto"/>
        </w:rPr>
        <w:t>party’s intellectual property rights, subject to an aggregate minimum floor. Royalties are due on a licensed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licensed 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from the date of the first commercial sale of each product in a country until the later of: (i) the tenth anniversary of the first commercial sale of such licensed product in such country and (ii) the expiration date in such country of the last to expire valid claim within the licensed intellectual property covering the manufacture, use or sale of such licensed product in such country. The Company achieved $2.5 million development milestones under the Collaboration Agreement resulting from technical progress in a research program in each of May 2016 (the “First Milestone”) and July 2017 (the “Second Milestone”). Due to the uncertainty of pharmaceutical development and the high historical failure rates generally associated with drug development, no additional milestone or royalty payments may ever be received from Juno Therapeutics. As of March 31, 2018, the next potential milestone payment that the Company may be entitled to receive under the Collaboration Agreement is a substantive milestone payment of $2.5 million for the achievement of certain development criteria. The Company would recognize the milestone payment as revenue upon achievement. There are no cancellation, termination or refund provisions in the Collaboration Agreement that contain material financial consequences to the Company.</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earlier terminated, the Collaboration Agreement will continue in full force and effect, on a</w:t>
      </w:r>
    </w:p>
    <w:p>
      <w:pPr>
        <w:spacing w:after="0" w:line="176" w:lineRule="exact"/>
        <w:rPr>
          <w:sz w:val="20"/>
          <w:szCs w:val="20"/>
          <w:color w:val="auto"/>
        </w:rPr>
      </w:pPr>
      <w:r>
        <w:rPr>
          <w:rFonts w:ascii="Arial" w:cs="Arial" w:eastAsia="Arial" w:hAnsi="Arial"/>
          <w:sz w:val="18"/>
          <w:szCs w:val="18"/>
          <w:color w:val="auto"/>
        </w:rPr>
        <w:t>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until the date no further payments are due to the Company from</w:t>
      </w:r>
    </w:p>
    <w:p>
      <w:pPr>
        <w:spacing w:after="0" w:line="216" w:lineRule="auto"/>
        <w:rPr>
          <w:sz w:val="20"/>
          <w:szCs w:val="20"/>
          <w:color w:val="auto"/>
        </w:rPr>
      </w:pPr>
      <w:r>
        <w:rPr>
          <w:rFonts w:ascii="Arial" w:cs="Arial" w:eastAsia="Arial" w:hAnsi="Arial"/>
          <w:sz w:val="17"/>
          <w:szCs w:val="17"/>
          <w:color w:val="auto"/>
        </w:rPr>
        <w:t>Juno Therapeutics. Either party may terminate the Collaboration Agreement if the other party has materially breached or</w:t>
      </w:r>
    </w:p>
    <w:p>
      <w:pPr>
        <w:spacing w:after="0" w:line="229" w:lineRule="auto"/>
        <w:rPr>
          <w:sz w:val="20"/>
          <w:szCs w:val="20"/>
          <w:color w:val="auto"/>
        </w:rPr>
      </w:pPr>
      <w:r>
        <w:rPr>
          <w:rFonts w:ascii="Arial" w:cs="Arial" w:eastAsia="Arial" w:hAnsi="Arial"/>
          <w:sz w:val="16"/>
          <w:szCs w:val="16"/>
          <w:color w:val="auto"/>
        </w:rPr>
        <w:t>defaulted in the performance of any of its material obligations and such breach or default continues after the specified cure</w:t>
      </w:r>
    </w:p>
    <w:p>
      <w:pPr>
        <w:spacing w:after="0" w:line="229" w:lineRule="auto"/>
        <w:rPr>
          <w:sz w:val="20"/>
          <w:szCs w:val="20"/>
          <w:color w:val="auto"/>
        </w:rPr>
      </w:pPr>
      <w:r>
        <w:rPr>
          <w:rFonts w:ascii="Arial" w:cs="Arial" w:eastAsia="Arial" w:hAnsi="Arial"/>
          <w:sz w:val="16"/>
          <w:szCs w:val="16"/>
          <w:color w:val="auto"/>
        </w:rPr>
        <w:t>period. Either party may terminate the Collaboration Agreement in the event of the commencement of any proceeding in or</w:t>
      </w:r>
    </w:p>
    <w:p>
      <w:pPr>
        <w:spacing w:after="0" w:line="229" w:lineRule="auto"/>
        <w:rPr>
          <w:sz w:val="20"/>
          <w:szCs w:val="20"/>
          <w:color w:val="auto"/>
        </w:rPr>
      </w:pPr>
      <w:r>
        <w:rPr>
          <w:rFonts w:ascii="Arial" w:cs="Arial" w:eastAsia="Arial" w:hAnsi="Arial"/>
          <w:sz w:val="16"/>
          <w:szCs w:val="16"/>
          <w:color w:val="auto"/>
        </w:rPr>
        <w:t>for bankruptcy, insolvency, dissolution or winding up by or against the other party that is not dismissed or otherwise disposed</w:t>
      </w:r>
    </w:p>
    <w:p>
      <w:pPr>
        <w:spacing w:after="0" w:line="229" w:lineRule="auto"/>
        <w:rPr>
          <w:sz w:val="20"/>
          <w:szCs w:val="20"/>
          <w:color w:val="auto"/>
        </w:rPr>
      </w:pPr>
      <w:r>
        <w:rPr>
          <w:rFonts w:ascii="Arial" w:cs="Arial" w:eastAsia="Arial" w:hAnsi="Arial"/>
          <w:sz w:val="16"/>
          <w:szCs w:val="16"/>
          <w:color w:val="auto"/>
        </w:rPr>
        <w:t>of within a specified time period. Juno Therapeutics may terminate the Collaboration Agreement for convenience upon not</w:t>
      </w:r>
    </w:p>
    <w:p>
      <w:pPr>
        <w:spacing w:after="0" w:line="229" w:lineRule="auto"/>
        <w:rPr>
          <w:sz w:val="20"/>
          <w:szCs w:val="20"/>
          <w:color w:val="auto"/>
        </w:rPr>
      </w:pPr>
      <w:r>
        <w:rPr>
          <w:rFonts w:ascii="Arial" w:cs="Arial" w:eastAsia="Arial" w:hAnsi="Arial"/>
          <w:sz w:val="16"/>
          <w:szCs w:val="16"/>
          <w:color w:val="auto"/>
        </w:rPr>
        <w:t>less than six months prior written notice to the Company. The Company may terminate the Collaboration Agreement in the</w:t>
      </w:r>
    </w:p>
    <w:p>
      <w:pPr>
        <w:spacing w:after="0" w:line="215" w:lineRule="auto"/>
        <w:rPr>
          <w:sz w:val="20"/>
          <w:szCs w:val="20"/>
          <w:color w:val="auto"/>
        </w:rPr>
      </w:pPr>
      <w:r>
        <w:rPr>
          <w:rFonts w:ascii="Arial" w:cs="Arial" w:eastAsia="Arial" w:hAnsi="Arial"/>
          <w:sz w:val="17"/>
          <w:szCs w:val="17"/>
          <w:color w:val="auto"/>
        </w:rPr>
        <w:t>event that Juno Therapeutics brings, assumes, or participates in, or knowingly, willfully or recklessly assists in bringing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dispute or challenge against the Company related to its intellectual property.</w:t>
      </w:r>
    </w:p>
    <w:p>
      <w:pPr>
        <w:spacing w:after="0" w:line="128"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Termination of the Collaboration Agreement for any reason does not release either party from any liability which, at the time of such termination, has already accrued to the other party or which is attributable to a period prior to such termination nor preclude either party from pursuing any rights and remedies it may have under the agreement or at law or in equity with respect to any breach of the Collaboration Agreement. If Juno Therapeutics terminates the Collaboration Agreement as a result of the Company’s uncured material breach or default, then: (i) the licenses and rights conveyed to Juno Therapeutics will continue as set forth in the agreement, (ii) Juno Therapeutics’ obligations related to milestones and royalties will continue as set forth in the agreement and (iii) Juno Therapeutics’ rights to prosecute, maintain and enforce certain intellectual property rights will continue as set forth in the agreement. If Juno Therapeutics terminates the Collaboration Agreement for convenience or if the Company terminates the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Collaboration Agreement as a result of Juno Therapeutics’ uncured material breach or default, then the licenses conveyed to Juno Therapeutics will terminate.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44"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The Company has identified the following performance obligations: (i) Research License and the related research and development services during the Initial Research Program Term (the “Research License and Related Services”), (ii) three material rights related to the first Development and Commercialization Licenses related to each of the three research areas (each, a “First Development and Commercialization License Material Right”), (iii) six material rights related to the option to purchase up to three additional Development and Commercialization Licenses for two of the research areas (each, an “Additional License Material Right”) and (iv) JRC services during the Initial Research Program Term (the “JRC Services”).</w:t>
      </w:r>
    </w:p>
    <w:p>
      <w:pPr>
        <w:spacing w:after="0" w:line="120"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Company has concluded that the Research License is not distinct from the research and development services during the Initial Research Program Term as Juno Therapeutics cannot obtain the benefit of the Research License without the Company performing the research and development services. The services incorporate proprietary technology and unique skills and specialized expertise, particularly as it relates to genome editing technology that is not available in the marketplace. As a result, the Research License has been combined with the research and development services into a combined performance obligation. The Company has concluded that the First Development and Commercialization License Material Rights for each respective research area and the Additional License Material Right with the two research areas to which it relate are a separate performance obligation under ASC 606 as Juno Therapeutics is provided incremental licenses for additional consideration that represents a significant discount from amounts that would otherwise would be offered outside the context of the contract. These material rights, of which there are nine in total, are distinct from the other performance obligations in the arrangement as they are options in the contract that are not required for Juno Therapeutics to obtain the benefit of the other promised goods or services in the arrangement. Similarly, the Company has concluded the JRC Services performance obligation is distinct from the other obligations in the arrangement as the other performance obligations are not dependent upon the JRC Services.</w:t>
      </w:r>
    </w:p>
    <w:p>
      <w:pPr>
        <w:spacing w:after="0" w:line="125" w:lineRule="exact"/>
        <w:rPr>
          <w:sz w:val="20"/>
          <w:szCs w:val="20"/>
          <w:color w:val="auto"/>
        </w:rPr>
      </w:pPr>
    </w:p>
    <w:p>
      <w:pPr>
        <w:ind w:right="20" w:firstLine="648"/>
        <w:spacing w:after="0" w:line="233" w:lineRule="auto"/>
        <w:rPr>
          <w:sz w:val="20"/>
          <w:szCs w:val="20"/>
          <w:color w:val="auto"/>
        </w:rPr>
      </w:pPr>
      <w:r>
        <w:rPr>
          <w:rFonts w:ascii="Arial" w:cs="Arial" w:eastAsia="Arial" w:hAnsi="Arial"/>
          <w:sz w:val="16"/>
          <w:szCs w:val="16"/>
          <w:color w:val="auto"/>
        </w:rPr>
        <w:t>As of January 1, 2018, the date of the initial application of ASC 606 by the Company, the total transaction price was determined to be $52.0 million, consisting of the $25.0 million upfront non-refundable, non-creditable cash payment, $22.0 million of research and development funding and $5.0 million of milestone payments received by the Company. The research and development funding is being provided based on the costs that are incurred to conduct the research and development services. The Company utilizes the most likely amount method to determine the amount of research and development funding to be received. The Company also utilized the most likely amount method to estimate any development and regulatory milestone payments to be received. As of January 1, 2018, there were no milestones that had not been received included in the transaction price. The Company considered the stage of development and the risks associated with the remaining development required to achieve the milestone, as well as whether the achievement of the milestone is outside the control of the Company or Juno Therapeutics. The outstanding milestone payments were fully constrained, as a result of the uncertainty whether any of the milestones would be achieved. The Company has determined that any commercial milestones and sales-based royalties will be recognized when the related sales occur as they were determined to relate predominantly to the license granted and therefore have also been excluded from the transaction price. The Company will re-evaluate the transaction price at the end of each reporting period and as uncertain events are resolved or other changes in circumstances occur. There were no changes to the transaction price during the three months ended March 31, 2018.</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transaction price was allocated to the performance obligations based on the relative estimated standalone selling prices of each performance obligation or, in the case of certain variable consideration, to one or more performance obligations. The estimated standalone selling prices for the Research License and Related Services is primarily based on the nature of the services to be performed and estimates of the associated effort and costs of the services, adjusted for a reasonable profit margin that would be expected to be realized under similar contracts. The Company developed the estimated standalone selling price for the materials rights based on the difference between the value of license granted and any additional consideration to be received upon exercise of the underlying option, adjusted for the probability of exercise. The value of the license granted was determined based on the probability-weighted present value of expected future cash flows associated with each license related to each specific research area. In developing such estimate, the Company also considered applicable market conditions and relevant entity-specific factors, including those factors contemplated in negotiating the agreement, probability of success and the time needed to commercialize a product candidate pursuant to the associated license.</w:t>
      </w:r>
    </w:p>
    <w:p>
      <w:pPr>
        <w:spacing w:after="0" w:line="12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transaction price allocated to each performance obligation was as follows: (i) Research License and Related Services: $27.0 million, (ii) Development and Commercialization License Material Right related to the first research area: $7.7 million, (iii) Development and Commercialization License Material Right related to the second research area: $12.8 million, (iv) Development and Commercialization License Material Right related to the third research area: $0.1 million, (v) the first Additional License Material Right for the first research area: $0.6 million, (vi) the second Additional License Material Right for the first research area: $0.3 million, (vii) the third Additional License Material Right for the first research area: $0.1 million, (viii) the first Additional License Material Right for the second research area: $1.7 million, (ix) the second Additional License Material Right for the second research area: $1.1 million, and (x) the third Additional License Material Right for the second research area: $0.6 million. No amounts were allocated to the JRC Services because the associated estimated standalone selling price was determined to be de minimis.</w:t>
      </w:r>
    </w:p>
    <w:p>
      <w:pPr>
        <w:spacing w:after="0" w:line="122"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Company will recognize revenue related to amounts allocated to the Research License and Related Services as the underlying services are performed using a proportional performance model. The Company measures proportional performance based on the costs incurred relative to the total estimated costs of the research. Revenue related to the material rights will be recognized when the options are exercised and the Company transfers control of the related exclusive license or when the options lapse. The rights to be conveyed to Juno Therapeutics pursuant to each of the Development and Commercialization Licenses extend exclusively to an individual target or product, as applicable; therefore, control is deemed to be transferred upon the designation by Juno Therapeutics of the specific target or product, as applicable, whereupon the license becomes effective.</w:t>
      </w:r>
    </w:p>
    <w:p>
      <w:pPr>
        <w:spacing w:after="0" w:line="124"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During the three months ended March 31, 2018 and 2017, the Company recognized revenue under the Collaboration Agreement totaling approximately $1.0 million and $0.7 million, respectively.</w:t>
      </w:r>
    </w:p>
    <w:p>
      <w:pPr>
        <w:spacing w:after="0" w:line="121" w:lineRule="exact"/>
        <w:rPr>
          <w:sz w:val="20"/>
          <w:szCs w:val="20"/>
          <w:color w:val="auto"/>
        </w:rPr>
      </w:pPr>
    </w:p>
    <w:p>
      <w:pPr>
        <w:ind w:right="100" w:firstLine="648"/>
        <w:spacing w:after="0" w:line="225" w:lineRule="auto"/>
        <w:rPr>
          <w:sz w:val="20"/>
          <w:szCs w:val="20"/>
          <w:color w:val="auto"/>
        </w:rPr>
      </w:pPr>
      <w:r>
        <w:rPr>
          <w:rFonts w:ascii="Arial" w:cs="Arial" w:eastAsia="Arial" w:hAnsi="Arial"/>
          <w:sz w:val="17"/>
          <w:szCs w:val="17"/>
          <w:color w:val="auto"/>
        </w:rPr>
        <w:t>The revenue is classified as collaboration and other research and development revenue in the accompanying condensed consolidated statement of operations. As of March 31, 2018 and December 31, 2017, there was approximately $27.1 million and $26.4 million of deferred revenue related to the Collaboration Agreement, respectively, all of which is classified as long term in the accompanying condensed consolidated balance sheet. In addition, as of March 31, 2018 and December 31, 2017, the Company has recorded accounts receivable of $0.8 million and $0.5 million related to reimbursable research and development costs under the Collaboration Agreement for activities performed during the first quarter of 2018 and fourth quarter of 2017, respectively.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Allergan Pharmaceuticals Strategic Alliance and Option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Summary of Agreement</w:t>
      </w:r>
    </w:p>
    <w:p>
      <w:pPr>
        <w:spacing w:after="0" w:line="212" w:lineRule="exact"/>
        <w:rPr>
          <w:sz w:val="20"/>
          <w:szCs w:val="20"/>
          <w:color w:val="auto"/>
        </w:rPr>
      </w:pPr>
    </w:p>
    <w:p>
      <w:pPr>
        <w:ind w:left="80" w:right="40" w:firstLine="571"/>
        <w:spacing w:after="0" w:line="216" w:lineRule="auto"/>
        <w:rPr>
          <w:sz w:val="20"/>
          <w:szCs w:val="20"/>
          <w:color w:val="auto"/>
        </w:rPr>
      </w:pPr>
      <w:r>
        <w:rPr>
          <w:rFonts w:ascii="Arial" w:cs="Arial" w:eastAsia="Arial" w:hAnsi="Arial"/>
          <w:sz w:val="18"/>
          <w:szCs w:val="18"/>
          <w:color w:val="auto"/>
        </w:rPr>
        <w:t>In March 2017, the Company entered into a Strategic Alliance and Option Agreement with Allergan to discover, develop, and commercialize new gene editing medicines for a range of ocular disorders (the “Allergan Agreement”). Over a seven-year research term, Allergan will have an exclusive option to exclusively license from the Company up to five collaboration development programs for the treatment of ocular disorders (each a “CDP”), including the Company’s Leber Congenital Amaurosis type 10 program (the “LCA10 Program”).</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80" w:firstLine="571"/>
        <w:spacing w:after="0"/>
        <w:rPr>
          <w:sz w:val="20"/>
          <w:szCs w:val="20"/>
          <w:color w:val="auto"/>
        </w:rPr>
      </w:pPr>
      <w:r>
        <w:rPr>
          <w:rFonts w:ascii="Arial" w:cs="Arial" w:eastAsia="Arial" w:hAnsi="Arial"/>
          <w:sz w:val="16"/>
          <w:szCs w:val="16"/>
          <w:color w:val="auto"/>
        </w:rPr>
        <w:t>Under the Allergan Agreement, the Company will use commercially reasonable efforts to develop at least five CDPs and deliver preclinical results and data meeting specified criteria with respect to each CDP (each, an “Option Package” and such criteria, the “Option Package Criteria”) to Allergan. The list of proposed targets that may be subject to a CDP may be amended from time to time by mutual agreement of the Company and Allergan. The Company is responsible for the preparation and delivery of a written development plan for each particular CDP setting forth the discovery and research activities to be conducted which is subject to the approval of the alliance steering committee that was formed under the Allergan Agreement, comprised of three members from each of the Company and Allergan (the “Steering Committee”). The Company will maintain primary responsibility for the development efforts under each CDP. The Company is responsible for all research and development costs prior to the achievement of the Option Package Criteria. Upon achievement of the Option Package Criteria, as determined by the Steering Committee, Allergan will have the ability, for a defined period of time (“Initial Option Period”) to exercise an option (each, an “Option”) to obtain a world-wide right and license to the Company’s background intellectual property and the Company’s interest in the CDP intellectual property to develop, commercialize, make, have made, use, offer for sale, sell, and import any gene editing therapy product that results from such CDP during the term of the Allergan Agreement (a “Licensed Product”) in any category of human diseases and conditions other than the diagnosis, treatment or prevention of any cancer in humans through the use of engineered T-cells and subject to specified other limitations. Allergan has the option to extend the Initial Option Period and require the Company to perform additional research and development services, subject to the payment of additional consideration. After exercise of an Option with respect to a CDP, with the exception of any CDP’s where the Company has exercised its profit-sharing option, Allergan will be responsible for all development, manufacturing, and commercialization activities in connection with licensed products arising from such CDP, other than with respect to the LCA10 Program, if LCA10 is designated as a CDP, for which the Company has retained the right to develop that program through the acceptance for filing of the first IND with respect to the LCA10 Program. Upon achievement of IND approval for LCA10, unless the Company has exercised its profit sharing option on LCA10, Allergan will be responsible for all development, manufacturing, and commercialization activities.</w:t>
      </w:r>
    </w:p>
    <w:p>
      <w:pPr>
        <w:spacing w:after="0" w:line="198"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initial term of the Allergan Agreement commenced on March 14, 2017 (the “Effective Date”) and continues for seven years ending on March 14, 2024 (the “Research Term”). If the Company has not delivered an Option Package, which includes the results and data from the CDP, for five CDPs that satisfy the Option Package Criteria, then the Research Term will automatically extend by one-year increments until such obligation is satisfied, up to a maximum of ten years from the Effective Date.</w:t>
      </w:r>
    </w:p>
    <w:p>
      <w:pPr>
        <w:spacing w:after="0" w:line="122" w:lineRule="exact"/>
        <w:rPr>
          <w:sz w:val="20"/>
          <w:szCs w:val="20"/>
          <w:color w:val="auto"/>
        </w:rPr>
      </w:pPr>
    </w:p>
    <w:p>
      <w:pPr>
        <w:ind w:right="80" w:firstLine="690"/>
        <w:spacing w:after="0" w:line="249" w:lineRule="auto"/>
        <w:rPr>
          <w:sz w:val="20"/>
          <w:szCs w:val="20"/>
          <w:color w:val="auto"/>
        </w:rPr>
      </w:pPr>
      <w:r>
        <w:rPr>
          <w:rFonts w:ascii="Arial" w:cs="Arial" w:eastAsia="Arial" w:hAnsi="Arial"/>
          <w:sz w:val="16"/>
          <w:szCs w:val="16"/>
          <w:color w:val="auto"/>
        </w:rPr>
        <w:t>The activities under the Allergan Agreement during the Research Term will be governed by the Steering Committee. The Steering Committee will review and monitor the direction of the development plan, evaluate and determine which targets are selected to become CDP, establish the Option Package Criteria for each CDP and evaluate the achievement of such criteria as well as oversee the development and commercialization activities after Allergan has licensed a CDP.</w:t>
      </w:r>
    </w:p>
    <w:p>
      <w:pPr>
        <w:spacing w:after="0" w:line="114" w:lineRule="exact"/>
        <w:rPr>
          <w:sz w:val="20"/>
          <w:szCs w:val="20"/>
          <w:color w:val="auto"/>
        </w:rPr>
      </w:pPr>
    </w:p>
    <w:p>
      <w:pPr>
        <w:ind w:right="80" w:firstLine="693"/>
        <w:spacing w:after="0" w:line="181" w:lineRule="exact"/>
        <w:rPr>
          <w:sz w:val="20"/>
          <w:szCs w:val="20"/>
          <w:color w:val="auto"/>
        </w:rPr>
      </w:pPr>
      <w:r>
        <w:rPr>
          <w:rFonts w:ascii="Arial" w:cs="Arial" w:eastAsia="Arial" w:hAnsi="Arial"/>
          <w:sz w:val="16"/>
          <w:szCs w:val="16"/>
          <w:color w:val="auto"/>
        </w:rPr>
        <w:t>Under the terms of the Allergan Agreement, the Company received a $90.0 million up</w:t>
      </w:r>
      <w:r>
        <w:rPr>
          <w:rFonts w:ascii="MS PGothic" w:cs="MS PGothic" w:eastAsia="MS PGothic" w:hAnsi="MS PGothic"/>
          <w:sz w:val="16"/>
          <w:szCs w:val="16"/>
          <w:color w:val="auto"/>
        </w:rPr>
        <w:t>‑</w:t>
      </w:r>
      <w:r>
        <w:rPr>
          <w:rFonts w:ascii="Arial" w:cs="Arial" w:eastAsia="Arial" w:hAnsi="Arial"/>
          <w:sz w:val="16"/>
          <w:szCs w:val="16"/>
          <w:color w:val="auto"/>
        </w:rPr>
        <w:t>front, non</w:t>
      </w:r>
      <w:r>
        <w:rPr>
          <w:rFonts w:ascii="MS PGothic" w:cs="MS PGothic" w:eastAsia="MS PGothic" w:hAnsi="MS PGothic"/>
          <w:sz w:val="16"/>
          <w:szCs w:val="16"/>
          <w:color w:val="auto"/>
        </w:rPr>
        <w:t>‑</w:t>
      </w:r>
      <w:r>
        <w:rPr>
          <w:rFonts w:ascii="Arial" w:cs="Arial" w:eastAsia="Arial" w:hAnsi="Arial"/>
          <w:sz w:val="16"/>
          <w:szCs w:val="16"/>
          <w:color w:val="auto"/>
        </w:rPr>
        <w:t>refundable, non</w:t>
      </w:r>
      <w:r>
        <w:rPr>
          <w:rFonts w:ascii="MS PGothic" w:cs="MS PGothic" w:eastAsia="MS PGothic" w:hAnsi="MS PGothic"/>
          <w:sz w:val="16"/>
          <w:szCs w:val="16"/>
          <w:color w:val="auto"/>
        </w:rPr>
        <w:t>‑</w:t>
      </w:r>
      <w:r>
        <w:rPr>
          <w:rFonts w:ascii="Arial" w:cs="Arial" w:eastAsia="Arial" w:hAnsi="Arial"/>
          <w:sz w:val="16"/>
          <w:szCs w:val="16"/>
          <w:color w:val="auto"/>
        </w:rPr>
        <w:t>creditable cash payment (the “Allergan Upfront”) related to the Company’s research and development costs for Option Packages for at least five CDPs and for reimbursement of the Company’s past out of pocket costs with respect to the prosecution and defense of patents that it owns and in-licenses. Allergan has the option to purchase at least five development and commercialization licenses associated CDP that have satisfied the Option Package Criteria. The option exercise fee during the Initial Option Period is $15.0 million per CDP. If Allergan elects to extend the Initial Option Period, Allergan is required to pay an additional fee of $5.0 million to extend the option, at which point the Company is required to perform additional research services. If Allergan elects to exercise its option to a development and commercialization license after extending the Initial Option Period, Allergan must pay the Company the option exercise fee of $22.5 million, plus specified costs incurred by the Company in connection with the additional development work.</w:t>
      </w:r>
    </w:p>
    <w:p>
      <w:pPr>
        <w:spacing w:after="0" w:line="122"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Following the exercise by Allergan of an Option with respect to a CDP, Allergan would be required to make certain milestone payments to the Company upon the achievement of specified development, product approval and launch and commercial events, on a CDP by CDP basis. On a CDP by CDP basis, for the first product in the first field to achieve the associated event, the Company is eligible to receive up to an aggregate of $42 million for development milestone payments and $75.0 million for product approval and launch milestone payments, in each case, for an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indication in the field per CDP. In addition, the Company is eligible to receive additional development and product approval and launch milestone payments for subsequent products developed within two additional fields. The Company is also eligible for up to $90 million in sales milestone payments on a CDP by CDP basis, associated with aggregate worldwide sales. Certain product approval milestones are subject to certain reductions under specified circumstances, including for payments required to be made by Allergan to obtain certain third party intellectual property rights. In addition, within 45 days of the acceptance by the applicable regulatory authority of the Company’s submission of an IND application with respect to the LCA10 Program, Allergan is required to pay the Company a one-time payment of $25.0 million (the “LCA10 IND Payment”), whether or not Allergan exercises its option under the Allergan Agreement to acquire an exclusive license with respect to the LCA10 Program. As of March 31, 2018, the next potential milestone payment that the Company may be entitled to receive under the Allergan Agreement is a substantive milestone payment of $8.0 million for the achievement of certain development criteria.</w:t>
      </w:r>
    </w:p>
    <w:p>
      <w:pPr>
        <w:spacing w:after="0" w:line="127"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With respect to the LCA10 Program and up to one other CDP of the Company’s choosing, following the exercise by Allergan of its Option to such programs, the Company will have the right to elect to participate in a profit-sharing arrangement with Allergan in the United States, on terms mutually agreed by the Company and Allergan and subject to a right of Allergan to reject such election under certain circumstances, under which the Company and Allergan would share equally in net profits and losses on specific terms to be agreed between the Company and Allergan, in lieu of Allergan paying royalties on net sales of any applicable Licensed Products in the United States, and in such event Allergan’s milestone payment obligations would be reduced, with the Company being eligible to receive development and product approval and launch milestone payments up to a low nine-digit amount in the aggregate and further sales milestone payments up to a high-eight digit amount in the aggregate, subject to reduction under certain circumstances. If the Company elects to participate in a profit-sharing arrangement, the Company is obligated to reimburse Allergan for half of the development costs incurred by Allergan with respect to the applicable CDP, and Allergan will retain control of all development and commercialization activities for the applicable Licensed Products.</w:t>
      </w:r>
    </w:p>
    <w:p>
      <w:pPr>
        <w:spacing w:after="0" w:line="122" w:lineRule="exact"/>
        <w:rPr>
          <w:sz w:val="20"/>
          <w:szCs w:val="20"/>
          <w:color w:val="auto"/>
        </w:rPr>
      </w:pPr>
    </w:p>
    <w:p>
      <w:pPr>
        <w:ind w:right="80" w:firstLine="648"/>
        <w:spacing w:after="0" w:line="181" w:lineRule="exact"/>
        <w:rPr>
          <w:sz w:val="20"/>
          <w:szCs w:val="20"/>
          <w:color w:val="auto"/>
        </w:rPr>
      </w:pPr>
      <w:r>
        <w:rPr>
          <w:rFonts w:ascii="Arial" w:cs="Arial" w:eastAsia="Arial" w:hAnsi="Arial"/>
          <w:sz w:val="18"/>
          <w:szCs w:val="18"/>
          <w:color w:val="auto"/>
        </w:rPr>
        <w:t>In addition, to the extent there is any Licensed Product, the Company would be entitled to receive tiered royalty payments of high single digits based on a percentage of net sales of such Licensed Product, subject to certain reductions under specified circumstances, and the Company will remain obligated to pay all license fees, milestone payments, and royalties due to its upstream licensors based on Allergan’s exercise of its license rights with respect to Licensed Products. However, if a Licensed Product is subject to a profit sharing agreement the royalties will only be paid on ex-US net sales. Royalties are due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from the date of the first commercial sale of each Licensed Product in a country until the later of: (i) the tenth anniversary of the first commercial sale of such Licensed Product in such country (ii) the expiration date in such country of the last to expire valid claim within the licensed intellectual property covering the manufacture, use or sale of such Licensed Product in such country and (iii) the expiration of an exclusive legal right granted by the regulatory authority in such country to market and sell such Licensed Product.</w:t>
      </w:r>
    </w:p>
    <w:p>
      <w:pPr>
        <w:spacing w:after="0" w:line="124"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Unless earlier terminated, the Allergan Agreement will terminate upon (i) the expiration of the Research Term, if Allergan does not exercise an Option, (ii) on a Licensed Product-by-Licensed Product and country-by-country basis, on the date of the expiration of all payment obligations under the Allergan Agreement with respect to such Licensed Product in such country or (iii) in its entirety upon the expiration of all payment obligations with respect to the last Licensed Product in all countries, unless terminated earlier due to the early termination provisions. Either party may terminate the Allergan Agreement if the other party has materially breached or defaulted in the performance of any of its material obligations and such breach or default continues after the specified cure period. During the Research Term, Allergan will have the right to terminate the Allergan Agreement on a CDP by CDP basis in the event of a change in control of the Company or for all CDPs, provided that Allergan will not have any right to exercise an Option for any CDPs following such termination. After the exercise of an Option, Allergan will have the right, at its sole discretion, to terminate the Allergan Agreement, on a CDP by CDP basis, upon 90 days’ written notice. The Company may terminate the Allergan Agreement in the event that Allergan brings, assumes, or participates in, or knowingly, willfully or recklessly assists in bringing a dispute or challenge against the Company related to its intellectual property. Lastly, Allergan may terminate the Allergan Agreement with respect to a CDP if a safety concern, as specified in the Allergan Agreement, arises.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Termination of the Allergan Agreement for any reason will not release either party from any liability which, at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11" w:lineRule="auto"/>
        <w:rPr>
          <w:sz w:val="20"/>
          <w:szCs w:val="20"/>
          <w:color w:val="auto"/>
        </w:rPr>
      </w:pPr>
      <w:r>
        <w:rPr>
          <w:rFonts w:ascii="Arial" w:cs="Arial" w:eastAsia="Arial" w:hAnsi="Arial"/>
          <w:sz w:val="18"/>
          <w:szCs w:val="18"/>
          <w:color w:val="auto"/>
        </w:rPr>
        <w:t>the time of such termination, has already accrued to the other party or which is attributable to a period prior to such termination. In addition, termination of the Allergan Agreement will not preclude either party from pursuing any rights and remedies it may have under the agreement or at law or in equity with respect to any breach of the Allergan Agreement. If Allergan terminates the Allergan Agreement as a result of the Company’s uncured material breach or default, then: (i) the licenses and rights conveyed to Allergan will continue as set forth in the agreement for any CDP Allergan has already licensed and (ii) Allergan’s obligations related to milestones and royalties will continue as set forth in the agreement. If the Allergan Agreement is terminated for any other reason, then the options and licenses conveyed to Allergan under the agreement will terminate.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Analysis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Under the Allergan Agreement, the Company has identified a single performance obligation that includes (i) the research and development services during the Research Term (the “Allergan R&amp;D Services”), and (ii) Steering Committee services during the Research Term (the “ASC Services”). The Company has concluded that the Allergan R&amp;D Services is not distinct from the ASC Services during the Research Term. The Steering Committee provides oversight and management of the overall Allergan Agreement, and the members of the Steering Committee from the Company have specialized industry knowledge, particularly as it relates to genome editing technology. The Steering Committee is meant to facilitate the early stage research being performed and coordinate the activities of both the Company and Allergan. Further, the Steering Committee services are critical to the selection of a CDP, the ongoing evaluation of a CDP and the development and evaluation of the Option Package Criteria. Accordingly, the Company’s participation on the Steering Committee is essential to Allergan receiving value from the Allergan R&amp;D Services and as such, the ASC Services along with the Allergan R&amp;D Services are considered one performance obligation (the “CDP Services”).</w:t>
      </w:r>
    </w:p>
    <w:p>
      <w:pPr>
        <w:spacing w:after="0" w:line="17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As of January 1, 2018, the date of the initial application of ASC 606 by the Company, the total transaction price was determined to be $90.0 million, consisting solely of the upfront non-refundable, non-creditable cash payment. The Company also utilized the most likely amount method to estimate any development and regulatory milestone payments to be received. As of January 1, 2018, there were no milestones included in the transaction price. The Company considered the stage of development and the risks associated with the remaining development required to achieve the milestone, as well as whether the achievement of the milestone is outside the control of the Company or Allergan. The LCA10 IND Payment and outstanding milestone payments were fully constrained, as a result of the uncertainty whether any of the milestones would be achieved. The Company has determined that any commercial milestones and sales-based royalties will be recognized when the related sales occur and therefore have also been excluded from the transaction price. The Company will re-evaluate the transaction price at the end of each reporting period and as uncertain events are resolved or other changes in circumstances occur. There were no changes to the transaction price during the three months ended March 31, 2018.</w:t>
      </w:r>
    </w:p>
    <w:p>
      <w:pPr>
        <w:spacing w:after="0" w:line="17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will recognize revenue related to the CDP Services as the underlying services are performed using a proportional performance model. The Company measures proportional performance based on full time employee hours relative to projected full time employee hours to complete the research service.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three months ended March 31, 2018, the Company recognized revenue totaling approximately $2.9 million with respect to the Allergan Agreement. During the three months ended March 31, 2017, the Company recognized no revenue with respect to the Allergan Agreement as it had not commenced providing services related to the CDP Services. As of March 31, 2018 and 2017, there was $77.8 million and $90.0 million of deferred revenue related to the Allergan Agreement, respectively, of which $64.9 million and $77.9 million is classified as long-term on the condensed consolidated balance sheet, respectively.</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months ended March 31, 2017, the Company paid $2.3 million in sublicense fees that were owed to certain of the Company’s licensors in connection with the Allergan Upfront, which the Company recorded as research and development expenses during such period. The Company did not pay any sublicense fees during the three months ended March 31, 2018.</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Licensing Agreements</w:t>
      </w:r>
    </w:p>
    <w:p>
      <w:pPr>
        <w:spacing w:after="0" w:line="144" w:lineRule="exact"/>
        <w:rPr>
          <w:sz w:val="20"/>
          <w:szCs w:val="20"/>
          <w:color w:val="auto"/>
        </w:rPr>
      </w:pPr>
    </w:p>
    <w:p>
      <w:pPr>
        <w:ind w:right="179" w:firstLine="648"/>
        <w:spacing w:after="0" w:line="259" w:lineRule="auto"/>
        <w:rPr>
          <w:sz w:val="20"/>
          <w:szCs w:val="20"/>
          <w:color w:val="auto"/>
        </w:rPr>
      </w:pPr>
      <w:r>
        <w:rPr>
          <w:rFonts w:ascii="Arial" w:cs="Arial" w:eastAsia="Arial" w:hAnsi="Arial"/>
          <w:sz w:val="16"/>
          <w:szCs w:val="16"/>
          <w:color w:val="auto"/>
        </w:rPr>
        <w:t>The Company is a party to a number of license agreements under which the Company licenses patents, patent applications and other intellectual property from third parties. The Company anticipates entering into these types of license agreements in the future. The Company believes the following agreements are significant to its business: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Massachusetts General Hospital Agreements</w:t>
      </w:r>
    </w:p>
    <w:p>
      <w:pPr>
        <w:spacing w:after="0" w:line="144" w:lineRule="exact"/>
        <w:rPr>
          <w:sz w:val="20"/>
          <w:szCs w:val="20"/>
          <w:color w:val="auto"/>
        </w:rPr>
      </w:pPr>
    </w:p>
    <w:p>
      <w:pPr>
        <w:ind w:right="19" w:firstLine="648"/>
        <w:spacing w:after="0" w:line="180" w:lineRule="exact"/>
        <w:rPr>
          <w:sz w:val="20"/>
          <w:szCs w:val="20"/>
          <w:color w:val="auto"/>
        </w:rPr>
      </w:pPr>
      <w:r>
        <w:rPr>
          <w:rFonts w:ascii="Arial" w:cs="Arial" w:eastAsia="Arial" w:hAnsi="Arial"/>
          <w:sz w:val="16"/>
          <w:szCs w:val="16"/>
          <w:color w:val="auto"/>
        </w:rPr>
        <w:t>In August 2014, the Company entered into an agreement to license certain patent rights owned or co</w:t>
      </w:r>
      <w:r>
        <w:rPr>
          <w:rFonts w:ascii="MS PGothic" w:cs="MS PGothic" w:eastAsia="MS PGothic" w:hAnsi="MS PGothic"/>
          <w:sz w:val="16"/>
          <w:szCs w:val="16"/>
          <w:color w:val="auto"/>
        </w:rPr>
        <w:t>‑</w:t>
      </w:r>
      <w:r>
        <w:rPr>
          <w:rFonts w:ascii="Arial" w:cs="Arial" w:eastAsia="Arial" w:hAnsi="Arial"/>
          <w:sz w:val="16"/>
          <w:szCs w:val="16"/>
          <w:color w:val="auto"/>
        </w:rPr>
        <w:t>owned by MGH. Consideration for the granting of the license included the payment of an upfront license fee of $0.1 million, the issuance of 66,848 shares of the Company’s common stock, which was based on 0.5% of the Company’s outstanding stock on a fully diluted basis, and the right to receive future issuances of shares of common stock to maintain MGH’s ownership following the third tranche of the Company’s Series A redeemable convertible preferred stock financing (i.e. anti</w:t>
      </w:r>
      <w:r>
        <w:rPr>
          <w:rFonts w:ascii="MS PGothic" w:cs="MS PGothic" w:eastAsia="MS PGothic" w:hAnsi="MS PGothic"/>
          <w:sz w:val="16"/>
          <w:szCs w:val="16"/>
          <w:color w:val="auto"/>
        </w:rPr>
        <w:t>‑</w:t>
      </w:r>
      <w:r>
        <w:rPr>
          <w:rFonts w:ascii="Arial" w:cs="Arial" w:eastAsia="Arial" w:hAnsi="Arial"/>
          <w:sz w:val="16"/>
          <w:szCs w:val="16"/>
          <w:color w:val="auto"/>
        </w:rPr>
        <w:t>dilution protection liability), which was settled in June 2015. MGH is entitled to receive nominal annual license fees and future clinical, regulatory and commercial milestone payments in an aggregate maximum amount of $3.7 million and an aggregate amount of $1.8 million upon the occurrence of certain sales milestones. The Company is also obligated to pay MGH low single digit percentage royalties on net sales of products for the prevention or treatment of human disease and ranging from low single digit to low double digit percentage royalties on net sales of other products and services made by the Company, its affiliates or its sublicenses. The royalty percentage depends on the product and service, and whether such licensed product or licensed service is covered by a valid claim within the certain patent rights that the Company licenses from MGH.</w:t>
      </w:r>
    </w:p>
    <w:p>
      <w:pPr>
        <w:spacing w:after="0" w:line="130" w:lineRule="exact"/>
        <w:rPr>
          <w:sz w:val="20"/>
          <w:szCs w:val="20"/>
          <w:color w:val="auto"/>
        </w:rPr>
      </w:pPr>
    </w:p>
    <w:p>
      <w:pPr>
        <w:ind w:right="19" w:firstLine="648"/>
        <w:spacing w:after="0" w:line="233" w:lineRule="auto"/>
        <w:rPr>
          <w:sz w:val="20"/>
          <w:szCs w:val="20"/>
          <w:color w:val="auto"/>
        </w:rPr>
      </w:pPr>
      <w:r>
        <w:rPr>
          <w:rFonts w:ascii="Arial" w:cs="Arial" w:eastAsia="Arial" w:hAnsi="Arial"/>
          <w:sz w:val="16"/>
          <w:szCs w:val="16"/>
          <w:color w:val="auto"/>
        </w:rPr>
        <w:t>In August 2016, the Company entered into a license agreement with MGH (the “2016 MGH Agreement”) to license certain patent rights owned or co-owned by MGH (the “Additional MGH Patent Rights”). Consideration for granting the license included the payment of an upfront nonrefundable license fee of $0.8 million, which the Company recorded as research and development expense in 2016. Under the 2016 MGH Agreement, MGH is entitled to nominal annual license fees, clinical and regulatory milestone payments totaling less than $1.0 million in the aggregate per licensed product up to four licensed products or processes to achieve the specified clinical and regulatory milestones, and commercial sales milestone payments totaling up to $4.9 million in the aggregate, consisting of milestone payments due upon the first commercial sales for up to four licensed products or processes and milestone payments due upon annual net sales of products or processes meeting specified thresholds. The Company is also obligated to pay MGH royalties of less than 1% on net sales of products and processes for the prevention or treatment of human disease, and royalties of a low single-digit percentage on net sales of products and processes for the prevention or treatment of a non-human animal disease, made by the Company, its affiliates, or its sublicensees. The royalty percentages that the Company is obligated to pay are subject to reduction if at the time of sale the applicable product or process is not covered by a valid claim within the Additional MGH Patent Rights. Under the 2016 MGH Agreement, the Company is obligated to reimburse MGH for all patent costs and future reasonable costs associated with the prosecution, filing, and maintenance of the licensed patents.</w:t>
      </w:r>
    </w:p>
    <w:p>
      <w:pPr>
        <w:spacing w:after="0" w:line="130"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MGH is also entitled under the 2016 MGH Agreement to receive payments of up to $6.0 million in the event the Company’s market capitalization reaches specified thresholds meeting or exceeding $1.0 billion, on or prior to the expiration or termination of the 2016 MGH Agreement (or if earlier, a Company sale) (“MGH Market Cap Success Payments”) or a Company sale for consideration in excess of those thresholds (“MGH Company Sale Success Payments”). Additional MGH Market Cap Success Payments become payable, and the amount of potential MGH Company Sale Success Payments would increase further, if the Company’s market capitalization reaches additional higher thresholds and the Company has at least one product candidate that is covered by a claim of an Additional MGH Patent Right and that (i) is the subject of a Phase 1 clinical trial of which the Company or an affiliate or sublicensee of the Company is the sponsor, (ii) was the subject of a Phase 1 clinical trial of which the Company or an affiliate or sublicensee of the Company was the sponsor with the Company having determined to conduct a subsequent clinical trial with respect to such product candidate, or (iii) has been approved for sale in either the United States or European Union. MGH Market Cap Success Payments are payable in cash or shares of Company common stock at the Company’s</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color w:val="auto"/>
        </w:rPr>
        <w:t>discretion, and MGH Company Sale Success Payments are payable solely in cash. The Company triggered the first MGH Market Cap Success Payment under the 2016 MGH Agreement during the fourth quarter of 2017 when the Company’s market capitalization reached $1.0 billion, as discussed more fully in Note 7.</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Broad Agreements</w:t>
      </w:r>
    </w:p>
    <w:p>
      <w:pPr>
        <w:spacing w:after="0" w:line="144" w:lineRule="exact"/>
        <w:rPr>
          <w:sz w:val="20"/>
          <w:szCs w:val="20"/>
          <w:color w:val="auto"/>
        </w:rPr>
      </w:pPr>
    </w:p>
    <w:p>
      <w:pPr>
        <w:ind w:right="40" w:firstLine="648"/>
        <w:spacing w:after="0" w:line="177" w:lineRule="exact"/>
        <w:rPr>
          <w:sz w:val="20"/>
          <w:szCs w:val="20"/>
          <w:color w:val="auto"/>
        </w:rPr>
      </w:pPr>
      <w:r>
        <w:rPr>
          <w:rFonts w:ascii="Arial" w:cs="Arial" w:eastAsia="Arial" w:hAnsi="Arial"/>
          <w:sz w:val="16"/>
          <w:szCs w:val="16"/>
          <w:color w:val="auto"/>
        </w:rPr>
        <w:t>In October 2014, the Company entered into an agreement (the “Cas9-I License Agreement”) with Broad and Harvard to license certain patent rights owned or co</w:t>
      </w:r>
      <w:r>
        <w:rPr>
          <w:rFonts w:ascii="MS PGothic" w:cs="MS PGothic" w:eastAsia="MS PGothic" w:hAnsi="MS PGothic"/>
          <w:sz w:val="16"/>
          <w:szCs w:val="16"/>
          <w:color w:val="auto"/>
        </w:rPr>
        <w:t>‑</w:t>
      </w:r>
      <w:r>
        <w:rPr>
          <w:rFonts w:ascii="Arial" w:cs="Arial" w:eastAsia="Arial" w:hAnsi="Arial"/>
          <w:sz w:val="16"/>
          <w:szCs w:val="16"/>
          <w:color w:val="auto"/>
        </w:rPr>
        <w:t>owned by, or among, Broad, the Massachusetts Institute of Technology (“MIT”), and Harvard (collectively, the “Institutions”). Consideration for the granting of the license included the payment of an upfront license issuance fee of $0.2 million and the issuance of 561,531 shares of the Company’s common stock. The Institutions are collectively entitled to receive clinical and regulatory milestone payments totaling up to $14.8 million in the aggregate per licensed product approved in the United States, European Union, and Japan for the treatment of a human disease that afflicts at least a specified number of patients in the aggregate in the United States. If the Company undergoes a change of control during the term of the license agreement, the clinical and regulatory milestone payments will be increased by a certain percentage in the mid</w:t>
      </w:r>
      <w:r>
        <w:rPr>
          <w:rFonts w:ascii="MS PGothic" w:cs="MS PGothic" w:eastAsia="MS PGothic" w:hAnsi="MS PGothic"/>
          <w:sz w:val="16"/>
          <w:szCs w:val="16"/>
          <w:color w:val="auto"/>
        </w:rPr>
        <w:t>‑</w:t>
      </w:r>
      <w:r>
        <w:rPr>
          <w:rFonts w:ascii="Arial" w:cs="Arial" w:eastAsia="Arial" w:hAnsi="Arial"/>
          <w:sz w:val="16"/>
          <w:szCs w:val="16"/>
          <w:color w:val="auto"/>
        </w:rPr>
        <w:t>double digits. The Company is also obligated to make additional payments to the Institutions, collectively, of up to an aggregate of $54.0 million upon the occurrence of certain sales milestones per licensed product for the treatment of a human disease that afflicts at least a specified number of patients in the aggregate in the United States. The Institutions are collectively entitled to receive clinical and regulatory milestone payments totaling up to</w:t>
      </w:r>
    </w:p>
    <w:p>
      <w:pPr>
        <w:spacing w:after="0" w:line="7" w:lineRule="exact"/>
        <w:rPr>
          <w:sz w:val="20"/>
          <w:szCs w:val="20"/>
          <w:color w:val="auto"/>
        </w:rPr>
      </w:pPr>
    </w:p>
    <w:p>
      <w:pPr>
        <w:spacing w:after="0" w:line="180" w:lineRule="exact"/>
        <w:rPr>
          <w:sz w:val="20"/>
          <w:szCs w:val="20"/>
          <w:color w:val="auto"/>
        </w:rPr>
      </w:pPr>
      <w:r>
        <w:rPr>
          <w:rFonts w:ascii="Arial" w:cs="Arial" w:eastAsia="Arial" w:hAnsi="Arial"/>
          <w:sz w:val="17"/>
          <w:szCs w:val="17"/>
          <w:color w:val="auto"/>
        </w:rPr>
        <w:t>$4.1 million in the aggregate per licensed product approved in the U.S. and at least one jurisdiction outside the U.S. for the treatment of a human disease based on certain criteria. The Company is also obligated to make additional payments to the Institutions, collectively, of up to an aggregate of $36.0 million upon the occurrence of certain sales milestones per licensed product for the treatment of a rare disease meeting certain criteria. The Institutions are entitled to receive from the Company nominal annual license fees and a mid</w:t>
      </w:r>
      <w:r>
        <w:rPr>
          <w:rFonts w:ascii="MS PGothic" w:cs="MS PGothic" w:eastAsia="MS PGothic" w:hAnsi="MS PGothic"/>
          <w:sz w:val="17"/>
          <w:szCs w:val="17"/>
          <w:color w:val="auto"/>
        </w:rPr>
        <w:t>‑</w:t>
      </w:r>
      <w:r>
        <w:rPr>
          <w:rFonts w:ascii="Arial" w:cs="Arial" w:eastAsia="Arial" w:hAnsi="Arial"/>
          <w:sz w:val="17"/>
          <w:szCs w:val="17"/>
          <w:color w:val="auto"/>
        </w:rPr>
        <w:t>single digit percentage royalties on net sales of products for the prevention or treatment of human disease and ranging from low single digit to high single digit percentage royalties on net sales of other products and services, made by the Company, its affiliates, or its sublicensees. The royalty percentage depends on the product and service, and whether such licensed product or licensed service is covered by a valid claim within the certain patent rights that the Company licenses from the Institutions.</w:t>
      </w:r>
    </w:p>
    <w:p>
      <w:pPr>
        <w:spacing w:after="0" w:line="127"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In December 2016, the Company entered into the Cpf1 License Agreement with Broad, for specified patent rights (the “Cpf1 Patent Rights”) related primarily to Cpf1 compositions of matter and their use for gene editing. Concurrently with entering into the Cpf1 License Agreement, the Company, Broad, and Harvard amended and restated the Cas9-I License Agreement as described below. Concurrently, the Company and Broad also entered into the Cas9</w:t>
      </w:r>
      <w:r>
        <w:rPr>
          <w:rFonts w:ascii="MS PGothic" w:cs="MS PGothic" w:eastAsia="MS PGothic" w:hAnsi="MS PGothic"/>
          <w:sz w:val="16"/>
          <w:szCs w:val="16"/>
          <w:color w:val="auto"/>
        </w:rPr>
        <w:t>‑</w:t>
      </w:r>
      <w:r>
        <w:rPr>
          <w:rFonts w:ascii="Arial" w:cs="Arial" w:eastAsia="Arial" w:hAnsi="Arial"/>
          <w:sz w:val="16"/>
          <w:szCs w:val="16"/>
          <w:color w:val="auto"/>
        </w:rPr>
        <w:t>II License Agreement for specified patent rights (the “Cas9-II Patent Rights”) related primarily to certain Cas9 compositions of matter and their use for genome editing. The Company paid an upfront fee in aggregate of $16.5 million, which included the Initial Notes, under these agreements which was recorded in research and development expenses during 2016.</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Cpf1 License Agreement</w:t>
      </w:r>
    </w:p>
    <w:p>
      <w:pPr>
        <w:spacing w:after="0" w:line="144" w:lineRule="exact"/>
        <w:rPr>
          <w:sz w:val="20"/>
          <w:szCs w:val="20"/>
          <w:color w:val="auto"/>
        </w:rPr>
      </w:pPr>
    </w:p>
    <w:p>
      <w:pPr>
        <w:ind w:right="80" w:firstLine="648"/>
        <w:spacing w:after="0" w:line="181" w:lineRule="exact"/>
        <w:rPr>
          <w:sz w:val="20"/>
          <w:szCs w:val="20"/>
          <w:color w:val="auto"/>
        </w:rPr>
      </w:pPr>
      <w:r>
        <w:rPr>
          <w:rFonts w:ascii="Arial" w:cs="Arial" w:eastAsia="Arial" w:hAnsi="Arial"/>
          <w:sz w:val="16"/>
          <w:szCs w:val="16"/>
          <w:color w:val="auto"/>
        </w:rPr>
        <w:t>Pursuant to the Cpf1 License Agreement, Broad, on behalf of itself, Harvard, MIT, Wageningen, and the University of Tokyo (“UTokyo” and, together with Broad, Harvard, MIT, and Wageningen, the “Cpf1 Institutions”) granted the Company an 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to the Cpf1 Patent Rights, to make, have made, use, have used, sell, offer for sale, have sold, export and import products in the field of the prevention or treatment of human disease using gene therapy, editing of genetic material, or targeting of genetic material, subject to certain limitations and retained rights (collectively, the “Cpf1 Exclusive Field”), as well as a non</w:t>
      </w:r>
      <w:r>
        <w:rPr>
          <w:rFonts w:ascii="MS PGothic" w:cs="MS PGothic" w:eastAsia="MS PGothic" w:hAnsi="MS PGothic"/>
          <w:sz w:val="16"/>
          <w:szCs w:val="16"/>
          <w:color w:val="auto"/>
        </w:rPr>
        <w:t>‑</w:t>
      </w:r>
      <w:r>
        <w:rPr>
          <w:rFonts w:ascii="Arial" w:cs="Arial" w:eastAsia="Arial" w:hAnsi="Arial"/>
          <w:sz w:val="16"/>
          <w:szCs w:val="16"/>
          <w:color w:val="auto"/>
        </w:rPr>
        <w:t>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to the Cpf1 Patent Rights for all other purposes, subject to certain limitations and retained rights. The Company is obligated to use commercially reasonable efforts to research, develop, and commercialize products in the Cpf1 Exclusive Field. The Company is also required to achieve certain development milestones within specified time periods for products covered by the Cpf1 Patent Rights, with Broad having the right to terminate the Cpf1 License Agreement if the Company fails to achieve these milestones within the required time periods.</w:t>
      </w:r>
    </w:p>
    <w:p>
      <w:pPr>
        <w:spacing w:after="0" w:line="166"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Broad and Wageningen are collectively entitled to receive clinical and regulatory milestone payments totaling up to $20.0 million in the aggregate per licensed product approved in the United States, European Union, and Japan for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181" w:lineRule="exact"/>
        <w:rPr>
          <w:sz w:val="20"/>
          <w:szCs w:val="20"/>
          <w:color w:val="auto"/>
        </w:rPr>
      </w:pPr>
      <w:r>
        <w:rPr>
          <w:rFonts w:ascii="Arial" w:cs="Arial" w:eastAsia="Arial" w:hAnsi="Arial"/>
          <w:sz w:val="16"/>
          <w:szCs w:val="16"/>
          <w:color w:val="auto"/>
        </w:rPr>
        <w:t>the prevention or treatment of a human disease that afflicts at least a specified number of patients in the aggregate in the United States. The Company is also obligated to make additional payments to Broad and Wageningen, collectively, of up to an aggregate of $54.0 million upon the occurrence of certain sales milestones per licensed product for the prevention or treatment of a human disease that afflicts at least a specified number of patients in the aggregate in the United States. Broad and Wageningen are collectively entitled to receive clinical and regulatory milestone payments totaling up to $6.0 million in the aggregate per licensed product approved in the United States, European Union and Japan for the prevention or treatment of a human disease that afflicts fewer than a specified number of patients in the aggregate in the United States or a specified number of patients per year in the United States (an “Ultra</w:t>
      </w:r>
      <w:r>
        <w:rPr>
          <w:rFonts w:ascii="MS PGothic" w:cs="MS PGothic" w:eastAsia="MS PGothic" w:hAnsi="MS PGothic"/>
          <w:sz w:val="16"/>
          <w:szCs w:val="16"/>
          <w:color w:val="auto"/>
        </w:rPr>
        <w:t>‑</w:t>
      </w:r>
      <w:r>
        <w:rPr>
          <w:rFonts w:ascii="Arial" w:cs="Arial" w:eastAsia="Arial" w:hAnsi="Arial"/>
          <w:sz w:val="16"/>
          <w:szCs w:val="16"/>
          <w:color w:val="auto"/>
        </w:rPr>
        <w:t>Orphan Disease”). The Company is also obligated to make additional payments to Broad and Wageningen, collectively, of up to an aggregate of $36.0 million upon the occurrence of certain sales milestones per licensed product for the prevention or treatment of an Ultra</w:t>
      </w:r>
      <w:r>
        <w:rPr>
          <w:rFonts w:ascii="MS PGothic" w:cs="MS PGothic" w:eastAsia="MS PGothic" w:hAnsi="MS PGothic"/>
          <w:sz w:val="16"/>
          <w:szCs w:val="16"/>
          <w:color w:val="auto"/>
        </w:rPr>
        <w:t>‑</w:t>
      </w:r>
      <w:r>
        <w:rPr>
          <w:rFonts w:ascii="Arial" w:cs="Arial" w:eastAsia="Arial" w:hAnsi="Arial"/>
          <w:sz w:val="16"/>
          <w:szCs w:val="16"/>
          <w:color w:val="auto"/>
        </w:rPr>
        <w:t>Orphan Disease.</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Broad and Wageningen, collectively, are entitled to receive, on a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and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mid single</w:t>
      </w:r>
      <w:r>
        <w:rPr>
          <w:rFonts w:ascii="MS PGothic" w:cs="MS PGothic" w:eastAsia="MS PGothic" w:hAnsi="MS PGothic"/>
          <w:sz w:val="17"/>
          <w:szCs w:val="17"/>
          <w:color w:val="auto"/>
        </w:rPr>
        <w:t>‑</w:t>
      </w:r>
      <w:r>
        <w:rPr>
          <w:rFonts w:ascii="Arial" w:cs="Arial" w:eastAsia="Arial" w:hAnsi="Arial"/>
          <w:sz w:val="17"/>
          <w:szCs w:val="17"/>
          <w:color w:val="auto"/>
        </w:rPr>
        <w:t>digit percentage royalty on net sales of licensed products for the prevention or treatment of human disease, and royalties on net sales of other licensed products and licensed services, made by the Company, its affiliates, or its sublicensees. The royalty percentage depends on the product and service, and whether such licensed product or licensed service is covered by a valid claim within the Cpf1 Patent Rights. If the Company is legally required to pay royalties to a third party on net sales of the Company’s products because such third party holds patent rights that cover such licensed product, then the Company can credit up to a specified percentage of the amount paid to such third party against the royalties due to Broad and Wageningen in the same period. Such credit may not exceed 50% of the applicable royalties paid by the Company to the applicable third party. The Company’s obligation to pay royalties will expire on a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and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upon the later of the expiration of the last to expire valid claim of the Cpf1 Patent Rights that covers each licensed product or service in each country or the tenth anniversary of the date of the first commercial sale of the licensed product or licensed service. If the Company sublicenses any of the Cpf1 Patent Rights to a third party, Broad and Wageningen, collectively, have the right to receive sublicense income, depending on the stage of development of the products or services in question at the time of the sublicense.</w:t>
      </w:r>
    </w:p>
    <w:p>
      <w:pPr>
        <w:spacing w:after="0" w:line="165"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Under the Cpf1 License Agreement, Broad and Wageningen are also entitled, collectively, to receive success payments in the event the Company’s market capitalization reaches specified thresholds (the “Cpf1 Market Cap Success Payments”) or a Company sale for consideration in excess of those thresholds (the “Cpf1 Company Sale Success Payments” and, collectively with the Cpf1 Market Cap Success Payments, the “Cpf1 Success Payments”). The Cpf1 Success Payments payable to Broad and Wageningen are triggered when the Company’s market capitalization reaches certain amounts ranging from $750.0 million to $10.0 billion for a specified period of time, and collectively the Cpf1 Success Payments will not exceed, in aggregate, $125.0 million, which maximum amount would be payable only if the Company reaches a market capitalization threshold of $10.0 billion and has at least one product candidate covered by a claim of a patent right licensed to the Company under either the Cpf1 License Agreement or the Cas9</w:t>
      </w:r>
      <w:r>
        <w:rPr>
          <w:rFonts w:ascii="MS PGothic" w:cs="MS PGothic" w:eastAsia="MS PGothic" w:hAnsi="MS PGothic"/>
          <w:sz w:val="16"/>
          <w:szCs w:val="16"/>
          <w:color w:val="auto"/>
        </w:rPr>
        <w:t>‑</w:t>
      </w:r>
      <w:r>
        <w:rPr>
          <w:rFonts w:ascii="Arial" w:cs="Arial" w:eastAsia="Arial" w:hAnsi="Arial"/>
          <w:sz w:val="16"/>
          <w:szCs w:val="16"/>
          <w:color w:val="auto"/>
        </w:rPr>
        <w:t>I License Agreement that is or was the subject of a clinical trial pursuant to development efforts by the Company or any Company affiliate or sublicensee. The Cpf1 Market Cap Success Payments are payable by the Company in cash or in the form of promissory notes on substantially the same terms and conditions as the Initial Notes, as described more fully in Note 7, except that the maturity date of such notes will, subject to certain exceptions, be 150 days following issuance. Following a change in control of the Company, Cpf1 Market Cap Success Payments are required to be made in cash. Cpf1 Company Sale Success Payments are payable solely in cash. The Company triggered the first and second Cpf1 Success Payments during 2017 when the Company’s market capitalization reached $750 million and $1.0 billion, respectively, as described more fully in Note 7.</w:t>
      </w:r>
    </w:p>
    <w:p>
      <w:pPr>
        <w:spacing w:after="0" w:line="167"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Unless terminated earlier, the term of the Cpf1 License Agreement will expire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upon the expiration of the last to expire valid claim of the Cpf1 Patent Rights in such country. The Company has the right to terminate the Cpf1 License Agreement at will upon four months’ written notice to Broad. Either party may terminate the Cpf1 License Agreement upon a specified period of notice in the event of the other party’s uncured material breach of a material obligation, such notice period varying depending on the nature of the breach. Broad may terminate the Cpf1 License Agreement immediately if the Company challenges the enforceability, validity, or scope of any Cpf1 Patent Right or assist a third party to do so, or in the event of the Company’s bankruptcy or insolvency.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Amendment and Restatement of Cas9-I License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In December 2016, the Company amended and restated the Cas9</w:t>
      </w:r>
      <w:r>
        <w:rPr>
          <w:rFonts w:ascii="MS PGothic" w:cs="MS PGothic" w:eastAsia="MS PGothic" w:hAnsi="MS PGothic"/>
          <w:sz w:val="16"/>
          <w:szCs w:val="16"/>
          <w:color w:val="auto"/>
        </w:rPr>
        <w:t>‑</w:t>
      </w:r>
      <w:r>
        <w:rPr>
          <w:rFonts w:ascii="Arial" w:cs="Arial" w:eastAsia="Arial" w:hAnsi="Arial"/>
          <w:sz w:val="16"/>
          <w:szCs w:val="16"/>
          <w:color w:val="auto"/>
        </w:rPr>
        <w:t>I License Agreement (such agreement, as amended, the “Amended and Restated Cas9-I License Agreement”) to exclude additional fields from the scope of the exclusive license previously granted to the Company, to make the exclusive license to three targets become non</w:t>
      </w:r>
      <w:r>
        <w:rPr>
          <w:rFonts w:ascii="MS PGothic" w:cs="MS PGothic" w:eastAsia="MS PGothic" w:hAnsi="MS PGothic"/>
          <w:sz w:val="16"/>
          <w:szCs w:val="16"/>
          <w:color w:val="auto"/>
        </w:rPr>
        <w:t>‑</w:t>
      </w:r>
      <w:r>
        <w:rPr>
          <w:rFonts w:ascii="Arial" w:cs="Arial" w:eastAsia="Arial" w:hAnsi="Arial"/>
          <w:sz w:val="16"/>
          <w:szCs w:val="16"/>
          <w:color w:val="auto"/>
        </w:rPr>
        <w:t>exclusive, subject to the limitation that each of Broad and Harvard would only be permitted to grant a license to only one third party at a time with respect to each such target within the field of the exclusive license, and to revise certain provisions relating to the rights of Harvard and Broad to grant further licenses under specified circumstances to third parties that wish to develop and commercialize products that target a particular gene and that otherwise would fall within the scope of the exclusive license under this agreement, so that Harvard and Broad together would have rights substantially similar to the equivalent rights possessed by Broad under the Cpf1 License Agreement to designate gene targets for which the designating institution, whether alone or together with an affiliate or third party, has an interest in researching and developing products that would otherwise be covered by rights licensed by Harvard and/or Broad to the Company under this agreement, the Cpf1 License Agreement or the Cas9</w:t>
      </w:r>
      <w:r>
        <w:rPr>
          <w:rFonts w:ascii="MS PGothic" w:cs="MS PGothic" w:eastAsia="MS PGothic" w:hAnsi="MS PGothic"/>
          <w:sz w:val="16"/>
          <w:szCs w:val="16"/>
          <w:color w:val="auto"/>
        </w:rPr>
        <w:t>‑</w:t>
      </w:r>
      <w:r>
        <w:rPr>
          <w:rFonts w:ascii="Arial" w:cs="Arial" w:eastAsia="Arial" w:hAnsi="Arial"/>
          <w:sz w:val="16"/>
          <w:szCs w:val="16"/>
          <w:color w:val="auto"/>
        </w:rPr>
        <w:t>II Agreement. In March 2017, the Company and Harvard and Broad further amended the Amended and Restated Cas9-I License Agreement to (i) grant an exclusive license from Broad to the Company with respect to certain patent rights that The Rockefeller University (“Rockefeller”) has or may have rights in and to and for which Rockefeller has, under a certain inter-institutional agreement that Broad and Rockefeller entered into in February 2017, appointed Broad as sole and exclusive agent for the purposes of licensing and (ii) provide to Rockefeller certain rights, including with respect to patent enforcement, indemnification, insurance, confidentiality, reservation of certain rights, and publicity, that are generally consistent with those granted to Broad, Harvard, MIT and the Howard Hughes Medical Institute under the Amended and Restated Cas9-I License Agreement.</w:t>
      </w:r>
    </w:p>
    <w:p>
      <w:pPr>
        <w:spacing w:after="0" w:line="240"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Cas9</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II License Agreement</w:t>
      </w:r>
    </w:p>
    <w:p>
      <w:pPr>
        <w:spacing w:after="0" w:line="144" w:lineRule="exact"/>
        <w:rPr>
          <w:sz w:val="20"/>
          <w:szCs w:val="20"/>
          <w:color w:val="auto"/>
        </w:rPr>
      </w:pPr>
    </w:p>
    <w:p>
      <w:pPr>
        <w:ind w:right="20" w:firstLine="648"/>
        <w:spacing w:after="0" w:line="178" w:lineRule="exact"/>
        <w:rPr>
          <w:sz w:val="20"/>
          <w:szCs w:val="20"/>
          <w:color w:val="auto"/>
        </w:rPr>
      </w:pPr>
      <w:r>
        <w:rPr>
          <w:rFonts w:ascii="Arial" w:cs="Arial" w:eastAsia="Arial" w:hAnsi="Arial"/>
          <w:sz w:val="16"/>
          <w:szCs w:val="16"/>
          <w:color w:val="auto"/>
        </w:rPr>
        <w:t>Pursuant to the Cas9</w:t>
      </w:r>
      <w:r>
        <w:rPr>
          <w:rFonts w:ascii="MS PGothic" w:cs="MS PGothic" w:eastAsia="MS PGothic" w:hAnsi="MS PGothic"/>
          <w:sz w:val="16"/>
          <w:szCs w:val="16"/>
          <w:color w:val="auto"/>
        </w:rPr>
        <w:t>‑</w:t>
      </w:r>
      <w:r>
        <w:rPr>
          <w:rFonts w:ascii="Arial" w:cs="Arial" w:eastAsia="Arial" w:hAnsi="Arial"/>
          <w:sz w:val="16"/>
          <w:szCs w:val="16"/>
          <w:color w:val="auto"/>
        </w:rPr>
        <w:t>II License Agreement, Broad, on behalf of itself, MIT, Harvard, and the University of Iowa Research Foundation, granted the Company an exclusive, worldwide, royalty bearing sublicensable license to certain of the Cas9</w:t>
      </w:r>
      <w:r>
        <w:rPr>
          <w:rFonts w:ascii="MS PGothic" w:cs="MS PGothic" w:eastAsia="MS PGothic" w:hAnsi="MS PGothic"/>
          <w:sz w:val="16"/>
          <w:szCs w:val="16"/>
          <w:color w:val="auto"/>
        </w:rPr>
        <w:t>‑</w:t>
      </w:r>
      <w:r>
        <w:rPr>
          <w:rFonts w:ascii="Arial" w:cs="Arial" w:eastAsia="Arial" w:hAnsi="Arial"/>
          <w:sz w:val="16"/>
          <w:szCs w:val="16"/>
          <w:color w:val="auto"/>
        </w:rPr>
        <w:t>II Patent Rights as well as a non</w:t>
      </w:r>
      <w:r>
        <w:rPr>
          <w:rFonts w:ascii="MS PGothic" w:cs="MS PGothic" w:eastAsia="MS PGothic" w:hAnsi="MS PGothic"/>
          <w:sz w:val="16"/>
          <w:szCs w:val="16"/>
          <w:color w:val="auto"/>
        </w:rPr>
        <w:t>‑</w:t>
      </w:r>
      <w:r>
        <w:rPr>
          <w:rFonts w:ascii="Arial" w:cs="Arial" w:eastAsia="Arial" w:hAnsi="Arial"/>
          <w:sz w:val="16"/>
          <w:szCs w:val="16"/>
          <w:color w:val="auto"/>
        </w:rPr>
        <w:t>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to all of the Cas9</w:t>
      </w:r>
      <w:r>
        <w:rPr>
          <w:rFonts w:ascii="MS PGothic" w:cs="MS PGothic" w:eastAsia="MS PGothic" w:hAnsi="MS PGothic"/>
          <w:sz w:val="16"/>
          <w:szCs w:val="16"/>
          <w:color w:val="auto"/>
        </w:rPr>
        <w:t>‑</w:t>
      </w:r>
      <w:r>
        <w:rPr>
          <w:rFonts w:ascii="Arial" w:cs="Arial" w:eastAsia="Arial" w:hAnsi="Arial"/>
          <w:sz w:val="16"/>
          <w:szCs w:val="16"/>
          <w:color w:val="auto"/>
        </w:rPr>
        <w:t>II Patent Rights, in each case on terms substantially similar to the licenses granted to the Company under the Cpf1 License Agreement except, among other things, for the following commitment amounts. Under the Cas9</w:t>
      </w:r>
      <w:r>
        <w:rPr>
          <w:rFonts w:ascii="MS PGothic" w:cs="MS PGothic" w:eastAsia="MS PGothic" w:hAnsi="MS PGothic"/>
          <w:sz w:val="16"/>
          <w:szCs w:val="16"/>
          <w:color w:val="auto"/>
        </w:rPr>
        <w:t>‑</w:t>
      </w:r>
      <w:r>
        <w:rPr>
          <w:rFonts w:ascii="Arial" w:cs="Arial" w:eastAsia="Arial" w:hAnsi="Arial"/>
          <w:sz w:val="16"/>
          <w:szCs w:val="16"/>
          <w:color w:val="auto"/>
        </w:rPr>
        <w:t>II License Agreement, the Company will pay an upfront license fee in a low seven digit dollar amount and will have to pay an annual license maintenance fee. The Company is obligated to pay clinical and regulatory milestone payments per licensed product approved in the United States, European Union and Japan for the prevention or treatment of a human disease that afflicts at least a specified number of patients in the aggregate in the United States totaling up to $3.7 million in the aggregate, and sales milestone payments for any such licensed product totaling up to $13.5 million in the aggregate. In addition, the Company is obligated to pay clinical and regulatory milestone payments totaling up to $1.1 million in the aggregate per licensed product approved in the United States and the European Union or Japan for the prevention or treatment of a human disease that afflicts fewer than a specified number of patients in the United States, plus sales milestone payments of up to $9.0 million for any such licensed product. Consistent with the Cpf1 License Agreement, the licensors are entitled to royalties on net sales of products for the prevention or treatment of human disease and other products and services made by the Company, its affiliates, or its sublicensees. Royalties due under other license agreements are creditable against these royalties up to a specified amount in the same period. Lastly, Broad is entitled to receive success payments if the Company’s market capitalization reaches specified thresholds ascending from $1.0 billion to $9.0 billion or upon a sale of the Company for consideration in excess of those thresholds. The potential success payments range from a low seven digit dollar amount to a low eight digit dollar amount and will not exceed, in aggregate, $30.0 million, which maximum amount would be owed only if the Company reaches a market capitalization threshold of $9.0 billion and has at least one product candidate covered by a claim of a patent right licensed to the Company under either the Cas9-I License Agreement or the Cas9-II License Agreement that is or was the subject of a clinical trial pursuant to development efforts by the Company or any Company affiliate or sublicensee. The Company triggered the first Success Payment under the Cas9-II Agreement during the fourth quarter of 2017 when the Company’s market capitalization reached $1.0 billion, which the Company settled in January 2018, as more fully described in Note 7.</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48" w:lineRule="exact"/>
        <w:rPr>
          <w:sz w:val="20"/>
          <w:szCs w:val="20"/>
          <w:color w:val="auto"/>
        </w:rPr>
      </w:pPr>
    </w:p>
    <w:p>
      <w:pPr>
        <w:ind w:right="640" w:firstLine="648"/>
        <w:spacing w:after="0" w:line="203" w:lineRule="exact"/>
        <w:rPr>
          <w:sz w:val="20"/>
          <w:szCs w:val="20"/>
          <w:color w:val="auto"/>
        </w:rPr>
      </w:pPr>
      <w:r>
        <w:rPr>
          <w:rFonts w:ascii="Arial" w:cs="Arial" w:eastAsia="Arial" w:hAnsi="Arial"/>
          <w:sz w:val="18"/>
          <w:szCs w:val="18"/>
          <w:color w:val="auto"/>
        </w:rPr>
        <w:t>Total compensation cost recognized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in the condensed consolidated statements of operations was as follows (in thousands):</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02"/>
        </w:trPr>
        <w:tc>
          <w:tcPr>
            <w:tcW w:w="5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3"/>
          </w:tcPr>
          <w:p>
            <w:pPr>
              <w:ind w:left="420"/>
              <w:spacing w:after="0" w:line="102" w:lineRule="exact"/>
              <w:rPr>
                <w:sz w:val="20"/>
                <w:szCs w:val="20"/>
                <w:color w:val="auto"/>
              </w:rPr>
            </w:pPr>
            <w:r>
              <w:rPr>
                <w:rFonts w:ascii="Arial" w:cs="Arial" w:eastAsia="Arial" w:hAnsi="Arial"/>
                <w:sz w:val="11"/>
                <w:szCs w:val="11"/>
                <w:b w:val="1"/>
                <w:bCs w:val="1"/>
                <w:color w:val="auto"/>
              </w:rPr>
              <w:t>March 31,</w:t>
            </w:r>
          </w:p>
        </w:tc>
        <w:tc>
          <w:tcPr>
            <w:tcW w:w="6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62"/>
        </w:trPr>
        <w:tc>
          <w:tcPr>
            <w:tcW w:w="5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3,910</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176"/>
        </w:trPr>
        <w:tc>
          <w:tcPr>
            <w:tcW w:w="53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2,618</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176"/>
        </w:trPr>
        <w:tc>
          <w:tcPr>
            <w:tcW w:w="534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stock-compensation expense</w:t>
            </w: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6,528</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44" w:lineRule="exact"/>
        <w:rPr>
          <w:sz w:val="20"/>
          <w:szCs w:val="20"/>
          <w:color w:val="auto"/>
        </w:rPr>
      </w:pPr>
    </w:p>
    <w:p>
      <w:pPr>
        <w:ind w:right="20" w:firstLine="648"/>
        <w:spacing w:after="0" w:line="207" w:lineRule="auto"/>
        <w:rPr>
          <w:sz w:val="20"/>
          <w:szCs w:val="20"/>
          <w:color w:val="auto"/>
        </w:rPr>
      </w:pPr>
      <w:r>
        <w:rPr>
          <w:rFonts w:ascii="Arial" w:cs="Arial" w:eastAsia="Arial" w:hAnsi="Arial"/>
          <w:sz w:val="18"/>
          <w:szCs w:val="18"/>
          <w:color w:val="auto"/>
        </w:rPr>
        <w:t>From time to time, upon approval by the Company’s board of directors, certain employees and advisors have been granted restricted shares of common stock. These shares of restricted stock are subject to repurchase rights. Accordingly, the Company has recorded the proceeds from the issuance of restricted stock as a liability in the condensed consolidated balance sheets included as a liability. The restricted stock liability is reclassified into stockholders’ equity as the restricted stock vests. A summary of the status of and changes in unvested restricted stock as of December 31, 2017 and March 31, 2018 is as follows:</w:t>
      </w:r>
    </w:p>
    <w:tbl>
      <w:tblPr>
        <w:tblLayout w:type="fixed"/>
        <w:tblInd w:w="0" w:type="dxa"/>
        <w:tblCellMar>
          <w:top w:w="0" w:type="dxa"/>
          <w:left w:w="0" w:type="dxa"/>
          <w:bottom w:w="0" w:type="dxa"/>
          <w:right w:w="0" w:type="dxa"/>
        </w:tblCellMar>
      </w:tblPr>
      <w:tr>
        <w:trPr>
          <w:trHeight w:val="132"/>
        </w:trPr>
        <w:tc>
          <w:tcPr>
            <w:tcW w:w="7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8"/>
              <w:spacing w:after="0" w:line="132"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7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8"/>
              <w:spacing w:after="0" w:line="135"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35"/>
        </w:trPr>
        <w:tc>
          <w:tcPr>
            <w:tcW w:w="7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35"/>
        </w:trPr>
        <w:tc>
          <w:tcPr>
            <w:tcW w:w="7060" w:type="dxa"/>
            <w:vAlign w:val="bottom"/>
          </w:tcPr>
          <w:p>
            <w:pPr>
              <w:spacing w:after="0"/>
              <w:rPr>
                <w:sz w:val="11"/>
                <w:szCs w:val="1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740" w:type="dxa"/>
            <w:vAlign w:val="bottom"/>
          </w:tcPr>
          <w:p>
            <w:pPr>
              <w:jc w:val="center"/>
              <w:ind w:right="18"/>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69"/>
        </w:trPr>
        <w:tc>
          <w:tcPr>
            <w:tcW w:w="70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Unvested Restricted Common Stock as of December 31, 2017</w:t>
            </w:r>
          </w:p>
        </w:tc>
        <w:tc>
          <w:tcPr>
            <w:tcW w:w="10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513,225</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176"/>
        </w:trPr>
        <w:tc>
          <w:tcPr>
            <w:tcW w:w="7060" w:type="dxa"/>
            <w:vAlign w:val="bottom"/>
          </w:tcPr>
          <w:p>
            <w:pPr>
              <w:spacing w:after="0" w:line="176" w:lineRule="exact"/>
              <w:rPr>
                <w:sz w:val="20"/>
                <w:szCs w:val="20"/>
                <w:color w:val="auto"/>
              </w:rPr>
            </w:pPr>
            <w:r>
              <w:rPr>
                <w:rFonts w:ascii="Arial" w:cs="Arial" w:eastAsia="Arial" w:hAnsi="Arial"/>
                <w:sz w:val="18"/>
                <w:szCs w:val="18"/>
                <w:color w:val="auto"/>
              </w:rPr>
              <w:t>Issued</w:t>
            </w: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(104,025)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176"/>
        </w:trPr>
        <w:tc>
          <w:tcPr>
            <w:tcW w:w="7060" w:type="dxa"/>
            <w:vAlign w:val="bottom"/>
          </w:tcPr>
          <w:p>
            <w:pPr>
              <w:spacing w:after="0" w:line="176"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0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Unvested Restricted Common Stock as of March 31, 2018</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409,200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8"/>
          <w:szCs w:val="18"/>
          <w:color w:val="auto"/>
        </w:rPr>
        <w:t>For the three months ended March 31, 2018, the expense for restricted stock awards related to non</w:t>
      </w:r>
      <w:r>
        <w:rPr>
          <w:rFonts w:ascii="MS PGothic" w:cs="MS PGothic" w:eastAsia="MS PGothic" w:hAnsi="MS PGothic"/>
          <w:sz w:val="18"/>
          <w:szCs w:val="18"/>
          <w:color w:val="auto"/>
        </w:rPr>
        <w:t>‑</w:t>
      </w:r>
      <w:r>
        <w:rPr>
          <w:rFonts w:ascii="Arial" w:cs="Arial" w:eastAsia="Arial" w:hAnsi="Arial"/>
          <w:sz w:val="18"/>
          <w:szCs w:val="18"/>
          <w:color w:val="auto"/>
        </w:rPr>
        <w:t>employees was $0.7 million. For the three months ended March 31, 2018, there was no expense for restricted stock awards related to employees.</w:t>
      </w:r>
    </w:p>
    <w:p>
      <w:pPr>
        <w:spacing w:after="0" w:line="123"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8"/>
          <w:szCs w:val="18"/>
          <w:color w:val="auto"/>
        </w:rPr>
        <w:t>As of March 31, 2018, the Company had no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its employee unvested restricted stock awards and $10.5 million in unrecognized stock-based compensation expense related to its non-employee unvested restricted stock awards.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144"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Certain of the Company’s stock option agreements allow for the exercise of unvested awards. During 2014, options to purchase 75,304 shares of common stock for $0.03 per share were exercised prior to their vesting. The unvested shares are subject to repurchase by the Company if the employees cease to provide service to the Company, with or without cause. As such, the Company does not treat the exercise of unvested options as a substantive exercise. The Company has recorded the proceeds from the exercise of unvested stock options as a liability in the condensed consolidated balance sheets. The liability for unvested common stock subject to repurchase is reclassified into stockholders’ equity as the shares vest.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stock option activity for the three months ended March 31, 2018: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Remaining</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Contractual Life (years)</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169"/>
        </w:trPr>
        <w:tc>
          <w:tcPr>
            <w:tcW w:w="36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Outstanding at December 31, 2017</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4,372,136</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17.28</w:t>
            </w:r>
          </w:p>
        </w:tc>
        <w:tc>
          <w:tcPr>
            <w:tcW w:w="16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8.5</w:t>
            </w: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60,591</w:t>
            </w:r>
          </w:p>
        </w:tc>
        <w:tc>
          <w:tcPr>
            <w:tcW w:w="0" w:type="dxa"/>
            <w:vAlign w:val="bottom"/>
          </w:tcPr>
          <w:p>
            <w:pPr>
              <w:spacing w:after="0"/>
              <w:rPr>
                <w:sz w:val="1"/>
                <w:szCs w:val="1"/>
                <w:color w:val="auto"/>
              </w:rPr>
            </w:pPr>
          </w:p>
        </w:tc>
      </w:tr>
      <w:tr>
        <w:trPr>
          <w:trHeight w:val="176"/>
        </w:trPr>
        <w:tc>
          <w:tcPr>
            <w:tcW w:w="368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1,469,881</w:t>
            </w:r>
          </w:p>
        </w:tc>
        <w:tc>
          <w:tcPr>
            <w:tcW w:w="80" w:type="dxa"/>
            <w:vAlign w:val="bottom"/>
          </w:tcPr>
          <w:p>
            <w:pPr>
              <w:spacing w:after="0"/>
              <w:rPr>
                <w:sz w:val="15"/>
                <w:szCs w:val="15"/>
                <w:color w:val="auto"/>
              </w:rPr>
            </w:pP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36.48</w:t>
            </w:r>
          </w:p>
        </w:tc>
        <w:tc>
          <w:tcPr>
            <w:tcW w:w="160" w:type="dxa"/>
            <w:vAlign w:val="bottom"/>
          </w:tcPr>
          <w:p>
            <w:pPr>
              <w:spacing w:after="0"/>
              <w:rPr>
                <w:sz w:val="15"/>
                <w:szCs w:val="15"/>
                <w:color w:val="auto"/>
              </w:rPr>
            </w:pPr>
          </w:p>
        </w:tc>
        <w:tc>
          <w:tcPr>
            <w:tcW w:w="17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(308,497)</w:t>
            </w:r>
          </w:p>
        </w:tc>
        <w:tc>
          <w:tcPr>
            <w:tcW w:w="2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14.17</w:t>
            </w:r>
          </w:p>
        </w:tc>
        <w:tc>
          <w:tcPr>
            <w:tcW w:w="16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80" w:type="dxa"/>
            <w:vAlign w:val="bottom"/>
          </w:tcPr>
          <w:p>
            <w:pPr>
              <w:ind w:left="220"/>
              <w:spacing w:after="0" w:line="176" w:lineRule="exact"/>
              <w:rPr>
                <w:sz w:val="20"/>
                <w:szCs w:val="20"/>
                <w:color w:val="auto"/>
              </w:rPr>
            </w:pPr>
            <w:r>
              <w:rPr>
                <w:rFonts w:ascii="Arial" w:cs="Arial" w:eastAsia="Arial" w:hAnsi="Arial"/>
                <w:sz w:val="18"/>
                <w:szCs w:val="18"/>
                <w:color w:val="auto"/>
              </w:rPr>
              <w:t>Cancelled</w:t>
            </w:r>
          </w:p>
        </w:tc>
        <w:tc>
          <w:tcPr>
            <w:tcW w:w="98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(229,945)</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21.54</w:t>
            </w:r>
          </w:p>
        </w:tc>
        <w:tc>
          <w:tcPr>
            <w:tcW w:w="160" w:type="dxa"/>
            <w:vAlign w:val="bottom"/>
          </w:tcPr>
          <w:p>
            <w:pPr>
              <w:spacing w:after="0"/>
              <w:rPr>
                <w:sz w:val="15"/>
                <w:szCs w:val="15"/>
                <w:color w:val="auto"/>
              </w:rPr>
            </w:pPr>
          </w:p>
        </w:tc>
        <w:tc>
          <w:tcPr>
            <w:tcW w:w="17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6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Outstanding at March 31, 2018</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5,303,575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22.61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5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61,944</w:t>
            </w:r>
          </w:p>
        </w:tc>
        <w:tc>
          <w:tcPr>
            <w:tcW w:w="0" w:type="dxa"/>
            <w:vAlign w:val="bottom"/>
          </w:tcPr>
          <w:p>
            <w:pPr>
              <w:spacing w:after="0"/>
              <w:rPr>
                <w:sz w:val="1"/>
                <w:szCs w:val="1"/>
                <w:color w:val="auto"/>
              </w:rPr>
            </w:pPr>
          </w:p>
        </w:tc>
      </w:tr>
      <w:tr>
        <w:trPr>
          <w:trHeight w:val="170"/>
        </w:trPr>
        <w:tc>
          <w:tcPr>
            <w:tcW w:w="368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w w:val="97"/>
              </w:rPr>
              <w:t>Vested and expected to vest at March 31, 2018</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5,303,575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gridSpan w:val="2"/>
          </w:tcPr>
          <w:p>
            <w:pPr>
              <w:jc w:val="right"/>
              <w:spacing w:after="0" w:line="16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22.61</w:t>
            </w:r>
          </w:p>
        </w:tc>
        <w:tc>
          <w:tcPr>
            <w:tcW w:w="1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61,944</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Exercisable at March 31, 2018</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1,553,297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15.83</w:t>
            </w:r>
          </w:p>
        </w:tc>
        <w:tc>
          <w:tcPr>
            <w:tcW w:w="1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27,662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20" w:firstLine="648"/>
        <w:spacing w:after="0" w:line="219" w:lineRule="auto"/>
        <w:rPr>
          <w:sz w:val="20"/>
          <w:szCs w:val="20"/>
          <w:color w:val="auto"/>
        </w:rPr>
      </w:pPr>
      <w:r>
        <w:rPr>
          <w:rFonts w:ascii="Arial" w:cs="Arial" w:eastAsia="Arial" w:hAnsi="Arial"/>
          <w:sz w:val="18"/>
          <w:szCs w:val="18"/>
          <w:color w:val="auto"/>
        </w:rPr>
        <w:t>The table above reflects restricted stock issued upon exercise of unvested stock options as exercised on the dates that the shares are no longer subject to repurchase. The Company had 281 and 4,572 shares of unvested restricted common stock outstanding at March 31, 2018 and December 31, 2017, respectively, resulting from the exercise of unvested stock options.</w:t>
      </w:r>
    </w:p>
    <w:p>
      <w:pPr>
        <w:spacing w:after="0" w:line="122" w:lineRule="exact"/>
        <w:rPr>
          <w:sz w:val="20"/>
          <w:szCs w:val="20"/>
          <w:color w:val="auto"/>
        </w:rPr>
      </w:pPr>
    </w:p>
    <w:p>
      <w:pPr>
        <w:jc w:val="both"/>
        <w:ind w:right="60" w:firstLine="648"/>
        <w:spacing w:after="0" w:line="189" w:lineRule="exact"/>
        <w:rPr>
          <w:sz w:val="20"/>
          <w:szCs w:val="20"/>
          <w:color w:val="auto"/>
        </w:rPr>
      </w:pPr>
      <w:r>
        <w:rPr>
          <w:rFonts w:ascii="Arial" w:cs="Arial" w:eastAsia="Arial" w:hAnsi="Arial"/>
          <w:sz w:val="18"/>
          <w:szCs w:val="18"/>
          <w:color w:val="auto"/>
        </w:rPr>
        <w:t>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weighted average fair value of options granted to employees and directors during the three months ended March 31, 2018 and 2017 was $25.82 and $16.73, respectively. The expense related to options granted to employees and directors was $4.6 million and $3.1 million for the three months ended March 31, 2018 and 2017, respectively.</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of each option issued to employees and directors was estimated at the date of grant using the</w:t>
      </w:r>
    </w:p>
    <w:p>
      <w:pPr>
        <w:spacing w:after="0" w:line="207" w:lineRule="exact"/>
        <w:rPr>
          <w:sz w:val="20"/>
          <w:szCs w:val="20"/>
          <w:color w:val="auto"/>
        </w:rPr>
      </w:pPr>
      <w:r>
        <w:rPr>
          <w:rFonts w:ascii="Arial" w:cs="Arial" w:eastAsia="Arial" w:hAnsi="Arial"/>
          <w:sz w:val="18"/>
          <w:szCs w:val="18"/>
          <w:color w:val="auto"/>
        </w:rPr>
        <w:t>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with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520" w:type="dxa"/>
            <w:vAlign w:val="bottom"/>
            <w:gridSpan w:val="5"/>
          </w:tcPr>
          <w:p>
            <w:pPr>
              <w:jc w:val="center"/>
              <w:ind w:left="196"/>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440" w:type="dxa"/>
            <w:vAlign w:val="bottom"/>
          </w:tcPr>
          <w:p>
            <w:pPr>
              <w:spacing w:after="0"/>
              <w:rPr>
                <w:sz w:val="16"/>
                <w:szCs w:val="16"/>
                <w:color w:val="auto"/>
              </w:rPr>
            </w:pPr>
          </w:p>
        </w:tc>
        <w:tc>
          <w:tcPr>
            <w:tcW w:w="9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March 31,</w:t>
            </w:r>
          </w:p>
        </w:tc>
        <w:tc>
          <w:tcPr>
            <w:tcW w:w="6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4440" w:type="dxa"/>
            <w:vAlign w:val="bottom"/>
            <w:tcBorders>
              <w:bottom w:val="single" w:sz="8" w:color="CCEEFF"/>
            </w:tcBorders>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4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Risk free interest rate</w:t>
            </w: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44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6.25</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6.25</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right="100" w:firstLine="648"/>
        <w:spacing w:after="0" w:line="189" w:lineRule="exact"/>
        <w:rPr>
          <w:sz w:val="20"/>
          <w:szCs w:val="20"/>
          <w:color w:val="auto"/>
        </w:rPr>
      </w:pPr>
      <w:r>
        <w:rPr>
          <w:rFonts w:ascii="Arial" w:cs="Arial" w:eastAsia="Arial" w:hAnsi="Arial"/>
          <w:sz w:val="18"/>
          <w:szCs w:val="18"/>
          <w:color w:val="auto"/>
        </w:rPr>
        <w:t>There were no options issued to persons other than employees and directors during the three months ended March 31, 2018. As of March 31, 2018, the Company had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its employee stock options of $63.5 million which the Company expects to recognize over the remaining weighted average vesting period of 2.86 years.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48"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Basic net loss per common share is calculated by dividing the net loss attributable to common stockholders by the weighted average number of common shares outstanding during the period, without consideration for potentially dilutive securities. Diluted net loss per share is computed by dividing the net loss attributable to common stockholders by the weighted average number of common shares and potentially dilutive securities outstanding for the period determined using the treasury stock and if converted methods. Contingently issuable shares are included in the calculation of basic loss per share as of the beginning of the period in which all the necessary conditions have been satisfied. Contingently issuable shares are included in diluted loss per share based on the number of shares, if any, that would be issuable under the terms of the arrangement if the end of the reporting period was the end of the contingency period, if the results are dilutive.</w:t>
      </w:r>
    </w:p>
    <w:p>
      <w:pPr>
        <w:spacing w:after="0" w:line="127"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For purposes of the diluted net loss per share calculation, stock options are considered to be common stock equivalents, but they were excluded from the Company’s calculation of diluted net loss per share allocable to common stockholders because their inclusion would have been anti-dilutive. Therefore, basic and diluted net loss per share applicable to common stockholders was the same for all periods presented.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Upon the closing of the January Offering, the Company sold 1,429,205 shares of common stock. The issuance of these shares resulted in a significant increase in the Company’s weighted-average shares outstanding for the three months ended March 31, 2018 and is expected to continue to impact the year-over-year comparability of the Company’s net loss per share calculations for the next nine months.</w:t>
      </w:r>
    </w:p>
    <w:p>
      <w:pPr>
        <w:spacing w:after="0" w:line="122"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allocable to common stockholders because their inclusion would have been anti-dilutive: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As of March 31,</w:t>
            </w:r>
          </w:p>
        </w:tc>
      </w:tr>
      <w:tr>
        <w:trPr>
          <w:trHeight w:val="129"/>
        </w:trPr>
        <w:tc>
          <w:tcPr>
            <w:tcW w:w="706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2017</w:t>
            </w:r>
          </w:p>
        </w:tc>
      </w:tr>
      <w:tr>
        <w:trPr>
          <w:trHeight w:val="169"/>
        </w:trPr>
        <w:tc>
          <w:tcPr>
            <w:tcW w:w="70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Unvested restricted common stock</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409,200</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614,345</w:t>
            </w:r>
          </w:p>
        </w:tc>
      </w:tr>
      <w:tr>
        <w:trPr>
          <w:trHeight w:val="176"/>
        </w:trPr>
        <w:tc>
          <w:tcPr>
            <w:tcW w:w="7060" w:type="dxa"/>
            <w:vAlign w:val="bottom"/>
          </w:tcPr>
          <w:p>
            <w:pPr>
              <w:spacing w:after="0" w:line="176" w:lineRule="exact"/>
              <w:rPr>
                <w:sz w:val="20"/>
                <w:szCs w:val="20"/>
                <w:color w:val="auto"/>
              </w:rPr>
            </w:pPr>
            <w:r>
              <w:rPr>
                <w:rFonts w:ascii="Arial" w:cs="Arial" w:eastAsia="Arial" w:hAnsi="Arial"/>
                <w:sz w:val="18"/>
                <w:szCs w:val="18"/>
                <w:color w:val="auto"/>
              </w:rPr>
              <w:t>Outstanding stock options</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5,303,575</w:t>
            </w:r>
          </w:p>
        </w:tc>
        <w:tc>
          <w:tcPr>
            <w:tcW w:w="1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4,309,750</w:t>
            </w:r>
          </w:p>
        </w:tc>
      </w:tr>
      <w:tr>
        <w:trPr>
          <w:trHeight w:val="176"/>
        </w:trPr>
        <w:tc>
          <w:tcPr>
            <w:tcW w:w="7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Estimated number of shares issuable for convertible notes (1)</w:t>
            </w:r>
          </w:p>
        </w:tc>
        <w:tc>
          <w:tcPr>
            <w:tcW w:w="110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678,349</w:t>
            </w:r>
          </w:p>
        </w:tc>
      </w:tr>
      <w:tr>
        <w:trPr>
          <w:trHeight w:val="176"/>
        </w:trPr>
        <w:tc>
          <w:tcPr>
            <w:tcW w:w="7060" w:type="dxa"/>
            <w:vAlign w:val="bottom"/>
          </w:tcPr>
          <w:p>
            <w:pPr>
              <w:ind w:left="220"/>
              <w:spacing w:after="0" w:line="170" w:lineRule="exact"/>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5,712,775</w:t>
            </w:r>
          </w:p>
        </w:tc>
        <w:tc>
          <w:tcPr>
            <w:tcW w:w="1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5,602,444</w:t>
            </w:r>
          </w:p>
        </w:tc>
      </w:tr>
    </w:tbl>
    <w:p>
      <w:pPr>
        <w:spacing w:after="0" w:line="148" w:lineRule="exact"/>
        <w:rPr>
          <w:sz w:val="20"/>
          <w:szCs w:val="20"/>
          <w:color w:val="auto"/>
        </w:rPr>
      </w:pPr>
    </w:p>
    <w:p>
      <w:pPr>
        <w:ind w:left="980" w:right="160" w:hanging="329"/>
        <w:spacing w:after="0" w:line="216"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number of shares that would have been issued if the Company had elected to pay the Initial Notes and March Success Payment Notes, as discussed more fully in Note 7, in shares of the Company’s common stock, based on the closing price of the common stock on March 31, 2017. The number of shares issued, for purposes of this presentation, is calculated by dividing the principal of the notes payable, including accrued interest, by such closing price.</w:t>
      </w:r>
    </w:p>
    <w:p>
      <w:pPr>
        <w:spacing w:after="0" w:line="122"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The table above reflects restricted stock issued upon exercise of unvested stock options as exercised on the dates that the shares are no longer subject to repurchase.</w:t>
      </w:r>
    </w:p>
    <w:p>
      <w:pPr>
        <w:spacing w:after="0" w:line="17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11.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148"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The Company received $0.2 million in rent and facility-related fees from a related party in the three months ended March 31, 2018 in connection with the Sublease and no rent or facility-related payments were received from this related party during the three months ended March 31,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48" w:lineRule="exact"/>
        <w:rPr>
          <w:sz w:val="20"/>
          <w:szCs w:val="20"/>
          <w:color w:val="auto"/>
        </w:rPr>
      </w:pPr>
    </w:p>
    <w:p>
      <w:pPr>
        <w:jc w:val="both"/>
        <w:ind w:right="140" w:firstLine="648"/>
        <w:spacing w:after="0" w:line="224" w:lineRule="auto"/>
        <w:rPr>
          <w:sz w:val="20"/>
          <w:szCs w:val="20"/>
          <w:color w:val="auto"/>
        </w:rPr>
      </w:pPr>
      <w:r>
        <w:rPr>
          <w:rFonts w:ascii="Arial" w:cs="Arial" w:eastAsia="Arial" w:hAnsi="Arial"/>
          <w:sz w:val="18"/>
          <w:szCs w:val="18"/>
          <w:color w:val="auto"/>
        </w:rPr>
        <w:t>In May 2018, the Company entered into an amended and restated collaboration agreement with Juno Therapeutics. Such amended and restated collaboration agreement is more fully described in “Other Information” in Part II, Item 5 of this Quarterly Report on Form 10-Q.</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appearing elsewhere in this Quarterly Report on Form 10-Q and our Annual Report on Form 10-K for the year ended December 31, 2017, which was filed with the Securities and Exchange Commission (“SEC”) on March 8, 2018 (the “2017 10-K”).</w:t>
      </w:r>
    </w:p>
    <w:p>
      <w:pPr>
        <w:spacing w:after="0" w:line="122"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substantial risks and uncertainties. The words “anticipate,” “believe,” “estimate,” “expect,” “intend,” “may,” “plan,” “predict,” “project,” “would” and similar expressions are intended to identify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entitled “Risk Factors” in Part II, Item 1A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12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i w:val="1"/>
          <w:iCs w:val="1"/>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We are a leading genome editing company dedicated to developing transformative genomic medicines with the aim to treat a broad range of serious diseases. The promise of genomic medicines is supported by the advancing knowledge of the human genome, and harnessing the progress in technologies for cell therapy, gene therapy, and, most recently, genome editing. We believe this progress sets the stage for us to create unprecedented medicines with the potential to have a durable benefit for patients. At Editas Medicine, our core capability in genome editing uses the technology known as CRISPR (clustered, regularly interspaced, short palindromic repeats) with which we can create molecules that efficiently and specifically edit DNA. Our mission is to translate the promise of this science into a broad class of medicines to help people living with serious diseases around the world. To this end, we have developed a proprietary genome editing platform based on CRISPR technology and we continue to expand its capabilities. Our initial product development strategy is to primarily target genetically defined diseases with a focus on debilitating illnesses where there are poor or no approved treatments and where the genetic basis of disease is well understood. A genetically defined disease may be treated by correcting a disease causing gene, whereas a genetically treatable disease is a disease that does not necessarily have a single, disease causing gene, but which nonetheless may be treated by editing genes to ameliorate or eliminate the signs or symptoms of that disease. While our discovery efforts have ranged across several different diseases and therapeutic areas, the two areas where our programs are more mature are ocular diseases and engineered cell medicines. Our most advanced program is designed to address a specific genetic form of retinal degeneration called Leber Congenital Amaurosis type 10 (“LCA10”), a disease for which we are not aware of any available therapies and which we are aware of only one potential treatment in clinical trials in the United States and Europe. We aim to file an investigational new drug (“IND”) application by mid-2018 for our LCA10 program. As part of our long term strategy, we have developed and articulated goals for our pipeline of experimental medicines and our company that we are working to achieve by the end of 2022. These goals, which we call “EM22,” include having at least three experimental medicines in early stage clinical trials and at least two additional experimental medicines in or ready for late stage clinical trials. In addition, we aim to have a pipeline characterized by potential best-in-class medicines and to be a company with the leading genome editing platform and organizational culture.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firstLine="648"/>
        <w:spacing w:after="0" w:line="180" w:lineRule="exact"/>
        <w:rPr>
          <w:sz w:val="20"/>
          <w:szCs w:val="20"/>
          <w:color w:val="auto"/>
        </w:rPr>
      </w:pPr>
      <w:r>
        <w:rPr>
          <w:rFonts w:ascii="Arial" w:cs="Arial" w:eastAsia="Arial" w:hAnsi="Arial"/>
          <w:sz w:val="16"/>
          <w:szCs w:val="16"/>
          <w:color w:val="auto"/>
        </w:rPr>
        <w:t>In May 2015, we entered into a collaboration with Juno Therapeutics, Inc., a Celgene company that is a wholly-owned subsidiary of Celgene Corporation (“Juno Therapeutics”), a leader in the emerging field of immuno</w:t>
      </w:r>
      <w:r>
        <w:rPr>
          <w:rFonts w:ascii="MS PGothic" w:cs="MS PGothic" w:eastAsia="MS PGothic" w:hAnsi="MS PGothic"/>
          <w:sz w:val="16"/>
          <w:szCs w:val="16"/>
          <w:color w:val="auto"/>
        </w:rPr>
        <w:t>‑</w:t>
      </w:r>
      <w:r>
        <w:rPr>
          <w:rFonts w:ascii="Arial" w:cs="Arial" w:eastAsia="Arial" w:hAnsi="Arial"/>
          <w:sz w:val="16"/>
          <w:szCs w:val="16"/>
          <w:color w:val="auto"/>
        </w:rPr>
        <w:t>oncology, to develop novel engineered T cell therapies for cancer and, in March 2017, we entered into a strategic alliance and option agreement with Allergan Pharmaceuticals International Limited (“Allergan”), a wholly-owned subsidiary of Allergan plc, a leading global pharmaceutical company, to discover, develop, and commercialize new gene editing medicines for a range of ocular disorders. Since our inception in September 2013, our operations have focused on organizing and staffing our company, business planning, raising capital, establishing our intellectual property portfolio, assembling our core capabilities in genome editing, seeking to identify potential product candidates, and undertaking preclinical studies. All of our research programs are still in the preclinical or research stage of development and their risk of failure is high. We have not generated any revenue from product sales. We have funded our operations primarily through the initial public offering of our common stock (the “IPO”), follow-on public offerings of our common stock including through an at-the-market offering, private placements of our preferred stock, payments received under our collaboration with Juno Therapeutics and the upfront payment that we received under our strategic alliance with Allergan. From inception through March 31, 2018, we raised an aggregate of $594.5 million to fund our operations.</w:t>
      </w:r>
    </w:p>
    <w:p>
      <w:pPr>
        <w:spacing w:after="0" w:line="122"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Since inception, we have incurred significant operating losses. Our net losses were $30.9 million and $31.1 million for the three months ended March 31, 2018 and 2017, respectively. As of March 31, 2018, we had an accumulated deficit of $337.3 million. We expect to continue to incur significant expenses and operating losses for the foreseeable future. Our net losses may fluctuate significantly from quarter to quarter and from year to year. We anticipate that our expenses will increase substantially as we continue our current research programs and our preclinical development activities; seek to identify additional research programs and additional product candidates; initiate preclinical testing and clinical trials for any product candidates we identify and develop; maintain, expand, and protect our intellectual property portfolio, including reimbursing our licensors for such expenses related to the intellectual property that we in-license from such licensors; further develop our genome editing platform; hire additional clinical, quality control, and scientific personnel; and incur additional costs associated with operating as a public company. We do not expect to be profitable for the year ending December 31, 2018 or the foreseeable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To date, we have not generated any revenue from product sales and we do not expect to generate any revenue from product sales for the foreseeable future. In connection with entering into our collaboration with Juno Therapeutics in May 2015, we received an upfront payment of $25.0 million, and in each of May 2016 and July 2017, we received a milestone payment of $2.5 million. In addition, we will receive up to $22.0 million in research support over the five years of the collaboration and across the three programs under the collaboration, subject to adjustment in accordance with the terms of the agreement. Through March 31, 2018, we had recognized an aggregate of $12.3 million of research support from Juno Therapeutics since entering into the collaboration. During the three months ended March 31, 2018, we recognized $1.0 million of research support from Juno Therapeutics. In connection with entering into our strategic alliance with Allergan in March 2017, we received an upfront payment of $90.0 million from Allergan (such payment, the “Allergan Upfront”). During the three months ended March 31, 2018, we recognized $2.9 million in revenue in connection with the Allergan Upfront. As of March 31, 2018, we recorded $77.8 million of deferred revenue, $64.9 million of which is classified as long-term on the condensed consolidated balance sheet.</w:t>
      </w:r>
    </w:p>
    <w:p>
      <w:pPr>
        <w:spacing w:after="0" w:line="163" w:lineRule="exact"/>
        <w:rPr>
          <w:sz w:val="20"/>
          <w:szCs w:val="20"/>
          <w:color w:val="auto"/>
        </w:rPr>
      </w:pPr>
    </w:p>
    <w:p>
      <w:pPr>
        <w:jc w:val="both"/>
        <w:ind w:right="100" w:firstLine="648"/>
        <w:spacing w:after="0" w:line="238" w:lineRule="auto"/>
        <w:rPr>
          <w:sz w:val="20"/>
          <w:szCs w:val="20"/>
          <w:color w:val="auto"/>
        </w:rPr>
      </w:pPr>
      <w:r>
        <w:rPr>
          <w:rFonts w:ascii="Arial" w:cs="Arial" w:eastAsia="Arial" w:hAnsi="Arial"/>
          <w:sz w:val="17"/>
          <w:szCs w:val="17"/>
          <w:color w:val="auto"/>
        </w:rPr>
        <w:t>For the foreseeable future, we expect substantially all of our revenue will be generated from our collaboration with Juno Therapeutics, our strategic research alliance with Allergan to the extent Allergan exercises any of its options, any other collaborations or agreements we may enter into and anticipated interest income.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ind w:right="319" w:firstLine="648"/>
        <w:spacing w:after="0" w:line="235"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preclinical studies under our research programs, which include:</w:t>
      </w:r>
    </w:p>
    <w:p>
      <w:pPr>
        <w:spacing w:after="0" w:line="121" w:lineRule="exact"/>
        <w:rPr>
          <w:sz w:val="20"/>
          <w:szCs w:val="20"/>
          <w:color w:val="auto"/>
        </w:rPr>
      </w:pPr>
    </w:p>
    <w:p>
      <w:pPr>
        <w:ind w:left="980" w:hanging="329"/>
        <w:spacing w:after="0" w:line="207"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44" w:lineRule="exact"/>
        <w:rPr>
          <w:rFonts w:ascii="Arial" w:cs="Arial" w:eastAsia="Arial" w:hAnsi="Arial"/>
          <w:sz w:val="18"/>
          <w:szCs w:val="18"/>
          <w:color w:val="auto"/>
        </w:rPr>
      </w:pPr>
    </w:p>
    <w:p>
      <w:pPr>
        <w:ind w:left="980" w:right="359" w:hanging="329"/>
        <w:spacing w:after="0" w:line="23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of funding research performed by third parties that conduct research and development and preclinical activities on our behalf;</w:t>
      </w:r>
    </w:p>
    <w:p>
      <w:pPr>
        <w:spacing w:after="0" w:line="121" w:lineRule="exact"/>
        <w:rPr>
          <w:rFonts w:ascii="Arial" w:cs="Arial" w:eastAsia="Arial" w:hAnsi="Arial"/>
          <w:sz w:val="18"/>
          <w:szCs w:val="18"/>
          <w:color w:val="auto"/>
        </w:rPr>
      </w:pPr>
    </w:p>
    <w:p>
      <w:pPr>
        <w:ind w:left="980" w:right="979" w:hanging="329"/>
        <w:spacing w:after="0" w:line="203"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of purchasing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our preclinical activities and in manufacturing preclinical study materials;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consultant fees;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facility costs including rent, depreciation, and maintenance expenses; and</w:t>
      </w:r>
    </w:p>
    <w:p>
      <w:pPr>
        <w:spacing w:after="0" w:line="144" w:lineRule="exact"/>
        <w:rPr>
          <w:rFonts w:ascii="Arial" w:cs="Arial" w:eastAsia="Arial" w:hAnsi="Arial"/>
          <w:sz w:val="18"/>
          <w:szCs w:val="18"/>
          <w:color w:val="auto"/>
        </w:rPr>
      </w:pPr>
    </w:p>
    <w:p>
      <w:pPr>
        <w:ind w:left="980" w:right="779" w:hanging="329"/>
        <w:spacing w:after="0" w:line="203"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for acquiring and maintaining licenses under our third</w:t>
      </w:r>
      <w:r>
        <w:rPr>
          <w:rFonts w:ascii="MS PGothic" w:cs="MS PGothic" w:eastAsia="MS PGothic" w:hAnsi="MS PGothic"/>
          <w:sz w:val="18"/>
          <w:szCs w:val="18"/>
          <w:color w:val="auto"/>
        </w:rPr>
        <w:t>‑</w:t>
      </w:r>
      <w:r>
        <w:rPr>
          <w:rFonts w:ascii="Arial" w:cs="Arial" w:eastAsia="Arial" w:hAnsi="Arial"/>
          <w:sz w:val="18"/>
          <w:szCs w:val="18"/>
          <w:color w:val="auto"/>
        </w:rPr>
        <w:t>party licensing agreements, including any sublicensing or success payments made to our licensors.</w:t>
      </w:r>
    </w:p>
    <w:p>
      <w:pPr>
        <w:spacing w:after="0" w:line="121" w:lineRule="exact"/>
        <w:rPr>
          <w:sz w:val="20"/>
          <w:szCs w:val="20"/>
          <w:color w:val="auto"/>
        </w:rPr>
      </w:pPr>
    </w:p>
    <w:p>
      <w:pPr>
        <w:ind w:right="39" w:firstLine="648"/>
        <w:spacing w:after="0" w:line="219" w:lineRule="auto"/>
        <w:rPr>
          <w:sz w:val="20"/>
          <w:szCs w:val="20"/>
          <w:color w:val="auto"/>
        </w:rPr>
      </w:pPr>
      <w:r>
        <w:rPr>
          <w:rFonts w:ascii="Arial" w:cs="Arial" w:eastAsia="Arial" w:hAnsi="Arial"/>
          <w:sz w:val="18"/>
          <w:szCs w:val="18"/>
          <w:color w:val="auto"/>
        </w:rPr>
        <w:t>Research and development costs are expensed as incurred. At this time, we cannot reasonably estimate or know the nature, timing, and estimated costs of the efforts that will be necessary to complete the development of any product candidates we may identify and develop. This is due to the numerous risks and uncertainties associated with developing such product candidates, including the uncertainty of:</w:t>
      </w:r>
    </w:p>
    <w:p>
      <w:pPr>
        <w:spacing w:after="0" w:line="122" w:lineRule="exact"/>
        <w:rPr>
          <w:sz w:val="20"/>
          <w:szCs w:val="20"/>
          <w:color w:val="auto"/>
        </w:rPr>
      </w:pPr>
    </w:p>
    <w:p>
      <w:pPr>
        <w:ind w:left="980" w:hanging="329"/>
        <w:spacing w:after="0" w:line="207"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completion of preclinical studies, IND</w:t>
      </w:r>
      <w:r>
        <w:rPr>
          <w:rFonts w:ascii="MS PGothic" w:cs="MS PGothic" w:eastAsia="MS PGothic" w:hAnsi="MS PGothic"/>
          <w:sz w:val="18"/>
          <w:szCs w:val="18"/>
          <w:color w:val="auto"/>
        </w:rPr>
        <w:t>‑</w:t>
      </w:r>
      <w:r>
        <w:rPr>
          <w:rFonts w:ascii="Arial" w:cs="Arial" w:eastAsia="Arial" w:hAnsi="Arial"/>
          <w:sz w:val="18"/>
          <w:szCs w:val="18"/>
          <w:color w:val="auto"/>
        </w:rPr>
        <w:t>enabling studies and natural history studies;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44" w:lineRule="exact"/>
        <w:rPr>
          <w:rFonts w:ascii="Arial" w:cs="Arial" w:eastAsia="Arial" w:hAnsi="Arial"/>
          <w:sz w:val="18"/>
          <w:szCs w:val="18"/>
          <w:color w:val="auto"/>
        </w:rPr>
      </w:pPr>
    </w:p>
    <w:p>
      <w:pPr>
        <w:ind w:left="980" w:hanging="329"/>
        <w:spacing w:after="0" w:line="184" w:lineRule="exact"/>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w:t>
      </w:r>
      <w:r>
        <w:rPr>
          <w:rFonts w:ascii="MS PGothic" w:cs="MS PGothic" w:eastAsia="MS PGothic" w:hAnsi="MS PGothic"/>
          <w:sz w:val="16"/>
          <w:szCs w:val="16"/>
          <w:color w:val="auto"/>
        </w:rPr>
        <w:t>‑</w:t>
      </w:r>
      <w:r>
        <w:rPr>
          <w:rFonts w:ascii="Arial" w:cs="Arial" w:eastAsia="Arial" w:hAnsi="Arial"/>
          <w:sz w:val="16"/>
          <w:szCs w:val="16"/>
          <w:color w:val="auto"/>
        </w:rPr>
        <w:t>party manufacturers;</w:t>
      </w:r>
    </w:p>
    <w:p>
      <w:pPr>
        <w:spacing w:after="0" w:line="167" w:lineRule="exact"/>
        <w:rPr>
          <w:rFonts w:ascii="Arial" w:cs="Arial" w:eastAsia="Arial" w:hAnsi="Arial"/>
          <w:sz w:val="16"/>
          <w:szCs w:val="16"/>
          <w:color w:val="auto"/>
        </w:rPr>
      </w:pPr>
    </w:p>
    <w:p>
      <w:pPr>
        <w:ind w:left="980" w:hanging="329"/>
        <w:spacing w:after="0" w:line="207"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non</w:t>
      </w:r>
      <w:r>
        <w:rPr>
          <w:rFonts w:ascii="MS PGothic" w:cs="MS PGothic" w:eastAsia="MS PGothic" w:hAnsi="MS PGothic"/>
          <w:sz w:val="18"/>
          <w:szCs w:val="18"/>
          <w:color w:val="auto"/>
        </w:rPr>
        <w:t>‑</w:t>
      </w:r>
      <w:r>
        <w:rPr>
          <w:rFonts w:ascii="Arial" w:cs="Arial" w:eastAsia="Arial" w:hAnsi="Arial"/>
          <w:sz w:val="18"/>
          <w:szCs w:val="18"/>
          <w:color w:val="auto"/>
        </w:rPr>
        <w:t>patent exclusivity;</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launching commercial sales of a product, if and when approved, whether alone or in collaboration with others;</w:t>
      </w:r>
    </w:p>
    <w:p>
      <w:pPr>
        <w:spacing w:after="0" w:line="167" w:lineRule="exact"/>
        <w:rPr>
          <w:rFonts w:ascii="Arial" w:cs="Arial" w:eastAsia="Arial" w:hAnsi="Arial"/>
          <w:sz w:val="16"/>
          <w:szCs w:val="16"/>
          <w:color w:val="auto"/>
        </w:rPr>
      </w:pPr>
    </w:p>
    <w:p>
      <w:pPr>
        <w:ind w:left="980" w:hanging="329"/>
        <w:spacing w:after="0" w:line="184" w:lineRule="exact"/>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acceptance of a product, if and when approved, by patients,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167" w:lineRule="exact"/>
        <w:rPr>
          <w:rFonts w:ascii="Arial" w:cs="Arial" w:eastAsia="Arial" w:hAnsi="Arial"/>
          <w:sz w:val="16"/>
          <w:szCs w:val="16"/>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competing with other therapies and treatment options;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enforcing and defending intellectual property and proprietary rights and claims; and</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achieving desirable medicinal properties for the intended indications.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firstLine="648"/>
        <w:spacing w:after="0" w:line="224" w:lineRule="auto"/>
        <w:rPr>
          <w:sz w:val="20"/>
          <w:szCs w:val="20"/>
          <w:color w:val="auto"/>
        </w:rPr>
      </w:pPr>
      <w:r>
        <w:rPr>
          <w:rFonts w:ascii="Arial" w:cs="Arial" w:eastAsia="Arial" w:hAnsi="Arial"/>
          <w:sz w:val="18"/>
          <w:szCs w:val="18"/>
          <w:color w:val="auto"/>
        </w:rPr>
        <w:t>A change in the outcome of any of these variables with respect to the development of any product candidates we may develop would significantly change the costs, timing, and viability associated with the development of that product candidate.</w:t>
      </w:r>
    </w:p>
    <w:p>
      <w:pPr>
        <w:spacing w:after="0" w:line="12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We do not track research and development costs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basis.</w:t>
      </w:r>
    </w:p>
    <w:p>
      <w:pPr>
        <w:spacing w:after="0" w:line="144"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Research and development activities are central to our business model. We expect research and development costs to increase significantly for the foreseeable future as our development programs progress, including as we continue to support the preclinical studies and prepare for the clinical development for our LCA10 program as well as our other research programs.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ind w:right="220" w:firstLine="648"/>
        <w:spacing w:after="0" w:line="187" w:lineRule="exact"/>
        <w:rPr>
          <w:sz w:val="20"/>
          <w:szCs w:val="20"/>
          <w:color w:val="auto"/>
        </w:rPr>
      </w:pPr>
      <w:r>
        <w:rPr>
          <w:rFonts w:ascii="Arial" w:cs="Arial" w:eastAsia="Arial" w:hAnsi="Arial"/>
          <w:sz w:val="18"/>
          <w:szCs w:val="18"/>
          <w:color w:val="auto"/>
        </w:rPr>
        <w:t>General and administrative expenses consist primarily of salaries and other related costs, including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for personnel in executive, finance, investor relations, business development, legal, corporate affairs, information technology, facilities and human resource functions. Other significant costs include corporate facility costs not otherwise included in research and development expenses, legal fees related to patent and corporate matters, and fees for accounting and consulting services.</w:t>
      </w:r>
    </w:p>
    <w:p>
      <w:pPr>
        <w:spacing w:after="0" w:line="12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We anticipate that our general and administrative expenses will increase in the future to support continued research and development activities and potential commercialization of any product candidates we identify and develop. These increases will include increased costs related to the hiring of additional personnel and fees to outside consultants. We also anticipate increased expenses related to reimbursement of third</w:t>
      </w:r>
      <w:r>
        <w:rPr>
          <w:rFonts w:ascii="MS PGothic" w:cs="MS PGothic" w:eastAsia="MS PGothic" w:hAnsi="MS PGothic"/>
          <w:sz w:val="16"/>
          <w:szCs w:val="16"/>
          <w:color w:val="auto"/>
        </w:rPr>
        <w:t>‑</w:t>
      </w:r>
      <w:r>
        <w:rPr>
          <w:rFonts w:ascii="Arial" w:cs="Arial" w:eastAsia="Arial" w:hAnsi="Arial"/>
          <w:sz w:val="16"/>
          <w:szCs w:val="16"/>
          <w:color w:val="auto"/>
        </w:rPr>
        <w:t>party patent</w:t>
      </w:r>
      <w:r>
        <w:rPr>
          <w:rFonts w:ascii="MS PGothic" w:cs="MS PGothic" w:eastAsia="MS PGothic" w:hAnsi="MS PGothic"/>
          <w:sz w:val="16"/>
          <w:szCs w:val="16"/>
          <w:color w:val="auto"/>
        </w:rPr>
        <w:t>‑</w:t>
      </w:r>
      <w:r>
        <w:rPr>
          <w:rFonts w:ascii="Arial" w:cs="Arial" w:eastAsia="Arial" w:hAnsi="Arial"/>
          <w:sz w:val="16"/>
          <w:szCs w:val="16"/>
          <w:color w:val="auto"/>
        </w:rPr>
        <w:t>related expenses and expenses associated with operating as a public company, including costs for audit, legal, regulatory, and tax</w:t>
      </w:r>
      <w:r>
        <w:rPr>
          <w:rFonts w:ascii="MS PGothic" w:cs="MS PGothic" w:eastAsia="MS PGothic" w:hAnsi="MS PGothic"/>
          <w:sz w:val="16"/>
          <w:szCs w:val="16"/>
          <w:color w:val="auto"/>
        </w:rPr>
        <w:t>‑</w:t>
      </w:r>
      <w:r>
        <w:rPr>
          <w:rFonts w:ascii="Arial" w:cs="Arial" w:eastAsia="Arial" w:hAnsi="Arial"/>
          <w:sz w:val="16"/>
          <w:szCs w:val="16"/>
          <w:color w:val="auto"/>
        </w:rPr>
        <w:t>related services, director and officer insurance premiums, and investor relations costs. With respect to reimbursement of third-party patent-related expenses specifically, given the ongoing nature of the interference and opposition proceedings involving the patents licensed to us under our license agreement with The Broad Institute, Inc. (“Broad”) and the President and Fellows of Harvard College (“Harvard”) as described in more detail in Part II, Item 1A “Risk Factors—Risks Related to Our Intellectual Property,” we anticipate general and administrative expenses will continue to be significant. Some of our in</w:t>
      </w:r>
      <w:r>
        <w:rPr>
          <w:rFonts w:ascii="MS PGothic" w:cs="MS PGothic" w:eastAsia="MS PGothic" w:hAnsi="MS PGothic"/>
          <w:sz w:val="16"/>
          <w:szCs w:val="16"/>
          <w:color w:val="auto"/>
        </w:rPr>
        <w:t>‑</w:t>
      </w:r>
      <w:r>
        <w:rPr>
          <w:rFonts w:ascii="Arial" w:cs="Arial" w:eastAsia="Arial" w:hAnsi="Arial"/>
          <w:sz w:val="16"/>
          <w:szCs w:val="16"/>
          <w:color w:val="auto"/>
        </w:rPr>
        <w:t>licensed patents under our license agreement with Broad and Harvard are subject to priority disputes, and we anticipate that our obligation to reimburse Broad and Harvard for expenses related to these interference and opposition proceedings during future periods will be substantial until such proceedings are resolved.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44"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For the three months ended March 31, 2018, other income (expense), net consisted primarily of interest income, accretion of discounts associated with marketable securities, and rental income from our subtenant, partially offset by interest expense on our construction financing lease obligation.</w:t>
      </w:r>
    </w:p>
    <w:p>
      <w:pPr>
        <w:spacing w:after="0" w:line="123" w:lineRule="exact"/>
        <w:rPr>
          <w:sz w:val="20"/>
          <w:szCs w:val="20"/>
          <w:color w:val="auto"/>
        </w:rPr>
      </w:pPr>
    </w:p>
    <w:p>
      <w:pPr>
        <w:ind w:right="120" w:firstLine="648"/>
        <w:spacing w:after="0" w:line="238" w:lineRule="auto"/>
        <w:rPr>
          <w:sz w:val="20"/>
          <w:szCs w:val="20"/>
          <w:color w:val="auto"/>
        </w:rPr>
      </w:pPr>
      <w:r>
        <w:rPr>
          <w:rFonts w:ascii="Arial" w:cs="Arial" w:eastAsia="Arial" w:hAnsi="Arial"/>
          <w:sz w:val="17"/>
          <w:szCs w:val="17"/>
          <w:color w:val="auto"/>
        </w:rPr>
        <w:t>For the three months ended March 31, 2017, other income (expense), net consisted primarily of interest expense on our construction financing lease obligation and certain promissory notes issued by us in the aggregate original principal amount of $15.0 million, partially offset by rental income from our subtenant and 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condensed consolidated financial statements, which have been prepared in accordance with United States generally accepted accounting principles. The preparation of our condensed consolidated financial statements requires us to make judgments and estimates that affect the reported amounts of assets, liabilities, revenues, and expenses, and the disclosure of contingent assets and liabilities in our condensed consolidated financial statements.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material revisions in estimates, if any, will be reflected in the condensed consolidated financial statements prospectively from the date of change in estimates.</w:t>
      </w:r>
    </w:p>
    <w:p>
      <w:pPr>
        <w:spacing w:after="0" w:line="121" w:lineRule="exact"/>
        <w:rPr>
          <w:sz w:val="20"/>
          <w:szCs w:val="20"/>
          <w:color w:val="auto"/>
        </w:rPr>
      </w:pPr>
    </w:p>
    <w:p>
      <w:pPr>
        <w:jc w:val="both"/>
        <w:ind w:right="360" w:firstLine="648"/>
        <w:spacing w:after="0" w:line="289" w:lineRule="auto"/>
        <w:rPr>
          <w:sz w:val="20"/>
          <w:szCs w:val="20"/>
          <w:color w:val="auto"/>
        </w:rPr>
      </w:pPr>
      <w:r>
        <w:rPr>
          <w:rFonts w:ascii="Arial" w:cs="Arial" w:eastAsia="Arial" w:hAnsi="Arial"/>
          <w:sz w:val="16"/>
          <w:szCs w:val="16"/>
          <w:color w:val="auto"/>
        </w:rPr>
        <w:t>There have been no material changes to our critical accounting policies from those described in “Management’s Discussion and Analysis of Financial Condition and Results of Operations” in our 2017 10-K other than as noted below.</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superseded all existing revenue recognition requirements, including most industry specific guidance. This new standard requires us to recognize revenue when we transfer goods or services to customers in an amount that reflects the consideration that we expect to receive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Thereafter a series of clarifying Accounting Standards Updates (“ASU”) narrowed the scope improvements and practical expedients where issued. This collective guidance resulted in the new revenue standards under ASC 606. ASC 606 is effective for fiscal years, and interim periods within those years, beginning after December 15, 2017 and should be applied retrospectively to each prior reporting period presented or retrospectively with the cumulative effect of initially applying this update recognized at the date of initial application.</w:t>
      </w:r>
    </w:p>
    <w:p>
      <w:pPr>
        <w:spacing w:after="0" w:line="125" w:lineRule="exact"/>
        <w:rPr>
          <w:sz w:val="20"/>
          <w:szCs w:val="20"/>
          <w:color w:val="auto"/>
        </w:rPr>
      </w:pPr>
    </w:p>
    <w:p>
      <w:pPr>
        <w:ind w:right="120" w:firstLine="648"/>
        <w:spacing w:after="0" w:line="244" w:lineRule="auto"/>
        <w:rPr>
          <w:sz w:val="20"/>
          <w:szCs w:val="20"/>
          <w:color w:val="auto"/>
        </w:rPr>
      </w:pPr>
      <w:r>
        <w:rPr>
          <w:rFonts w:ascii="Arial" w:cs="Arial" w:eastAsia="Arial" w:hAnsi="Arial"/>
          <w:sz w:val="16"/>
          <w:szCs w:val="16"/>
          <w:color w:val="auto"/>
        </w:rPr>
        <w:t>The new revenue standards became effective for us on January 1, 2018, and were adopted using the modified retrospective method. The adoption of ASC 606 resulted in the changes to (i) the allocation of arrangement consideration; including the determination of estimated selling price and the allocation of variable consideration to specific performance obligations for our collaboration agreement with Juno Therapeutics and (ii) the application of proportional performance as a measure of progress on service related deliverables for our strategic alliance with Allergan.</w:t>
      </w:r>
    </w:p>
    <w:p>
      <w:pPr>
        <w:spacing w:after="0" w:line="118" w:lineRule="exact"/>
        <w:rPr>
          <w:sz w:val="20"/>
          <w:szCs w:val="20"/>
          <w:color w:val="auto"/>
        </w:rPr>
      </w:pPr>
    </w:p>
    <w:p>
      <w:pPr>
        <w:ind w:right="200" w:firstLine="648"/>
        <w:spacing w:after="0" w:line="229" w:lineRule="auto"/>
        <w:rPr>
          <w:sz w:val="20"/>
          <w:szCs w:val="20"/>
          <w:color w:val="auto"/>
        </w:rPr>
      </w:pPr>
      <w:r>
        <w:rPr>
          <w:rFonts w:ascii="Arial" w:cs="Arial" w:eastAsia="Arial" w:hAnsi="Arial"/>
          <w:sz w:val="17"/>
          <w:szCs w:val="17"/>
          <w:color w:val="auto"/>
        </w:rPr>
        <w:t>We recognize revenue following the five step model prescribed under ASU No. 2014-09: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See Note 2 in our condensed consolidated financial statements for more information regarding our adoption of the new revenue recognition rules under ASC 606.</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144" w:lineRule="exact"/>
        <w:rPr>
          <w:sz w:val="20"/>
          <w:szCs w:val="20"/>
          <w:color w:val="auto"/>
        </w:rPr>
      </w:pPr>
    </w:p>
    <w:p>
      <w:pPr>
        <w:ind w:right="380" w:firstLine="648"/>
        <w:spacing w:after="0" w:line="258" w:lineRule="auto"/>
        <w:rPr>
          <w:sz w:val="20"/>
          <w:szCs w:val="20"/>
          <w:color w:val="auto"/>
        </w:rPr>
      </w:pPr>
      <w:r>
        <w:rPr>
          <w:rFonts w:ascii="Arial" w:cs="Arial" w:eastAsia="Arial" w:hAnsi="Arial"/>
          <w:sz w:val="17"/>
          <w:szCs w:val="17"/>
          <w:color w:val="auto"/>
        </w:rPr>
        <w:t>The following table summarizes our results of operations for the three months ended March 31, 2018 and 2017, together with the changes in those items in dollars (in thousands) and the respective percentages of change: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 Change</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95"/>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5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3"/>
              </w:rPr>
              <w:t>Collaboration and other research and development revenues</w:t>
            </w:r>
          </w:p>
        </w:tc>
        <w:tc>
          <w:tcPr>
            <w:tcW w:w="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3,927</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682</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3,245</w:t>
            </w:r>
          </w:p>
        </w:tc>
        <w:tc>
          <w:tcPr>
            <w:tcW w:w="16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152"/>
              <w:spacing w:after="0" w:line="17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456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21,300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19,021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2,279</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76"/>
        </w:trPr>
        <w:tc>
          <w:tcPr>
            <w:tcW w:w="45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14,186</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12,288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1,898</w:t>
            </w:r>
          </w:p>
        </w:tc>
        <w:tc>
          <w:tcPr>
            <w:tcW w:w="1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69"/>
        </w:trPr>
        <w:tc>
          <w:tcPr>
            <w:tcW w:w="456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35,486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31,309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4,177</w:t>
            </w:r>
          </w:p>
        </w:tc>
        <w:tc>
          <w:tcPr>
            <w:tcW w:w="16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169"/>
        </w:trPr>
        <w:tc>
          <w:tcPr>
            <w:tcW w:w="4560" w:type="dxa"/>
            <w:vAlign w:val="bottom"/>
          </w:tcPr>
          <w:p>
            <w:pPr>
              <w:spacing w:after="0" w:line="170" w:lineRule="exact"/>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76"/>
        </w:trPr>
        <w:tc>
          <w:tcPr>
            <w:tcW w:w="4560" w:type="dxa"/>
            <w:vAlign w:val="bottom"/>
          </w:tcPr>
          <w:p>
            <w:pPr>
              <w:ind w:left="220"/>
              <w:spacing w:after="0" w:line="176" w:lineRule="exact"/>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438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(610)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1,048</w:t>
            </w:r>
          </w:p>
        </w:tc>
        <w:tc>
          <w:tcPr>
            <w:tcW w:w="160" w:type="dxa"/>
            <w:vAlign w:val="bottom"/>
          </w:tcPr>
          <w:p>
            <w:pPr>
              <w:spacing w:after="0"/>
              <w:rPr>
                <w:sz w:val="15"/>
                <w:szCs w:val="15"/>
                <w:color w:val="auto"/>
              </w:rPr>
            </w:pPr>
          </w:p>
        </w:tc>
        <w:tc>
          <w:tcPr>
            <w:tcW w:w="1220" w:type="dxa"/>
            <w:vAlign w:val="bottom"/>
          </w:tcPr>
          <w:p>
            <w:pPr>
              <w:jc w:val="right"/>
              <w:ind w:right="152"/>
              <w:spacing w:after="0" w:line="17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69"/>
        </w:trPr>
        <w:tc>
          <w:tcPr>
            <w:tcW w:w="4560" w:type="dxa"/>
            <w:vAlign w:val="bottom"/>
            <w:tcBorders>
              <w:top w:val="single" w:sz="8" w:color="CCEEFF"/>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620</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(470)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1,090</w:t>
            </w:r>
          </w:p>
        </w:tc>
        <w:tc>
          <w:tcPr>
            <w:tcW w:w="16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ind w:right="152"/>
              <w:spacing w:after="0" w:line="17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456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(30,939)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(31,097)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158</w:t>
            </w:r>
          </w:p>
        </w:tc>
        <w:tc>
          <w:tcPr>
            <w:tcW w:w="160" w:type="dxa"/>
            <w:vAlign w:val="bottom"/>
          </w:tcPr>
          <w:p>
            <w:pPr>
              <w:spacing w:after="0"/>
              <w:rPr>
                <w:sz w:val="15"/>
                <w:szCs w:val="15"/>
                <w:color w:val="auto"/>
              </w:rPr>
            </w:pP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For our results of operations, we have included the respective percentage of changes, unless greater than 100% or less than (100)%, in which case we have denoted such changes as not meaningful (n/m).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other research and development revenues</w:t>
      </w:r>
    </w:p>
    <w:p>
      <w:pPr>
        <w:spacing w:after="0" w:line="144"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Collaboration and other research and development revenues increased by $3.2 million, to $3.9 million for the three months ended March 31, 2018 from $0.7 million for three months ended March 31, 2017. This increase was attributable to a $2.9 million increase in revenue recognized pursuant to our strategic alliance with Allergan and a $0.3 million increase in reimbursable research and development expenses primarily resulting from our adoption of ASC 606.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ind w:right="160" w:firstLine="648"/>
        <w:spacing w:after="0" w:line="258" w:lineRule="auto"/>
        <w:rPr>
          <w:sz w:val="20"/>
          <w:szCs w:val="20"/>
          <w:color w:val="auto"/>
        </w:rPr>
      </w:pPr>
      <w:r>
        <w:rPr>
          <w:rFonts w:ascii="Arial" w:cs="Arial" w:eastAsia="Arial" w:hAnsi="Arial"/>
          <w:sz w:val="17"/>
          <w:szCs w:val="17"/>
          <w:color w:val="auto"/>
        </w:rPr>
        <w:t>Research and development expenses increased by $2.3 million, to $21.3 million for the three months ended March 31, 2018 from $19.0 million for the three months ended March 31, 2017. The following table summarizes our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20"/>
        <w:spacing w:after="0" w:line="258" w:lineRule="auto"/>
        <w:rPr>
          <w:sz w:val="20"/>
          <w:szCs w:val="20"/>
          <w:color w:val="auto"/>
        </w:rPr>
      </w:pPr>
      <w:r>
        <w:rPr>
          <w:rFonts w:ascii="Arial" w:cs="Arial" w:eastAsia="Arial" w:hAnsi="Arial"/>
          <w:sz w:val="17"/>
          <w:szCs w:val="17"/>
          <w:color w:val="auto"/>
        </w:rPr>
        <w:t>research and development expenses for the three months ended March 31, 2018 and March 31, 2017, together with the changes in those items in dollars (in thousands) and the respective percentages of change: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Dollar Change</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29"/>
        </w:trPr>
        <w:tc>
          <w:tcPr>
            <w:tcW w:w="4000" w:type="dxa"/>
            <w:vAlign w:val="bottom"/>
            <w:vMerge w:val="restart"/>
          </w:tcPr>
          <w:p>
            <w:pPr>
              <w:spacing w:after="0"/>
              <w:rPr>
                <w:sz w:val="20"/>
                <w:szCs w:val="20"/>
                <w:color w:val="auto"/>
              </w:rPr>
            </w:pPr>
            <w:r>
              <w:rPr>
                <w:rFonts w:ascii="Arial" w:cs="Arial" w:eastAsia="Arial" w:hAnsi="Arial"/>
                <w:sz w:val="18"/>
                <w:szCs w:val="18"/>
                <w:color w:val="auto"/>
              </w:rPr>
              <w:t>Process and platform development expenses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jc w:val="right"/>
              <w:ind w:right="212"/>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0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top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10,238</w:t>
            </w:r>
          </w:p>
        </w:tc>
        <w:tc>
          <w:tcPr>
            <w:tcW w:w="160" w:type="dxa"/>
            <w:vAlign w:val="bottom"/>
          </w:tcPr>
          <w:p>
            <w:pPr>
              <w:spacing w:after="0"/>
              <w:rPr>
                <w:sz w:val="14"/>
                <w:szCs w:val="14"/>
                <w:color w:val="auto"/>
              </w:rPr>
            </w:pPr>
          </w:p>
        </w:tc>
        <w:tc>
          <w:tcPr>
            <w:tcW w:w="240" w:type="dxa"/>
            <w:vAlign w:val="bottom"/>
            <w:tcBorders>
              <w:top w:val="single" w:sz="8" w:color="auto"/>
            </w:tcBorders>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3,089</w:t>
            </w: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7,149</w:t>
            </w:r>
          </w:p>
        </w:tc>
        <w:tc>
          <w:tcPr>
            <w:tcW w:w="60" w:type="dxa"/>
            <w:vAlign w:val="bottom"/>
          </w:tcPr>
          <w:p>
            <w:pPr>
              <w:spacing w:after="0"/>
              <w:rPr>
                <w:sz w:val="14"/>
                <w:szCs w:val="14"/>
                <w:color w:val="auto"/>
              </w:rPr>
            </w:pPr>
          </w:p>
        </w:tc>
        <w:tc>
          <w:tcPr>
            <w:tcW w:w="1220" w:type="dxa"/>
            <w:vAlign w:val="bottom"/>
            <w:tcBorders>
              <w:top w:val="single" w:sz="8" w:color="auto"/>
            </w:tcBorders>
          </w:tcPr>
          <w:p>
            <w:pPr>
              <w:jc w:val="right"/>
              <w:ind w:right="172"/>
              <w:spacing w:after="0" w:line="17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Employee related expenses</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4,865</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3,452</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1,413</w:t>
            </w:r>
          </w:p>
        </w:tc>
        <w:tc>
          <w:tcPr>
            <w:tcW w:w="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176"/>
        </w:trPr>
        <w:tc>
          <w:tcPr>
            <w:tcW w:w="4000" w:type="dxa"/>
            <w:vAlign w:val="bottom"/>
          </w:tcPr>
          <w:p>
            <w:pPr>
              <w:spacing w:after="0" w:line="176" w:lineRule="exact"/>
              <w:rPr>
                <w:sz w:val="20"/>
                <w:szCs w:val="20"/>
                <w:color w:val="auto"/>
              </w:rPr>
            </w:pPr>
            <w:r>
              <w:rPr>
                <w:rFonts w:ascii="Arial" w:cs="Arial" w:eastAsia="Arial" w:hAnsi="Arial"/>
                <w:sz w:val="18"/>
                <w:szCs w:val="18"/>
                <w:color w:val="auto"/>
              </w:rPr>
              <w:t>Stock-based compensation expenses</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3,910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3,614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296</w:t>
            </w:r>
          </w:p>
        </w:tc>
        <w:tc>
          <w:tcPr>
            <w:tcW w:w="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Sublicensing and success payment expenses</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7,272</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(7,272)</w:t>
            </w:r>
          </w:p>
        </w:tc>
        <w:tc>
          <w:tcPr>
            <w:tcW w:w="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6"/>
        </w:trPr>
        <w:tc>
          <w:tcPr>
            <w:tcW w:w="4000" w:type="dxa"/>
            <w:vAlign w:val="bottom"/>
          </w:tcPr>
          <w:p>
            <w:pPr>
              <w:spacing w:after="0" w:line="176" w:lineRule="exact"/>
              <w:rPr>
                <w:sz w:val="20"/>
                <w:szCs w:val="20"/>
                <w:color w:val="auto"/>
              </w:rPr>
            </w:pPr>
            <w:r>
              <w:rPr>
                <w:rFonts w:ascii="Arial" w:cs="Arial" w:eastAsia="Arial" w:hAnsi="Arial"/>
                <w:sz w:val="18"/>
                <w:szCs w:val="18"/>
                <w:color w:val="auto"/>
              </w:rPr>
              <w:t>Facility expenses</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1,394</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1,028</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366</w:t>
            </w:r>
          </w:p>
        </w:tc>
        <w:tc>
          <w:tcPr>
            <w:tcW w:w="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expenses</w:t>
            </w:r>
          </w:p>
        </w:tc>
        <w:tc>
          <w:tcPr>
            <w:tcW w:w="7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893</w:t>
            </w: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566</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327</w:t>
            </w:r>
          </w:p>
        </w:tc>
        <w:tc>
          <w:tcPr>
            <w:tcW w:w="6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176"/>
        </w:trPr>
        <w:tc>
          <w:tcPr>
            <w:tcW w:w="4000" w:type="dxa"/>
            <w:vAlign w:val="bottom"/>
          </w:tcPr>
          <w:p>
            <w:pPr>
              <w:ind w:left="220"/>
              <w:spacing w:after="0" w:line="170" w:lineRule="exact"/>
              <w:rPr>
                <w:sz w:val="20"/>
                <w:szCs w:val="20"/>
                <w:color w:val="auto"/>
              </w:rPr>
            </w:pPr>
            <w:r>
              <w:rPr>
                <w:rFonts w:ascii="Arial" w:cs="Arial" w:eastAsia="Arial" w:hAnsi="Arial"/>
                <w:sz w:val="18"/>
                <w:szCs w:val="18"/>
                <w:color w:val="auto"/>
              </w:rPr>
              <w:t>Total research and development expenses</w:t>
            </w:r>
          </w:p>
        </w:tc>
        <w:tc>
          <w:tcPr>
            <w:tcW w:w="78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21,300</w:t>
            </w:r>
          </w:p>
        </w:tc>
        <w:tc>
          <w:tcPr>
            <w:tcW w:w="160" w:type="dxa"/>
            <w:vAlign w:val="bottom"/>
          </w:tcPr>
          <w:p>
            <w:pPr>
              <w:spacing w:after="0"/>
              <w:rPr>
                <w:sz w:val="15"/>
                <w:szCs w:val="15"/>
                <w:color w:val="auto"/>
              </w:rPr>
            </w:pPr>
          </w:p>
        </w:tc>
        <w:tc>
          <w:tcPr>
            <w:tcW w:w="240" w:type="dxa"/>
            <w:vAlign w:val="bottom"/>
            <w:tcBorders>
              <w:bottom w:val="single" w:sz="8" w:color="auto"/>
            </w:tcBorders>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19,021</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2,279</w:t>
            </w:r>
          </w:p>
        </w:tc>
        <w:tc>
          <w:tcPr>
            <w:tcW w:w="60" w:type="dxa"/>
            <w:vAlign w:val="bottom"/>
          </w:tcPr>
          <w:p>
            <w:pPr>
              <w:spacing w:after="0"/>
              <w:rPr>
                <w:sz w:val="15"/>
                <w:szCs w:val="15"/>
                <w:color w:val="auto"/>
              </w:rPr>
            </w:pP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increase in research and development expenses for the three months ended March 31, 2018 compared to the three months ended March 31, 2017 was primarily attributable to:</w:t>
      </w:r>
    </w:p>
    <w:p>
      <w:pPr>
        <w:spacing w:after="0" w:line="121" w:lineRule="exact"/>
        <w:rPr>
          <w:sz w:val="20"/>
          <w:szCs w:val="20"/>
          <w:color w:val="auto"/>
        </w:rPr>
      </w:pPr>
    </w:p>
    <w:p>
      <w:pPr>
        <w:ind w:left="980" w:hanging="329"/>
        <w:spacing w:after="0" w:line="249"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approximately $7.1 million in increased process and platform development expenses due to increased research activity, mostly relating to external research and development expenses which we expect will increase further as we continue to support the preclinical studies and prepare for clinical development for our LCA10 program as well as our other research programs, and the acquisition of certain non-capitalized intangible assets;</w:t>
      </w:r>
    </w:p>
    <w:p>
      <w:pPr>
        <w:spacing w:after="0" w:line="114" w:lineRule="exact"/>
        <w:rPr>
          <w:rFonts w:ascii="Arial" w:cs="Arial" w:eastAsia="Arial" w:hAnsi="Arial"/>
          <w:sz w:val="16"/>
          <w:szCs w:val="16"/>
          <w:color w:val="auto"/>
        </w:rPr>
      </w:pPr>
    </w:p>
    <w:p>
      <w:pPr>
        <w:ind w:left="980" w:right="640" w:hanging="329"/>
        <w:spacing w:after="0" w:line="23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$1.4 million in increased employee related expenses due to an increase in the size of our workforce;</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$0.4 million in increased facility related expenses;</w:t>
      </w:r>
    </w:p>
    <w:p>
      <w:pPr>
        <w:spacing w:after="0" w:line="144" w:lineRule="exact"/>
        <w:rPr>
          <w:rFonts w:ascii="Arial" w:cs="Arial" w:eastAsia="Arial" w:hAnsi="Arial"/>
          <w:sz w:val="18"/>
          <w:szCs w:val="18"/>
          <w:color w:val="auto"/>
        </w:rPr>
      </w:pPr>
    </w:p>
    <w:p>
      <w:pPr>
        <w:ind w:left="980" w:right="640" w:hanging="329"/>
        <w:spacing w:after="0" w:line="23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$0.3 million in increased other expenses due to increased professional service and office expenses; and</w:t>
      </w:r>
    </w:p>
    <w:p>
      <w:pPr>
        <w:spacing w:after="0" w:line="121" w:lineRule="exact"/>
        <w:rPr>
          <w:rFonts w:ascii="Arial" w:cs="Arial" w:eastAsia="Arial" w:hAnsi="Arial"/>
          <w:sz w:val="18"/>
          <w:szCs w:val="18"/>
          <w:color w:val="auto"/>
        </w:rPr>
      </w:pPr>
    </w:p>
    <w:p>
      <w:pPr>
        <w:ind w:left="980" w:right="400" w:hanging="329"/>
        <w:spacing w:after="0" w:line="289"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approximately $0.3 million in increased stock based compensation expense due to an increase in employee stock option expense partially offset by a net decrease in non-employee restricted stock expense.</w:t>
      </w:r>
    </w:p>
    <w:p>
      <w:pPr>
        <w:spacing w:after="0" w:line="84"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This increase was partially offset by an approximate $7.3 million decrease in sublicensing and success payment expenses resulting primarily from the $5.0 million notes payable that were issued during the first quarter of 2017 to Broad and Wageningen University (“Wageningen”) under one of our licensing agreements and the payment by us of $2.3 million to certain of our licensors in the first quarter of 2017 in connection with receiving the Allergan Upfront.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ind w:right="160" w:firstLine="648"/>
        <w:spacing w:after="0" w:line="258" w:lineRule="auto"/>
        <w:rPr>
          <w:sz w:val="20"/>
          <w:szCs w:val="20"/>
          <w:color w:val="auto"/>
        </w:rPr>
      </w:pPr>
      <w:r>
        <w:rPr>
          <w:rFonts w:ascii="Arial" w:cs="Arial" w:eastAsia="Arial" w:hAnsi="Arial"/>
          <w:sz w:val="17"/>
          <w:szCs w:val="17"/>
          <w:color w:val="auto"/>
        </w:rPr>
        <w:t>General and administrative expenses increased by $1.9 million, to $14.2 million for the three months ended March 31, 2018 from $12.3 million for the three months ended March 31, 2017. The following table summarizes our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general and administrative expenses for the three months ended March 31, 2018 and 2017, together with the changes in those items in dollars (in thousands) and the respective percentages of change: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Dollar Change</w:t>
            </w:r>
          </w:p>
        </w:tc>
        <w:tc>
          <w:tcPr>
            <w:tcW w:w="80" w:type="dxa"/>
            <w:vAlign w:val="bottom"/>
            <w:vMerge w:val="restart"/>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29"/>
        </w:trPr>
        <w:tc>
          <w:tcPr>
            <w:tcW w:w="47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3"/>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and patent related fees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Employee related expenses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76"/>
        </w:trPr>
        <w:tc>
          <w:tcPr>
            <w:tcW w:w="4740" w:type="dxa"/>
            <w:vAlign w:val="bottom"/>
          </w:tcPr>
          <w:p>
            <w:pPr>
              <w:spacing w:after="0" w:line="176" w:lineRule="exact"/>
              <w:rPr>
                <w:sz w:val="20"/>
                <w:szCs w:val="20"/>
                <w:color w:val="auto"/>
              </w:rPr>
            </w:pPr>
            <w:r>
              <w:rPr>
                <w:rFonts w:ascii="Arial" w:cs="Arial" w:eastAsia="Arial" w:hAnsi="Arial"/>
                <w:sz w:val="18"/>
                <w:szCs w:val="18"/>
                <w:color w:val="auto"/>
              </w:rPr>
              <w:t>Professional service expenses</w:t>
            </w:r>
          </w:p>
        </w:tc>
        <w:tc>
          <w:tcPr>
            <w:tcW w:w="2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1,293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1,961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(668)</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76"/>
        </w:trPr>
        <w:tc>
          <w:tcPr>
            <w:tcW w:w="4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expenses</w:t>
            </w: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1,092</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176"/>
        </w:trPr>
        <w:tc>
          <w:tcPr>
            <w:tcW w:w="4740" w:type="dxa"/>
            <w:vAlign w:val="bottom"/>
          </w:tcPr>
          <w:p>
            <w:pPr>
              <w:ind w:left="220"/>
              <w:spacing w:after="0" w:line="170" w:lineRule="exact"/>
              <w:rPr>
                <w:sz w:val="20"/>
                <w:szCs w:val="20"/>
                <w:color w:val="auto"/>
              </w:rPr>
            </w:pPr>
            <w:r>
              <w:rPr>
                <w:rFonts w:ascii="Arial" w:cs="Arial" w:eastAsia="Arial" w:hAnsi="Arial"/>
                <w:sz w:val="18"/>
                <w:szCs w:val="18"/>
                <w:color w:val="auto"/>
              </w:rPr>
              <w:t>Total general and administrative expenses</w:t>
            </w: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14,186</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12,288</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1,898</w:t>
            </w:r>
          </w:p>
        </w:tc>
        <w:tc>
          <w:tcPr>
            <w:tcW w:w="80" w:type="dxa"/>
            <w:vAlign w:val="bottom"/>
          </w:tcPr>
          <w:p>
            <w:pPr>
              <w:spacing w:after="0"/>
              <w:rPr>
                <w:sz w:val="15"/>
                <w:szCs w:val="15"/>
                <w:color w:val="auto"/>
              </w:rPr>
            </w:pP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The increase in general and administrative expenses for the three months ended March 31, 2018 compared to the three months ended March 31, 2017 was primarily attributable to:</w:t>
      </w:r>
    </w:p>
    <w:p>
      <w:pPr>
        <w:spacing w:after="0" w:line="121" w:lineRule="exact"/>
        <w:rPr>
          <w:sz w:val="20"/>
          <w:szCs w:val="20"/>
          <w:color w:val="auto"/>
        </w:rPr>
      </w:pPr>
    </w:p>
    <w:p>
      <w:pPr>
        <w:ind w:left="980" w:right="580" w:hanging="329"/>
        <w:spacing w:after="0" w:line="25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approximately $1.5 million in increased intellectual property and patent related fees, including expenses associated with the prosecution and maintenance of patents and patent applications;</w:t>
      </w:r>
    </w:p>
    <w:p>
      <w:pPr>
        <w:spacing w:after="0" w:line="106" w:lineRule="exact"/>
        <w:rPr>
          <w:rFonts w:ascii="Arial" w:cs="Arial" w:eastAsia="Arial" w:hAnsi="Arial"/>
          <w:sz w:val="17"/>
          <w:szCs w:val="17"/>
          <w:color w:val="auto"/>
        </w:rPr>
      </w:pPr>
    </w:p>
    <w:p>
      <w:pPr>
        <w:ind w:left="980" w:right="300" w:hanging="329"/>
        <w:spacing w:after="0" w:line="23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$0.4 million in increased stock-based compensation expenses due to an increase in employee stock option expense;</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$0.4 million in increased other expenses including facility-related expenses; and</w:t>
      </w:r>
    </w:p>
    <w:p>
      <w:pPr>
        <w:spacing w:after="0" w:line="144" w:lineRule="exact"/>
        <w:rPr>
          <w:rFonts w:ascii="Arial" w:cs="Arial" w:eastAsia="Arial" w:hAnsi="Arial"/>
          <w:sz w:val="18"/>
          <w:szCs w:val="18"/>
          <w:color w:val="auto"/>
        </w:rPr>
      </w:pPr>
    </w:p>
    <w:p>
      <w:pPr>
        <w:ind w:left="980" w:right="640" w:hanging="329"/>
        <w:spacing w:after="0" w:line="23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$0.2 million in increased employee related expenses due to an increase in the size of our workforce.</w:t>
      </w:r>
    </w:p>
    <w:p>
      <w:pPr>
        <w:spacing w:after="0" w:line="121" w:lineRule="exact"/>
        <w:rPr>
          <w:sz w:val="20"/>
          <w:szCs w:val="20"/>
          <w:color w:val="auto"/>
        </w:rPr>
      </w:pPr>
    </w:p>
    <w:p>
      <w:pPr>
        <w:ind w:right="1240" w:firstLine="68"/>
        <w:spacing w:after="0" w:line="407" w:lineRule="auto"/>
        <w:rPr>
          <w:sz w:val="20"/>
          <w:szCs w:val="20"/>
          <w:color w:val="auto"/>
        </w:rPr>
      </w:pPr>
      <w:r>
        <w:rPr>
          <w:rFonts w:ascii="Arial" w:cs="Arial" w:eastAsia="Arial" w:hAnsi="Arial"/>
          <w:sz w:val="18"/>
          <w:szCs w:val="18"/>
          <w:color w:val="auto"/>
        </w:rPr>
        <w:t xml:space="preserve">This increase was partially offset by an approximate $0.7 million decrease in professional service expenses. </w:t>
      </w:r>
      <w:r>
        <w:rPr>
          <w:rFonts w:ascii="Arial" w:cs="Arial" w:eastAsia="Arial" w:hAnsi="Arial"/>
          <w:sz w:val="18"/>
          <w:szCs w:val="18"/>
          <w:i w:val="1"/>
          <w:iCs w:val="1"/>
          <w:color w:val="auto"/>
        </w:rPr>
        <w:t>Other income (expense), net</w:t>
      </w:r>
    </w:p>
    <w:p>
      <w:pPr>
        <w:ind w:right="20" w:firstLine="648"/>
        <w:spacing w:after="0" w:line="238" w:lineRule="auto"/>
        <w:rPr>
          <w:sz w:val="20"/>
          <w:szCs w:val="20"/>
          <w:color w:val="auto"/>
        </w:rPr>
      </w:pPr>
      <w:r>
        <w:rPr>
          <w:rFonts w:ascii="Arial" w:cs="Arial" w:eastAsia="Arial" w:hAnsi="Arial"/>
          <w:sz w:val="17"/>
          <w:szCs w:val="17"/>
          <w:color w:val="auto"/>
        </w:rPr>
        <w:t>For the three months ended March 31, 2018, other income (expense), net was income of $0.6 million, which was primarily attributable to interest income, accretion of discounts associated with marketable securities, and rental income from our subtenant, partially offset by interest expense on our construction financing lease obligation.</w:t>
      </w:r>
    </w:p>
    <w:p>
      <w:pPr>
        <w:spacing w:after="0" w:line="107"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For the three months ended March 31, 2017, other income (expense), net was an expense of $0.5 million, which was primarily attributable to interest expense on our construction financing lease obligation and certain promissory notes issued by us in the aggregate original principal amount of $15.0 million, partially offset by rental income from our subtenant and interest income.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44"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From inception through March 31, 2018, we funded our operations primarily through proceeds from private placements of our preferred stock of $163.3 million, net proceeds of $299.9 million from our public offerings of our common stock, the Allergan Upfront, and an up-front payment, research and development payments and milestone payments under our collaboration with Juno Therapeutics of $25.0 million, $8.6 million and $5.0 million, respectively. As of March 31, 2018, we had cash, cash equivalents, and marketable securities of $358.8 million.</w:t>
      </w:r>
    </w:p>
    <w:p>
      <w:pPr>
        <w:spacing w:after="0" w:line="121" w:lineRule="exact"/>
        <w:rPr>
          <w:sz w:val="20"/>
          <w:szCs w:val="20"/>
          <w:color w:val="auto"/>
        </w:rPr>
      </w:pPr>
    </w:p>
    <w:p>
      <w:pPr>
        <w:ind w:right="280" w:firstLine="648"/>
        <w:spacing w:after="0" w:line="249" w:lineRule="auto"/>
        <w:rPr>
          <w:sz w:val="20"/>
          <w:szCs w:val="20"/>
          <w:color w:val="auto"/>
        </w:rPr>
      </w:pPr>
      <w:r>
        <w:rPr>
          <w:rFonts w:ascii="Arial" w:cs="Arial" w:eastAsia="Arial" w:hAnsi="Arial"/>
          <w:sz w:val="16"/>
          <w:szCs w:val="16"/>
          <w:color w:val="auto"/>
        </w:rPr>
        <w:t>In addition to our existing cash, cash equivalents, and marketable securities we are eligible to earn milestone payments and are entitled to cost reimbursement under our collaboration agreement with Juno Therapeutics. Additionally, under our strategic alliance with Allergan, we are eligible to earn milestone payments. Our ability to earn the milestone payments and the timing of earning these amounts are dependent upon the timing and outcome of our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color w:val="auto"/>
        </w:rPr>
        <w:t>development, regulatory and commercial activities, as well as whether Allergan exercises any of its options under the strategic alliance, and, as such, are uncertain at this time. As of March 31, 2018, our right to payments under our collaboration agreement with Juno Therapeutics and our strategic alliance with Allergan, and payments from our subtenant were our only significant committed potential external sources of funds.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w:t>
      </w:r>
    </w:p>
    <w:p>
      <w:pPr>
        <w:spacing w:after="0" w:line="50"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March 2017, we entered into a sales agreement with Cowen and Company LLC (“Cowen”), under which we were able from time to time to issue and sell shares of our common stock through Cowen in at-the-market offerings for aggregate gross sales proceeds of $50.0 million. In January 2018, we sold 1,429,205 shares of our common stock to Cowen at a weighted-average price of $34.99 per share for gross proceeds of $50.0 million. We paid a 3% cash commission on the gross sales price per share of common stock sold resulting in our receiving net proceeds from the offering of approximately $48.5 million. Following these sales, no shares of common stock remained available for sale under the sales agreement. Shares sold pursuant to the sales agreement were sold pursuant to a shelf registration statement, which became effective on March 15, 2017. In March 2018, we entered into a sales agreement with Cowen, under which we are able from time to time to issue and sell shares of our common stock pursuant to a shelf registration statement through Cowen in at-the-market offerings for aggregate gross sales proceeds of $150.0 million. To date, we have not sold any of our shares of common stock to Cowen under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44" w:lineRule="exact"/>
        <w:rPr>
          <w:sz w:val="20"/>
          <w:szCs w:val="20"/>
          <w:color w:val="auto"/>
        </w:rPr>
      </w:pPr>
    </w:p>
    <w:p>
      <w:pPr>
        <w:ind w:right="180" w:firstLine="648"/>
        <w:spacing w:after="0" w:line="241" w:lineRule="auto"/>
        <w:rPr>
          <w:sz w:val="20"/>
          <w:szCs w:val="20"/>
          <w:color w:val="auto"/>
        </w:rPr>
      </w:pPr>
      <w:r>
        <w:rPr>
          <w:rFonts w:ascii="Arial" w:cs="Arial" w:eastAsia="Arial" w:hAnsi="Arial"/>
          <w:sz w:val="16"/>
          <w:szCs w:val="16"/>
          <w:color w:val="auto"/>
        </w:rPr>
        <w:t>In December 2017, success payments in the aggregate amount of $7.5 million under our Cpf1 license agreement with Broad (“Cpf1 License Agreement”) and our Cas9-II license agreement with Broad (the “Cas9-II License Agreement”) became due upon our market capitalization reaching $1.0 billion for a specified period of time, and we issued promissory notes to Broad in the aggregate original principal amount of $7.5 million (the “December Notes”). In January 2018, we issued an aggregate of 225,909 shares of our common stock to Broad as payment of all outstanding principal and interest under the December Notes. Upon such issuance, the December Notes were cancelled.</w:t>
      </w:r>
    </w:p>
    <w:p>
      <w:pPr>
        <w:spacing w:after="0" w:line="120" w:lineRule="exact"/>
        <w:rPr>
          <w:sz w:val="20"/>
          <w:szCs w:val="20"/>
          <w:color w:val="auto"/>
        </w:rPr>
      </w:pPr>
    </w:p>
    <w:p>
      <w:pPr>
        <w:jc w:val="both"/>
        <w:ind w:right="380" w:firstLine="648"/>
        <w:spacing w:after="0" w:line="232" w:lineRule="auto"/>
        <w:rPr>
          <w:sz w:val="20"/>
          <w:szCs w:val="20"/>
          <w:color w:val="auto"/>
        </w:rPr>
      </w:pPr>
      <w:r>
        <w:rPr>
          <w:rFonts w:ascii="Arial" w:cs="Arial" w:eastAsia="Arial" w:hAnsi="Arial"/>
          <w:sz w:val="17"/>
          <w:szCs w:val="17"/>
          <w:color w:val="auto"/>
        </w:rPr>
        <w:t>Under the terms of the Cpf1 License Agreement, Cas9-II License Agreement and a license agreement with The General Hospital Corporation, d/b/a Massachusetts General Hospital, we may be required to issue additional promissory notes in connection with the achievement of success payment criteria. See Notes 7 and 8 to our condensed consolidated financial statements for more information regarding these obligations.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regarding our cash flows for the three months ended March 31, 2018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2017 (in thousands):</w:t>
      </w:r>
    </w:p>
    <w:p>
      <w:pPr>
        <w:spacing w:after="0" w:line="123"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Three Months Ended</w:t>
      </w:r>
    </w:p>
    <w:p>
      <w:pPr>
        <w:ind w:left="756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67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14"/>
              <w:spacing w:after="0" w:line="136"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14"/>
              <w:spacing w:after="0" w:line="136" w:lineRule="exact"/>
              <w:rPr>
                <w:sz w:val="20"/>
                <w:szCs w:val="20"/>
                <w:color w:val="auto"/>
              </w:rPr>
            </w:pPr>
            <w:r>
              <w:rPr>
                <w:rFonts w:ascii="Arial" w:cs="Arial" w:eastAsia="Arial" w:hAnsi="Arial"/>
                <w:sz w:val="14"/>
                <w:szCs w:val="14"/>
                <w:b w:val="1"/>
                <w:bCs w:val="1"/>
                <w:color w:val="auto"/>
              </w:rPr>
              <w:t>2017</w:t>
            </w:r>
          </w:p>
        </w:tc>
      </w:tr>
      <w:tr>
        <w:trPr>
          <w:trHeight w:val="129"/>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76"/>
        </w:trPr>
        <w:tc>
          <w:tcPr>
            <w:tcW w:w="6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provided by (used in):</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6"/>
        </w:trPr>
        <w:tc>
          <w:tcPr>
            <w:tcW w:w="6700" w:type="dxa"/>
            <w:vAlign w:val="bottom"/>
          </w:tcPr>
          <w:p>
            <w:pPr>
              <w:ind w:left="220"/>
              <w:spacing w:after="0" w:line="176" w:lineRule="exact"/>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(22,460)</w:t>
            </w:r>
          </w:p>
        </w:tc>
        <w:tc>
          <w:tcPr>
            <w:tcW w:w="240" w:type="dxa"/>
            <w:vAlign w:val="bottom"/>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69,791</w:t>
            </w:r>
          </w:p>
        </w:tc>
      </w:tr>
      <w:tr>
        <w:trPr>
          <w:trHeight w:val="176"/>
        </w:trPr>
        <w:tc>
          <w:tcPr>
            <w:tcW w:w="6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40,820</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(656)</w:t>
            </w:r>
          </w:p>
        </w:tc>
      </w:tr>
      <w:tr>
        <w:trPr>
          <w:trHeight w:val="176"/>
        </w:trPr>
        <w:tc>
          <w:tcPr>
            <w:tcW w:w="67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52,681</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97,094</w:t>
            </w:r>
          </w:p>
        </w:tc>
      </w:tr>
      <w:tr>
        <w:trPr>
          <w:trHeight w:val="176"/>
        </w:trPr>
        <w:tc>
          <w:tcPr>
            <w:tcW w:w="67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71,041</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166,229</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Operating Activities</w:t>
      </w:r>
    </w:p>
    <w:p>
      <w:pPr>
        <w:spacing w:after="0" w:line="144" w:lineRule="exact"/>
        <w:rPr>
          <w:sz w:val="20"/>
          <w:szCs w:val="20"/>
          <w:color w:val="auto"/>
        </w:rPr>
      </w:pPr>
    </w:p>
    <w:p>
      <w:pPr>
        <w:ind w:right="240" w:firstLine="648"/>
        <w:spacing w:after="0" w:line="203" w:lineRule="exact"/>
        <w:rPr>
          <w:sz w:val="20"/>
          <w:szCs w:val="20"/>
          <w:color w:val="auto"/>
        </w:rPr>
      </w:pPr>
      <w:r>
        <w:rPr>
          <w:rFonts w:ascii="Arial" w:cs="Arial" w:eastAsia="Arial" w:hAnsi="Arial"/>
          <w:sz w:val="18"/>
          <w:szCs w:val="18"/>
          <w:color w:val="auto"/>
        </w:rPr>
        <w:t>The use of cash in all periods resulted primarily from our net losses adjusted for non</w:t>
      </w:r>
      <w:r>
        <w:rPr>
          <w:rFonts w:ascii="MS PGothic" w:cs="MS PGothic" w:eastAsia="MS PGothic" w:hAnsi="MS PGothic"/>
          <w:sz w:val="18"/>
          <w:szCs w:val="18"/>
          <w:color w:val="auto"/>
        </w:rPr>
        <w:t>‑</w:t>
      </w:r>
      <w:r>
        <w:rPr>
          <w:rFonts w:ascii="Arial" w:cs="Arial" w:eastAsia="Arial" w:hAnsi="Arial"/>
          <w:sz w:val="18"/>
          <w:szCs w:val="18"/>
          <w:color w:val="auto"/>
        </w:rPr>
        <w:t>cash charges and changes in components of working capital.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Net cash used in operating activities was approximately $22.5 million for the three months ended March 31, 2018, and consisted primarily of a net loss of $30.9 million adjusted for non-cash items, including stock-based compensation expenses of $6.5 million, non-cash research and development expenses of $1.9 million, depreciation expense of $0.8 million, other non-cash income of $0.4 million, and a net decrease in operating assets and liabilities of $0.3 million. The change in operating assets and liabilities was related to a decrease of $3.1 million in deferred revenue, a decrease of $1.3 million in accrued expenses, an increase of $0.8 million in prepaid expenses and other current assets, and an increase of $0.3 million in accounts receivable, partially offset by an increase of $5.1 million in accounts payable.</w:t>
      </w:r>
    </w:p>
    <w:p>
      <w:pPr>
        <w:spacing w:after="0" w:line="122"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Net cash provided by operating activities was approximately $69.8 million for the three months ended March 31, 2017, and consisted primarily of a net loss of $31.1 million adjusted for non-cash items including stock-based compensation expense of $5.8 million, non-cash research and development expenses of $5.0 million, depreciation expense of $0.6 million, other non-cash items expense of $0.1 million, and a net increase in operating assets and liabilities of $89.4 million. The change in operating assets and liabilities was related to an increase in deferred revenue of $90.2 million, primarily related to receiving the Allergan Upfront, an increase of $10.1 million in accounts payable and an increase in prepaid and other current assets of $0.5 million, partially offset by a decrease of $10.5 million in accrued expenses and a decrease in accounts receivable of $0.9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144" w:lineRule="exact"/>
        <w:rPr>
          <w:sz w:val="20"/>
          <w:szCs w:val="20"/>
          <w:color w:val="auto"/>
        </w:rPr>
      </w:pPr>
    </w:p>
    <w:p>
      <w:pPr>
        <w:ind w:right="180" w:firstLine="648"/>
        <w:spacing w:after="0" w:line="238" w:lineRule="auto"/>
        <w:rPr>
          <w:sz w:val="20"/>
          <w:szCs w:val="20"/>
          <w:color w:val="auto"/>
        </w:rPr>
      </w:pPr>
      <w:r>
        <w:rPr>
          <w:rFonts w:ascii="Arial" w:cs="Arial" w:eastAsia="Arial" w:hAnsi="Arial"/>
          <w:sz w:val="17"/>
          <w:szCs w:val="17"/>
          <w:color w:val="auto"/>
        </w:rPr>
        <w:t>Net cash provided by investing activities was approximately $40.8 million for the three months ended March 31, 2018 and consisted primarily of proceeds from maturities of marketable securities of $94.5 million, partially offset by costs to purchase marketable securities of $52.7 million and costs to acquire capital equipment of $1.0 million.</w:t>
      </w:r>
    </w:p>
    <w:p>
      <w:pPr>
        <w:spacing w:after="0" w:line="121"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Net cash used in investing activities was approximately $0.1 million for the three months ended March 31, 2017 and consisted of costs to acquire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44"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Net cash provided by financing activities was approximately $52.7 million for the three months ended March 31, 2018 primarily related to $48.5 million in proceeds received from our at-the-market offerings in January 2018, net of issuance costs that were paid as of March 31, 2018, and $4.4 million in proceeds from exercises of options for our common stock, partially offset by $0.2 million in payments made on the construction financing lease obligation.</w:t>
      </w:r>
    </w:p>
    <w:p>
      <w:pPr>
        <w:spacing w:after="0" w:line="12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Net cash provided by financing activities was approximately $97.1 million for the three months ended March 31, 2017 primarily related to $97.1 million in proceeds received from our follow-on offering in March 2017, net of issuance costs that were paid as of March 31, 2017, and $0.4 million in proceeds from exercises of our common stock, partially offset by $0.4 million in payments made on the construction financing lease obligation.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expect our expenses to increase in connection with our ongoing activities, particularly as we further advance our current research programs and our preclinical development activities; seek to identify product candidates and additional research programs; initiate preclinical testing and clinical trials for any product candidates we identify and develop; maintain, expand, and protect our intellectual property portfolio, including reimbursing our licensors for expenses related to the intellectual property that we in-license from such licensors; hire additional clinical, quality control, and scientific personnel; and incur additional costs associated with operating as a public company. In addition, if we obtain marketing approval for any product candidate that we identify and develop, we expect to incur significant commercialization expenses related to product sales, marketing, manufacturing, and distribution to the extent that such sales, marketing, and distribution are not the responsibility of a collaborator. We do not expect to generate significant recurring revenue unless and until we obtain regulatory approval for and commercialize a product candidate. Furthermore, in 2016 and 2017 we incurred, and in future years we expect to continue to incur, significant costs associated with operating as a public company. Accordingly, we will need to obtain substantial additional funding in connection with our continuing operations. If we are unable to raise capital when needed or on attractive terms, we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would be forced to delay, reduce, or eliminate our research and development programs or future commercialization efforts.</w:t>
      </w:r>
    </w:p>
    <w:p>
      <w:pPr>
        <w:spacing w:after="0" w:line="167"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We expect that our existing cash, cash equivalents, and marketable securities at March 31, 2018, anticipated interest income, and anticipated research support under our collaboration agreement with Juno Therapeutics will enable us to fund our operating expenses and capital expenditure requirements for at least the next 24 months following the date of this Quarterly Report on Form 10-Q. We have based our estimates on assumptions that may prove to be wrong, and we may use our available capital resources sooner than we currently expect. Our future capital requirements will depend on many factors, including:</w:t>
      </w:r>
    </w:p>
    <w:p>
      <w:pPr>
        <w:spacing w:after="0" w:line="122" w:lineRule="exact"/>
        <w:rPr>
          <w:sz w:val="20"/>
          <w:szCs w:val="20"/>
          <w:color w:val="auto"/>
        </w:rPr>
      </w:pPr>
    </w:p>
    <w:p>
      <w:pPr>
        <w:ind w:left="980" w:right="560" w:hanging="329"/>
        <w:spacing w:after="0" w:line="23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the product candidates we may develop;</w:t>
      </w:r>
    </w:p>
    <w:p>
      <w:pPr>
        <w:spacing w:after="0" w:line="121" w:lineRule="exact"/>
        <w:rPr>
          <w:rFonts w:ascii="Arial" w:cs="Arial" w:eastAsia="Arial" w:hAnsi="Arial"/>
          <w:sz w:val="18"/>
          <w:szCs w:val="18"/>
          <w:color w:val="auto"/>
        </w:rPr>
      </w:pPr>
    </w:p>
    <w:p>
      <w:pPr>
        <w:ind w:left="980" w:right="300" w:hanging="329"/>
        <w:spacing w:after="0" w:line="203" w:lineRule="exact"/>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may develop;</w:t>
      </w:r>
    </w:p>
    <w:p>
      <w:pPr>
        <w:spacing w:after="0" w:line="144" w:lineRule="exact"/>
        <w:rPr>
          <w:rFonts w:ascii="Arial" w:cs="Arial" w:eastAsia="Arial" w:hAnsi="Arial"/>
          <w:sz w:val="18"/>
          <w:szCs w:val="18"/>
          <w:color w:val="auto"/>
        </w:rPr>
      </w:pPr>
    </w:p>
    <w:p>
      <w:pPr>
        <w:ind w:left="980" w:right="860" w:hanging="329"/>
        <w:spacing w:after="0" w:line="25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costs of future activities, including product sales, medical affairs, marketing, manufacturing, and distribution, for any product candidates for which we receive regulatory approval;</w:t>
      </w:r>
    </w:p>
    <w:p>
      <w:pPr>
        <w:spacing w:after="0" w:line="106" w:lineRule="exact"/>
        <w:rPr>
          <w:rFonts w:ascii="Arial" w:cs="Arial" w:eastAsia="Arial" w:hAnsi="Arial"/>
          <w:sz w:val="17"/>
          <w:szCs w:val="17"/>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our collaboration with Juno Therapeutics and our strategic alliance with Allergan;</w:t>
      </w:r>
    </w:p>
    <w:p>
      <w:pPr>
        <w:spacing w:after="0" w:line="144" w:lineRule="exact"/>
        <w:rPr>
          <w:rFonts w:ascii="Arial" w:cs="Arial" w:eastAsia="Arial" w:hAnsi="Arial"/>
          <w:sz w:val="18"/>
          <w:szCs w:val="18"/>
          <w:color w:val="auto"/>
        </w:rPr>
      </w:pPr>
    </w:p>
    <w:p>
      <w:pPr>
        <w:ind w:left="980" w:right="60" w:hanging="329"/>
        <w:spacing w:after="0" w:line="23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Juno Therapeutics exercises either or both of its options to extend the research program term under our collaboration (each of which would trigger an extension payment to us);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Allergan exercises any of its options under our strategic alliance;</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4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medicines and technologies;</w:t>
      </w:r>
    </w:p>
    <w:p>
      <w:pPr>
        <w:spacing w:after="0" w:line="144"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reimbursing our licensors for the prosecution and maintenance of the patent rights in-licensed by us; and</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44"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Identifying potential product candidates and conducting preclinical studies and clinical trials is a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many years to complete, and we may never generate the necessary data or results required to obtain marketing approval and achieve product sales. In addition, any product candidate that we identify and develop, if approved, may not achieve commercial success. Our commercial revenues, if any, will be derived from sales of genomic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22"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our stockholders’ ownership interests will be diluted, and the terms of these securities may include liquidation or other preferences that adversely affect the rights of our stockholders. Debt financing, if available, may involve agreements that include covenants limiting or restricting our ability to take specific actions, such as incurring additional debt, making capital expenditures, or declaring dividends.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The following table summarizes our significant contractual obligations as of payment due date by period at March 31, 2018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Less Than</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 to 5</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2"/>
              </w:rPr>
              <w:t>More than</w:t>
            </w:r>
          </w:p>
        </w:tc>
        <w:tc>
          <w:tcPr>
            <w:tcW w:w="0" w:type="dxa"/>
            <w:vAlign w:val="bottom"/>
          </w:tcPr>
          <w:p>
            <w:pPr>
              <w:spacing w:after="0"/>
              <w:rPr>
                <w:sz w:val="1"/>
                <w:szCs w:val="1"/>
                <w:color w:val="auto"/>
              </w:rPr>
            </w:pPr>
          </w:p>
        </w:tc>
      </w:tr>
      <w:tr>
        <w:trPr>
          <w:trHeight w:val="93"/>
        </w:trPr>
        <w:tc>
          <w:tcPr>
            <w:tcW w:w="5200" w:type="dxa"/>
            <w:vAlign w:val="bottom"/>
          </w:tcPr>
          <w:p>
            <w:pPr>
              <w:spacing w:after="0"/>
              <w:rPr>
                <w:sz w:val="8"/>
                <w:szCs w:val="8"/>
                <w:color w:val="auto"/>
              </w:rPr>
            </w:pPr>
          </w:p>
        </w:tc>
        <w:tc>
          <w:tcPr>
            <w:tcW w:w="6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5"/>
              </w:rPr>
              <w:t>1 Year</w:t>
            </w:r>
          </w:p>
        </w:tc>
        <w:tc>
          <w:tcPr>
            <w:tcW w:w="9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6"/>
              </w:rPr>
              <w:t>1 to 3 Years</w:t>
            </w: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Operating lease obligations</w:t>
            </w: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28,139</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5,373</w:t>
            </w:r>
          </w:p>
        </w:tc>
        <w:tc>
          <w:tcPr>
            <w:tcW w:w="1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6"/>
              </w:rPr>
              <w:t>$ 15,607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6"/>
              </w:rPr>
              <w:t>$ 7,159</w:t>
            </w: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20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28,139</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5,373</w:t>
            </w: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6"/>
              </w:rPr>
              <w:t>$ 15,607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6"/>
              </w:rPr>
              <w:t>$ 7,159</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ind w:left="32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0" w:firstLine="648"/>
        <w:spacing w:after="0" w:line="229" w:lineRule="auto"/>
        <w:rPr>
          <w:sz w:val="20"/>
          <w:szCs w:val="20"/>
          <w:color w:val="auto"/>
        </w:rPr>
      </w:pPr>
      <w:r>
        <w:rPr>
          <w:rFonts w:ascii="Arial" w:cs="Arial" w:eastAsia="Arial" w:hAnsi="Arial"/>
          <w:sz w:val="17"/>
          <w:szCs w:val="17"/>
          <w:color w:val="auto"/>
        </w:rPr>
        <w:t>During the three months ended March 31, 2018, our costs related to operating lease obligations increased as compared to such obligations as of December 31, 2017 and we settled the outstanding promissory notes that were outstanding as of December 31, 2017. Other than as described above, during the three months ended March 31, 2018, there were no other material changes to our contractual obligations and commitments described under Management’s Discussion and Analysis of Financial Condition and Results of Operations in our 2017 10-K.</w:t>
      </w:r>
    </w:p>
    <w:p>
      <w:pPr>
        <w:spacing w:after="0" w:line="11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35" w:lineRule="exact"/>
        <w:rPr>
          <w:sz w:val="20"/>
          <w:szCs w:val="20"/>
          <w:color w:val="auto"/>
        </w:rPr>
      </w:pPr>
    </w:p>
    <w:p>
      <w:pPr>
        <w:ind w:right="6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applicable SEC rules.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48" w:lineRule="exact"/>
        <w:rPr>
          <w:sz w:val="20"/>
          <w:szCs w:val="20"/>
          <w:color w:val="auto"/>
        </w:rPr>
      </w:pPr>
    </w:p>
    <w:p>
      <w:pPr>
        <w:jc w:val="both"/>
        <w:ind w:right="380" w:firstLine="648"/>
        <w:spacing w:after="0" w:line="224" w:lineRule="auto"/>
        <w:rPr>
          <w:sz w:val="20"/>
          <w:szCs w:val="20"/>
          <w:color w:val="auto"/>
        </w:rPr>
      </w:pPr>
      <w:r>
        <w:rPr>
          <w:rFonts w:ascii="Arial" w:cs="Arial" w:eastAsia="Arial" w:hAnsi="Arial"/>
          <w:sz w:val="18"/>
          <w:szCs w:val="18"/>
          <w:color w:val="auto"/>
        </w:rPr>
        <w:t>Inflation would generally affect us by increasing our cost of labor and clinical trial costs. We do not believe that inflation had a material effect on our business, financial condition or results of operations during the three months ended March 31, 2018 and 2017.</w:t>
      </w:r>
    </w:p>
    <w:p>
      <w:pPr>
        <w:spacing w:after="0" w:line="2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right="140" w:firstLine="648"/>
        <w:spacing w:after="0" w:line="182" w:lineRule="exact"/>
        <w:rPr>
          <w:sz w:val="20"/>
          <w:szCs w:val="20"/>
          <w:color w:val="auto"/>
        </w:rPr>
      </w:pPr>
      <w:r>
        <w:rPr>
          <w:rFonts w:ascii="Arial" w:cs="Arial" w:eastAsia="Arial" w:hAnsi="Arial"/>
          <w:sz w:val="17"/>
          <w:szCs w:val="17"/>
          <w:color w:val="auto"/>
        </w:rPr>
        <w:t>We are exposed to market risk related to changes in interest rates. As of March 31, 2018, we had cash and cash equivalents of $217.7 million, primarily held in money market mutual funds consisting of U.S. government-backed securities, and marketable securities of $141.1 million, primarily consisting of U.S. government-backed securities.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w:t>
      </w:r>
      <w:r>
        <w:rPr>
          <w:rFonts w:ascii="MS PGothic" w:cs="MS PGothic" w:eastAsia="MS PGothic" w:hAnsi="MS PGothic"/>
          <w:sz w:val="17"/>
          <w:szCs w:val="17"/>
          <w:color w:val="auto"/>
        </w:rPr>
        <w:t>‑</w:t>
      </w:r>
      <w:r>
        <w:rPr>
          <w:rFonts w:ascii="Arial" w:cs="Arial" w:eastAsia="Arial" w:hAnsi="Arial"/>
          <w:sz w:val="17"/>
          <w:szCs w:val="17"/>
          <w:color w:val="auto"/>
        </w:rPr>
        <w:t>term maturities and low risk profiles of our investments, an immediate 100 basis point change in interest rates would not have a material effect on the fair market value of our investments.</w:t>
      </w:r>
    </w:p>
    <w:p>
      <w:pPr>
        <w:spacing w:after="0" w:line="127" w:lineRule="exact"/>
        <w:rPr>
          <w:sz w:val="20"/>
          <w:szCs w:val="20"/>
          <w:color w:val="auto"/>
        </w:rPr>
      </w:pPr>
    </w:p>
    <w:p>
      <w:pPr>
        <w:jc w:val="both"/>
        <w:ind w:right="180" w:firstLine="648"/>
        <w:spacing w:after="0" w:line="224" w:lineRule="auto"/>
        <w:rPr>
          <w:sz w:val="20"/>
          <w:szCs w:val="20"/>
          <w:color w:val="auto"/>
        </w:rPr>
      </w:pPr>
      <w:r>
        <w:rPr>
          <w:rFonts w:ascii="Arial" w:cs="Arial" w:eastAsia="Arial" w:hAnsi="Arial"/>
          <w:sz w:val="18"/>
          <w:szCs w:val="18"/>
          <w:color w:val="auto"/>
        </w:rPr>
        <w:t>While we contract with certain vendors and institutions internationally, substantially all of our total liabilities as of March 31, 2018 were denominated in the United States dollar and we believe that we do not have any material exposure to foreign currency exchange rate risk.</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2" w:right="139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March 31, 2018. The term “disclosure controls and procedures,” as defined in Rules 13a-15(e) and 15d-15(e) under the Securities Exchange Act of 1934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March 31, 2018, our Chief Executive Officer and Chief Financial Officer concluded that, as of such date, our disclosure controls and procedures were effective at the reasonable assurance level.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We regularly review our system of internal control over financial reporting to ensure we maintain an effective internal control environment. We continue to create new processes and controls as well as improve our existing environment to increase efficiencies. Improvements may include such activities as implementing new, more efficient systems, and consolidating activities. 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ind w:right="40" w:firstLine="648"/>
        <w:spacing w:after="0" w:line="218" w:lineRule="exact"/>
        <w:rPr>
          <w:sz w:val="20"/>
          <w:szCs w:val="20"/>
          <w:color w:val="auto"/>
        </w:rPr>
      </w:pPr>
      <w:r>
        <w:rPr>
          <w:rFonts w:ascii="Arial" w:cs="Arial" w:eastAsia="Arial" w:hAnsi="Arial"/>
          <w:sz w:val="18"/>
          <w:szCs w:val="18"/>
          <w:color w:val="auto"/>
        </w:rPr>
        <w:t>From time to time, we may become involved in litigation or other legal proceedings relating to claims arising from the ordinary course of business. There can be no assurance that any proceedings that result from these third</w:t>
      </w:r>
      <w:r>
        <w:rPr>
          <w:rFonts w:ascii="MS PGothic" w:cs="MS PGothic" w:eastAsia="MS PGothic" w:hAnsi="MS PGothic"/>
          <w:sz w:val="18"/>
          <w:szCs w:val="18"/>
          <w:color w:val="auto"/>
        </w:rPr>
        <w:t>‑</w:t>
      </w:r>
      <w:r>
        <w:rPr>
          <w:rFonts w:ascii="Arial" w:cs="Arial" w:eastAsia="Arial" w:hAnsi="Arial"/>
          <w:sz w:val="18"/>
          <w:szCs w:val="18"/>
          <w:color w:val="auto"/>
        </w:rPr>
        <w:t>party actions will be resolved in our favor. In addition, if they are not resolved in our favor, there can be no assurance that the result will not have a material adverse effect on our business, financial condition, results of operations, or prospects. For additional information regarding these matters set forth in this section, see “Risk Factors—Risks Related to Our Intellectual Property— Some of our in</w:t>
      </w:r>
      <w:r>
        <w:rPr>
          <w:rFonts w:ascii="MS PGothic" w:cs="MS PGothic" w:eastAsia="MS PGothic" w:hAnsi="MS PGothic"/>
          <w:sz w:val="18"/>
          <w:szCs w:val="18"/>
          <w:color w:val="auto"/>
        </w:rPr>
        <w:t>‑</w:t>
      </w:r>
      <w:r>
        <w:rPr>
          <w:rFonts w:ascii="Arial" w:cs="Arial" w:eastAsia="Arial" w:hAnsi="Arial"/>
          <w:sz w:val="18"/>
          <w:szCs w:val="18"/>
          <w:color w:val="auto"/>
        </w:rPr>
        <w:t>licensed patents are subject to priority disputes”. Regardless of outcome, litigation or other legal proceedings can have an adverse impact on us because of defense and settlement costs, diversion of management resources, and other factors.</w:t>
      </w:r>
    </w:p>
    <w:p>
      <w:pPr>
        <w:spacing w:after="0" w:line="206"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On January 11, 2016 and March 17, 2016, the Patent Trial and Appeal Board, or PTAB, of the United States Patent and Trademark Office (“USPTO”) declared an interference between a pending U.S. patent application (U.S. Serial</w:t>
      </w:r>
    </w:p>
    <w:p>
      <w:pPr>
        <w:ind w:right="20"/>
        <w:spacing w:after="0" w:line="216" w:lineRule="exact"/>
        <w:rPr>
          <w:sz w:val="20"/>
          <w:szCs w:val="20"/>
          <w:color w:val="auto"/>
        </w:rPr>
      </w:pPr>
      <w:r>
        <w:rPr>
          <w:rFonts w:ascii="Arial" w:cs="Arial" w:eastAsia="Arial" w:hAnsi="Arial"/>
          <w:sz w:val="17"/>
          <w:szCs w:val="17"/>
          <w:color w:val="auto"/>
        </w:rPr>
        <w:t>No. 13/842,859) that is owned by the University of California, the University of Vienna, and Emmanuelle Charpentier and 12 U.S. patents (U.S. Patent Nos. 8,697,359; 8,771,945; 8,795,965; 8,865,406; 8,871,445; 8,889,356; 8,895,308; 8,906,616; 8,932,814; 8,945,839; 8,993,233; and 8,999,641) and a pending U.S. patent application (U.S. Serial No. 14/704,551) that are co</w:t>
      </w:r>
      <w:r>
        <w:rPr>
          <w:rFonts w:ascii="MS PGothic" w:cs="MS PGothic" w:eastAsia="MS PGothic" w:hAnsi="MS PGothic"/>
          <w:sz w:val="17"/>
          <w:szCs w:val="17"/>
          <w:color w:val="auto"/>
        </w:rPr>
        <w:t>‑</w:t>
      </w:r>
      <w:r>
        <w:rPr>
          <w:rFonts w:ascii="Arial" w:cs="Arial" w:eastAsia="Arial" w:hAnsi="Arial"/>
          <w:sz w:val="17"/>
          <w:szCs w:val="17"/>
          <w:color w:val="auto"/>
        </w:rPr>
        <w:t>owned by The Broad Institute, Inc. (“Broad”), Massachusetts Institute of Technology (“MIT”), and in some cases the President and Fellows of Harvard College (“Harvard”), and in</w:t>
      </w:r>
      <w:r>
        <w:rPr>
          <w:rFonts w:ascii="MS PGothic" w:cs="MS PGothic" w:eastAsia="MS PGothic" w:hAnsi="MS PGothic"/>
          <w:sz w:val="17"/>
          <w:szCs w:val="17"/>
          <w:color w:val="auto"/>
        </w:rPr>
        <w:t>‑</w:t>
      </w:r>
      <w:r>
        <w:rPr>
          <w:rFonts w:ascii="Arial" w:cs="Arial" w:eastAsia="Arial" w:hAnsi="Arial"/>
          <w:sz w:val="17"/>
          <w:szCs w:val="17"/>
          <w:color w:val="auto"/>
        </w:rPr>
        <w:t>licensed by us. An interference is a proceeding within the USPTO to determine priority of invention of the subject matter of patent claims filed by different parties. In the declared interference, the University of California, acting on behalf of itself and the University of Vienna, and Emmanuelle Charpentier were designated as the senior party and Broad was designated as the junior party.</w:t>
      </w:r>
    </w:p>
    <w:p>
      <w:pPr>
        <w:spacing w:after="0" w:line="204" w:lineRule="exact"/>
        <w:rPr>
          <w:sz w:val="20"/>
          <w:szCs w:val="20"/>
          <w:color w:val="auto"/>
        </w:rPr>
      </w:pPr>
    </w:p>
    <w:p>
      <w:pPr>
        <w:ind w:right="80" w:firstLine="648"/>
        <w:spacing w:after="0" w:line="218" w:lineRule="exact"/>
        <w:rPr>
          <w:sz w:val="20"/>
          <w:szCs w:val="20"/>
          <w:color w:val="auto"/>
        </w:rPr>
      </w:pPr>
      <w:r>
        <w:rPr>
          <w:rFonts w:ascii="Arial" w:cs="Arial" w:eastAsia="Arial" w:hAnsi="Arial"/>
          <w:sz w:val="16"/>
          <w:szCs w:val="16"/>
          <w:color w:val="auto"/>
        </w:rPr>
        <w:t>On February 15, 2017, the PTAB held that there is no interference</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which means that no interference is needed to resolve priority between the parties because the PTAB determined that the Broad claims are directed to subject matter that is patentably distinct from those of the University of California, the University of Vienna, and Emmanuelle Charpentier. The interference proceeding has therefore ended. Therefore, the 12 U.S. patents and one U.S. patent application that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MIT, and Harvard, as well as the U.S. patent application owned by the University of California, the University of Vienna, and Emmanuelle Charpentier, with respect to which the PTAB had declared an interference were not modified or revoked as a result of this interference proceeding.</w:t>
      </w:r>
    </w:p>
    <w:p>
      <w:pPr>
        <w:spacing w:after="0" w:line="20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Having filed a notice of appeal on April 12, 2017, the University of California, the University of Vienna, and Emmanuelle Charpentier filed an appeal brief to the Court of Appeals for the Federal Circuit on July 25, 2017 for review of the no interference-in-fact holding made by the PTAB in the interference proceeding. Broad filed its responsive brief on October 25, 2017. The University of California, the University of Vienna and Emmanuelle Charpentier filed a reply brief on November 22, 2017. On April 30, 2018, oral proceedings were held before the Court of Appeals for the Federal Circuit regarding the appeal. It is uncertain when or in what manner the Federal Circuit will issue a decision.</w:t>
      </w:r>
    </w:p>
    <w:p>
      <w:pPr>
        <w:spacing w:after="0" w:line="165" w:lineRule="exact"/>
        <w:rPr>
          <w:sz w:val="20"/>
          <w:szCs w:val="20"/>
          <w:color w:val="auto"/>
        </w:rPr>
      </w:pPr>
    </w:p>
    <w:p>
      <w:pPr>
        <w:ind w:firstLine="648"/>
        <w:spacing w:after="0" w:line="220" w:lineRule="exact"/>
        <w:rPr>
          <w:sz w:val="20"/>
          <w:szCs w:val="20"/>
          <w:color w:val="auto"/>
        </w:rPr>
      </w:pPr>
      <w:r>
        <w:rPr>
          <w:rFonts w:ascii="Arial" w:cs="Arial" w:eastAsia="Arial" w:hAnsi="Arial"/>
          <w:sz w:val="16"/>
          <w:szCs w:val="16"/>
          <w:color w:val="auto"/>
        </w:rPr>
        <w:t>Separately, ToolGen Inc. (“ToolGen”) also filed Suggestions of Interference in the USPTO on April 13, 2015, against five U.S. patents, which are among the 12 U.S. patents with respect to which the PTAB had declared an interference and which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MIT, and Harvard. The Suggestions of Interference that were filed by ToolGen are still pending and it is uncertain when and in what manner the USPTO will act on them.</w:t>
      </w:r>
    </w:p>
    <w:p>
      <w:pPr>
        <w:spacing w:after="0" w:line="230" w:lineRule="exact"/>
        <w:rPr>
          <w:sz w:val="20"/>
          <w:szCs w:val="20"/>
          <w:color w:val="auto"/>
        </w:rPr>
      </w:pPr>
    </w:p>
    <w:p>
      <w:pPr>
        <w:ind w:right="80" w:firstLine="648"/>
        <w:spacing w:after="0" w:line="221" w:lineRule="exact"/>
        <w:rPr>
          <w:sz w:val="20"/>
          <w:szCs w:val="20"/>
          <w:color w:val="auto"/>
        </w:rPr>
      </w:pPr>
      <w:r>
        <w:rPr>
          <w:rFonts w:ascii="Arial" w:cs="Arial" w:eastAsia="Arial" w:hAnsi="Arial"/>
          <w:sz w:val="16"/>
          <w:szCs w:val="16"/>
          <w:color w:val="auto"/>
        </w:rPr>
        <w:t xml:space="preserve">On May 9, 2016, the USPTO granted a request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w:t>
      </w:r>
      <w:r>
        <w:rPr>
          <w:rFonts w:ascii="MS PGothic" w:cs="MS PGothic" w:eastAsia="MS PGothic" w:hAnsi="MS PGothic"/>
          <w:sz w:val="16"/>
          <w:szCs w:val="16"/>
          <w:color w:val="auto"/>
        </w:rPr>
        <w:t>‑</w:t>
      </w:r>
      <w:r>
        <w:rPr>
          <w:rFonts w:ascii="Arial" w:cs="Arial" w:eastAsia="Arial" w:hAnsi="Arial"/>
          <w:sz w:val="16"/>
          <w:szCs w:val="16"/>
          <w:color w:val="auto"/>
        </w:rPr>
        <w:t>examination of U.S. Patent No. 8,771,945, which is among the 12 U.S. patents with respect to which the PTAB had declared an interference and which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and MIT. On May 12, 2016, the PTAB suspended the re</w:t>
      </w:r>
      <w:r>
        <w:rPr>
          <w:rFonts w:ascii="MS PGothic" w:cs="MS PGothic" w:eastAsia="MS PGothic" w:hAnsi="MS PGothic"/>
          <w:sz w:val="16"/>
          <w:szCs w:val="16"/>
          <w:color w:val="auto"/>
        </w:rPr>
        <w:t>‑</w:t>
      </w:r>
      <w:r>
        <w:rPr>
          <w:rFonts w:ascii="Arial" w:cs="Arial" w:eastAsia="Arial" w:hAnsi="Arial"/>
          <w:sz w:val="16"/>
          <w:szCs w:val="16"/>
          <w:color w:val="auto"/>
        </w:rPr>
        <w:t>examination of U.S. Patent</w:t>
      </w:r>
    </w:p>
    <w:p>
      <w:pPr>
        <w:ind w:right="60"/>
        <w:spacing w:after="0" w:line="216" w:lineRule="exact"/>
        <w:rPr>
          <w:sz w:val="20"/>
          <w:szCs w:val="20"/>
          <w:color w:val="auto"/>
        </w:rPr>
      </w:pPr>
      <w:r>
        <w:rPr>
          <w:rFonts w:ascii="Arial" w:cs="Arial" w:eastAsia="Arial" w:hAnsi="Arial"/>
          <w:sz w:val="16"/>
          <w:szCs w:val="16"/>
          <w:color w:val="auto"/>
        </w:rPr>
        <w:t>No. 8,771,945 noting that it has jurisdiction over any file that involves a patent involved in the interference. It is uncertain when the PTAB will lift the suspension, however the PTAB may do so in light of the PTAB’s no interference</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holding.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9" w:firstLine="648"/>
        <w:spacing w:after="0" w:line="218" w:lineRule="exact"/>
        <w:rPr>
          <w:sz w:val="20"/>
          <w:szCs w:val="20"/>
          <w:color w:val="auto"/>
        </w:rPr>
      </w:pPr>
      <w:r>
        <w:rPr>
          <w:rFonts w:ascii="Arial" w:cs="Arial" w:eastAsia="Arial" w:hAnsi="Arial"/>
          <w:sz w:val="17"/>
          <w:szCs w:val="17"/>
          <w:color w:val="auto"/>
        </w:rPr>
        <w:t>On January 17, 2018, the European Patent Office Opposition Division (the “Opposition Division”) revoked in the European Patent Office (“EPO”) a European patent that we have in</w:t>
      </w:r>
      <w:r>
        <w:rPr>
          <w:rFonts w:ascii="MS PGothic" w:cs="MS PGothic" w:eastAsia="MS PGothic" w:hAnsi="MS PGothic"/>
          <w:sz w:val="17"/>
          <w:szCs w:val="17"/>
          <w:color w:val="auto"/>
        </w:rPr>
        <w:t>‑</w:t>
      </w:r>
      <w:r>
        <w:rPr>
          <w:rFonts w:ascii="Arial" w:cs="Arial" w:eastAsia="Arial" w:hAnsi="Arial"/>
          <w:sz w:val="17"/>
          <w:szCs w:val="17"/>
          <w:color w:val="auto"/>
        </w:rPr>
        <w:t>licensed from Broad, acting on behalf of itself, MIT and Harvard (European Patent No. EP 2,771,468 B1). On January 18, 2018, Broad, acting on behalf of itself, MIT and Harvard filed a notice of appeal to the Boards of Appeal of the EPO for review of the Opposition Division’s decision to revoke this patent. It is uncertain when or in what manner the Boards of Appeal will act on this appeal. The Opposition Division has also initiated opposition proceedings in the EPO against six other European patents that we have in</w:t>
      </w:r>
      <w:r>
        <w:rPr>
          <w:rFonts w:ascii="MS PGothic" w:cs="MS PGothic" w:eastAsia="MS PGothic" w:hAnsi="MS PGothic"/>
          <w:sz w:val="17"/>
          <w:szCs w:val="17"/>
          <w:color w:val="auto"/>
        </w:rPr>
        <w:t>‑</w:t>
      </w:r>
      <w:r>
        <w:rPr>
          <w:rFonts w:ascii="Arial" w:cs="Arial" w:eastAsia="Arial" w:hAnsi="Arial"/>
          <w:sz w:val="17"/>
          <w:szCs w:val="17"/>
          <w:color w:val="auto"/>
        </w:rPr>
        <w:t>licensed from Broad, acting on behalf of itself, MIT and Harvard, one European patent that we have in</w:t>
      </w:r>
      <w:r>
        <w:rPr>
          <w:rFonts w:ascii="MS PGothic" w:cs="MS PGothic" w:eastAsia="MS PGothic" w:hAnsi="MS PGothic"/>
          <w:sz w:val="17"/>
          <w:szCs w:val="17"/>
          <w:color w:val="auto"/>
        </w:rPr>
        <w:t>‑</w:t>
      </w:r>
      <w:r>
        <w:rPr>
          <w:rFonts w:ascii="Arial" w:cs="Arial" w:eastAsia="Arial" w:hAnsi="Arial"/>
          <w:sz w:val="17"/>
          <w:szCs w:val="17"/>
          <w:color w:val="auto"/>
        </w:rPr>
        <w:t>licensed from Broad, acting on behalf of itself and MIT and two European patents that we have in-licensed from Broad, acting on behalf of itself, MIT, Harvard and The Rockefeller University. In addition, notices of opposition have been filed against one other European patent that we have in-licensed from Broad, acting on behalf of itself, MIT and Harvard.</w:t>
      </w:r>
    </w:p>
    <w:p>
      <w:pPr>
        <w:spacing w:after="0" w:line="200" w:lineRule="exact"/>
        <w:rPr>
          <w:sz w:val="20"/>
          <w:szCs w:val="20"/>
          <w:color w:val="auto"/>
        </w:rPr>
      </w:pPr>
    </w:p>
    <w:p>
      <w:pPr>
        <w:spacing w:after="0" w:line="28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59" w:firstLine="648"/>
        <w:spacing w:after="0" w:line="214" w:lineRule="auto"/>
        <w:rPr>
          <w:sz w:val="20"/>
          <w:szCs w:val="20"/>
          <w:color w:val="auto"/>
        </w:rPr>
      </w:pPr>
      <w:r>
        <w:rPr>
          <w:rFonts w:ascii="Arial" w:cs="Arial" w:eastAsia="Arial" w:hAnsi="Arial"/>
          <w:sz w:val="18"/>
          <w:szCs w:val="18"/>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(the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right="259"/>
        <w:spacing w:after="0" w:line="235" w:lineRule="auto"/>
        <w:rPr>
          <w:sz w:val="20"/>
          <w:szCs w:val="20"/>
          <w:color w:val="auto"/>
        </w:rPr>
      </w:pPr>
      <w:r>
        <w:rPr>
          <w:rFonts w:ascii="Arial" w:cs="Arial" w:eastAsia="Arial" w:hAnsi="Arial"/>
          <w:sz w:val="18"/>
          <w:szCs w:val="18"/>
          <w:b w:val="1"/>
          <w:bCs w:val="1"/>
          <w:i w:val="1"/>
          <w:iCs w:val="1"/>
          <w:color w:val="auto"/>
        </w:rPr>
        <w:t>We have incurred significant losses since inception. We expect to incur losses for the foreseeable future and may never achieve or maintain profitability.</w:t>
      </w:r>
    </w:p>
    <w:p>
      <w:pPr>
        <w:spacing w:after="0" w:line="162" w:lineRule="exact"/>
        <w:rPr>
          <w:sz w:val="20"/>
          <w:szCs w:val="20"/>
          <w:color w:val="auto"/>
        </w:rPr>
      </w:pPr>
    </w:p>
    <w:p>
      <w:pPr>
        <w:ind w:right="79" w:firstLine="648"/>
        <w:spacing w:after="0" w:line="210" w:lineRule="auto"/>
        <w:rPr>
          <w:sz w:val="20"/>
          <w:szCs w:val="20"/>
          <w:color w:val="auto"/>
        </w:rPr>
      </w:pPr>
      <w:r>
        <w:rPr>
          <w:rFonts w:ascii="Arial" w:cs="Arial" w:eastAsia="Arial" w:hAnsi="Arial"/>
          <w:sz w:val="18"/>
          <w:szCs w:val="18"/>
          <w:color w:val="auto"/>
        </w:rPr>
        <w:t>Since inception, we have incurred significant operating losses. Our net losses were $120.3 million, $97.2 million, and $72.9 million for the years ended December 31, 2017, 2016 and 2015, respectively. As of March 31, 2018, we had an accumulated deficit of $337.3 million. We have financed our operations primarily through public offerings of our common stock, private placements of our preferred stock, our collaboration with Juno Therapeutics, Inc., a Celgene company that is a wholly-owned subsidiary of Celgene Corporation (“Juno Therapeutics”), and an upfront payment from Allergan Pharmaceuticals International Limited (“Allergan”). We have devoted all of our efforts to research and development.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66" w:lineRule="exact"/>
        <w:rPr>
          <w:sz w:val="20"/>
          <w:szCs w:val="20"/>
          <w:color w:val="auto"/>
        </w:rPr>
      </w:pPr>
    </w:p>
    <w:p>
      <w:pPr>
        <w:ind w:left="980" w:right="39" w:hanging="329"/>
        <w:spacing w:after="0" w:line="235"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current research programs and our preclinical development of product candidates from our current research programs;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preclinical testing and clinical trials for any product candidates we identify and develop;</w:t>
      </w:r>
    </w:p>
    <w:p>
      <w:pPr>
        <w:spacing w:after="0" w:line="184" w:lineRule="exact"/>
        <w:rPr>
          <w:rFonts w:ascii="Arial" w:cs="Arial" w:eastAsia="Arial" w:hAnsi="Arial"/>
          <w:sz w:val="18"/>
          <w:szCs w:val="18"/>
          <w:color w:val="auto"/>
        </w:rPr>
      </w:pPr>
    </w:p>
    <w:p>
      <w:pPr>
        <w:ind w:left="980" w:right="439" w:hanging="329"/>
        <w:spacing w:after="0" w:line="203" w:lineRule="exact"/>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 provide reimbursement of third</w:t>
      </w:r>
      <w:r>
        <w:rPr>
          <w:rFonts w:ascii="MS PGothic" w:cs="MS PGothic" w:eastAsia="MS PGothic" w:hAnsi="MS PGothic"/>
          <w:sz w:val="18"/>
          <w:szCs w:val="18"/>
          <w:color w:val="auto"/>
        </w:rPr>
        <w:t>‑</w:t>
      </w:r>
      <w:r>
        <w:rPr>
          <w:rFonts w:ascii="Arial" w:cs="Arial" w:eastAsia="Arial" w:hAnsi="Arial"/>
          <w:sz w:val="18"/>
          <w:szCs w:val="18"/>
          <w:color w:val="auto"/>
        </w:rPr>
        <w:t>party expenses related to our patent portfolio;</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w:t>
      </w:r>
    </w:p>
    <w:p>
      <w:pPr>
        <w:spacing w:after="0" w:line="184" w:lineRule="exact"/>
        <w:rPr>
          <w:rFonts w:ascii="Arial" w:cs="Arial" w:eastAsia="Arial" w:hAnsi="Arial"/>
          <w:sz w:val="18"/>
          <w:szCs w:val="18"/>
          <w:color w:val="auto"/>
        </w:rPr>
      </w:pPr>
    </w:p>
    <w:p>
      <w:pPr>
        <w:ind w:left="980" w:right="459" w:hanging="329"/>
        <w:spacing w:after="0" w:line="235"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medicines for which we may obtain marketing approval;</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develop our genome editing platform;</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184" w:lineRule="exact"/>
        <w:rPr>
          <w:rFonts w:ascii="Arial" w:cs="Arial" w:eastAsia="Arial" w:hAnsi="Arial"/>
          <w:sz w:val="18"/>
          <w:szCs w:val="18"/>
          <w:color w:val="auto"/>
        </w:rPr>
      </w:pPr>
    </w:p>
    <w:p>
      <w:pPr>
        <w:ind w:left="980" w:right="80" w:hanging="329"/>
        <w:spacing w:after="0" w:line="23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w:t>
      </w:r>
    </w:p>
    <w:p>
      <w:pPr>
        <w:spacing w:after="0" w:line="161"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medicines and technologies;</w:t>
      </w:r>
    </w:p>
    <w:p>
      <w:pPr>
        <w:spacing w:after="0" w:line="184"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validate a commercial</w:t>
      </w:r>
      <w:r>
        <w:rPr>
          <w:rFonts w:ascii="MS PGothic" w:cs="MS PGothic" w:eastAsia="MS PGothic" w:hAnsi="MS PGothic"/>
          <w:sz w:val="17"/>
          <w:szCs w:val="17"/>
          <w:color w:val="auto"/>
        </w:rPr>
        <w:t>‑</w:t>
      </w:r>
      <w:r>
        <w:rPr>
          <w:rFonts w:ascii="Arial" w:cs="Arial" w:eastAsia="Arial" w:hAnsi="Arial"/>
          <w:sz w:val="17"/>
          <w:szCs w:val="17"/>
          <w:color w:val="auto"/>
        </w:rPr>
        <w:t>scale current Good Manufacturing Practices (“cGMP”) manufacturing facility; and</w:t>
      </w:r>
    </w:p>
    <w:p>
      <w:pPr>
        <w:spacing w:after="0" w:line="196" w:lineRule="exact"/>
        <w:rPr>
          <w:rFonts w:ascii="Arial" w:cs="Arial" w:eastAsia="Arial" w:hAnsi="Arial"/>
          <w:sz w:val="17"/>
          <w:szCs w:val="17"/>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We have not initiated clinical development of any product candidate and expect that it will be many years, if ever, before we have a product candidate ready for commercialization. To become and remain profitable, we must develop and eventually commercialize a medicine or medicines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medicines for which we may obtain marketing approval, and satisfying any post</w:t>
      </w:r>
      <w:r>
        <w:rPr>
          <w:rFonts w:ascii="MS PGothic" w:cs="MS PGothic" w:eastAsia="MS PGothic" w:hAnsi="MS PGothic"/>
          <w:sz w:val="16"/>
          <w:szCs w:val="16"/>
          <w:color w:val="auto"/>
        </w:rPr>
        <w:t>‑</w:t>
      </w:r>
      <w:r>
        <w:rPr>
          <w:rFonts w:ascii="Arial" w:cs="Arial" w:eastAsia="Arial" w:hAnsi="Arial"/>
          <w:sz w:val="16"/>
          <w:szCs w:val="16"/>
          <w:color w:val="auto"/>
        </w:rPr>
        <w:t>marketing requirements. We may never succeed in these activities and, even if we do, may never generate revenues that are significant or large enough to achieve profitability. We are currently only in the preclinical testing stages for our most advanced research programs.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cause our stockholders to lose all or part of their investments in us.</w:t>
      </w:r>
    </w:p>
    <w:p>
      <w:pPr>
        <w:spacing w:after="0" w:line="170"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b w:val="1"/>
          <w:bCs w:val="1"/>
          <w:i w:val="1"/>
          <w:iCs w:val="1"/>
          <w:color w:val="auto"/>
        </w:rPr>
        <w:t>We will need substantial additional funding. If we are unable to raise capital when needed, we would be forced to delay, reduce, or eliminate our research and product development programs or commercialization efforts.</w:t>
      </w:r>
    </w:p>
    <w:p>
      <w:pPr>
        <w:spacing w:after="0" w:line="124"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We expect our expenses to increase in connection with our ongoing activities, particularly as we identify, continue the research and development of, initiate clinical trials of, and seek marketing approval for, product candidates. In addition, if we obtain marketing approval for any product candidates we may develop, we expect to incur significant commercialization expenses related to product sales, marketing, manufacturing, and distribution to the extent that such sales, marketing, manufacturing, and distribution are not the responsibility of a collaborator. In 2016 and 2017 we incurred, and in future years we expect to continue to incur, significant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spacing w:after="0" w:line="162"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We expect that our existing cash, cash equivalents, and marketable securities at March 31, 2018, anticipated interest income, and anticipated research support under our collaboration agreement with Juno Therapeutics, will enable us to fund our operating expenses and capital expenditure requirements for at least the next 24 months following the date of this Quarterly Report on Form 10-Q. Our future capital requirements will depend on many factors, including:</w:t>
      </w:r>
    </w:p>
    <w:p>
      <w:pPr>
        <w:spacing w:after="0" w:line="155" w:lineRule="exact"/>
        <w:rPr>
          <w:sz w:val="20"/>
          <w:szCs w:val="20"/>
          <w:color w:val="auto"/>
        </w:rPr>
      </w:pPr>
    </w:p>
    <w:p>
      <w:pPr>
        <w:ind w:left="980" w:right="540" w:hanging="329"/>
        <w:spacing w:after="0" w:line="235"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or natural history study trials for the product candidates we may develop;</w:t>
      </w:r>
    </w:p>
    <w:p>
      <w:pPr>
        <w:spacing w:after="0" w:line="161" w:lineRule="exact"/>
        <w:rPr>
          <w:rFonts w:ascii="Arial" w:cs="Arial" w:eastAsia="Arial" w:hAnsi="Arial"/>
          <w:sz w:val="18"/>
          <w:szCs w:val="18"/>
          <w:color w:val="auto"/>
        </w:rPr>
      </w:pPr>
    </w:p>
    <w:p>
      <w:pPr>
        <w:ind w:left="980" w:right="280" w:hanging="329"/>
        <w:spacing w:after="0" w:line="203" w:lineRule="exact"/>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may develop;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860" w:hanging="329"/>
        <w:spacing w:after="0" w:line="25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of future activities, including product sales, medical affairs, marketing, manufacturing, and distribution, for any product candidates for which we receive regulatory approval;</w:t>
      </w:r>
    </w:p>
    <w:p>
      <w:pPr>
        <w:spacing w:after="0" w:line="146" w:lineRule="exact"/>
        <w:rPr>
          <w:rFonts w:ascii="Arial" w:cs="Arial" w:eastAsia="Arial" w:hAnsi="Arial"/>
          <w:sz w:val="17"/>
          <w:szCs w:val="17"/>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collaboration with Juno Therapeutics and our strategic alliance with Allergan;</w:t>
      </w:r>
    </w:p>
    <w:p>
      <w:pPr>
        <w:spacing w:after="0" w:line="184" w:lineRule="exact"/>
        <w:rPr>
          <w:rFonts w:ascii="Arial" w:cs="Arial" w:eastAsia="Arial" w:hAnsi="Arial"/>
          <w:sz w:val="18"/>
          <w:szCs w:val="18"/>
          <w:color w:val="auto"/>
        </w:rPr>
      </w:pPr>
    </w:p>
    <w:p>
      <w:pPr>
        <w:ind w:left="980" w:right="60" w:hanging="329"/>
        <w:spacing w:after="0" w:line="235"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Juno Therapeutics exercises either or both of its options to extend the research program term under our collaboration (each of which would trigger an extension payment to us);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Allergan exercises any of its options under our strategic alliance;</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8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medicines and technologies;</w:t>
      </w:r>
    </w:p>
    <w:p>
      <w:pPr>
        <w:spacing w:after="0" w:line="184" w:lineRule="exact"/>
        <w:rPr>
          <w:rFonts w:ascii="Arial" w:cs="Arial" w:eastAsia="Arial" w:hAnsi="Arial"/>
          <w:sz w:val="18"/>
          <w:szCs w:val="18"/>
          <w:color w:val="auto"/>
        </w:rPr>
      </w:pPr>
    </w:p>
    <w:p>
      <w:pPr>
        <w:ind w:left="980" w:hanging="329"/>
        <w:spacing w:after="0" w:line="203" w:lineRule="exact"/>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reimbursing our licensors for the prosecution and maintenance of the patent rights in</w:t>
      </w:r>
      <w:r>
        <w:rPr>
          <w:rFonts w:ascii="MS PGothic" w:cs="MS PGothic" w:eastAsia="MS PGothic" w:hAnsi="MS PGothic"/>
          <w:sz w:val="18"/>
          <w:szCs w:val="18"/>
          <w:color w:val="auto"/>
        </w:rPr>
        <w:t>‑</w:t>
      </w:r>
      <w:r>
        <w:rPr>
          <w:rFonts w:ascii="Arial" w:cs="Arial" w:eastAsia="Arial" w:hAnsi="Arial"/>
          <w:sz w:val="18"/>
          <w:szCs w:val="18"/>
          <w:color w:val="auto"/>
        </w:rPr>
        <w:t>licensed by us; and</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85" w:lineRule="exact"/>
        <w:rPr>
          <w:sz w:val="20"/>
          <w:szCs w:val="20"/>
          <w:color w:val="auto"/>
        </w:rPr>
      </w:pPr>
    </w:p>
    <w:p>
      <w:pPr>
        <w:ind w:right="80" w:firstLine="648"/>
        <w:spacing w:after="0" w:line="184" w:lineRule="exact"/>
        <w:rPr>
          <w:sz w:val="20"/>
          <w:szCs w:val="20"/>
          <w:color w:val="auto"/>
        </w:rPr>
      </w:pPr>
      <w:r>
        <w:rPr>
          <w:rFonts w:ascii="Arial" w:cs="Arial" w:eastAsia="Arial" w:hAnsi="Arial"/>
          <w:sz w:val="16"/>
          <w:szCs w:val="16"/>
          <w:color w:val="auto"/>
        </w:rPr>
        <w:t>Identifying potential product candidates and conducting preclinical testing and clinical trials is a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years to complete, and we may never generate the necessary data or results required to obtain marketing approval and achieve product sales. In addition, even if we successfully identify and develop product candidates and those are approved, we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62"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public or private equity offerings, debt financings, collaborations, strategic alliances, and licensing arrangements. We do not have any significant committed external source of funds, other than our right to payments under our collaboration agreement with Juno Therapeutics, and payments from our subtenant, each of which is limited in scope and duration. To the extent that we raise additional capital through the sale of equity or convertible debt securities, the ownership interests of our stockholders may be materially diluted, and the terms of these securities may include liquidation or other preferences that adversely affect the rights of our stockholders. Debt financing, if available, may involve agreements that include covenants limiting or restricting our ability to take specific actions, such as incurring additional debt, making capital expenditures, or declaring dividends.</w:t>
      </w:r>
    </w:p>
    <w:p>
      <w:pPr>
        <w:spacing w:after="0" w:line="162"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Our short operating history may make it difficult for our stockholders to evaluate the success of our business to date and to assess our future viability.</w:t>
      </w:r>
    </w:p>
    <w:p>
      <w:pPr>
        <w:spacing w:after="0" w:line="162" w:lineRule="exact"/>
        <w:rPr>
          <w:sz w:val="20"/>
          <w:szCs w:val="20"/>
          <w:color w:val="auto"/>
        </w:rPr>
      </w:pPr>
    </w:p>
    <w:p>
      <w:pPr>
        <w:ind w:right="20" w:firstLine="648"/>
        <w:spacing w:after="0" w:line="194" w:lineRule="exact"/>
        <w:rPr>
          <w:sz w:val="20"/>
          <w:szCs w:val="20"/>
          <w:color w:val="auto"/>
        </w:rPr>
      </w:pPr>
      <w:r>
        <w:rPr>
          <w:rFonts w:ascii="Arial" w:cs="Arial" w:eastAsia="Arial" w:hAnsi="Arial"/>
          <w:sz w:val="17"/>
          <w:szCs w:val="17"/>
          <w:color w:val="auto"/>
        </w:rPr>
        <w:t>We are an early</w:t>
      </w:r>
      <w:r>
        <w:rPr>
          <w:rFonts w:ascii="MS PGothic" w:cs="MS PGothic" w:eastAsia="MS PGothic" w:hAnsi="MS PGothic"/>
          <w:sz w:val="17"/>
          <w:szCs w:val="17"/>
          <w:color w:val="auto"/>
        </w:rPr>
        <w:t>‑</w:t>
      </w:r>
      <w:r>
        <w:rPr>
          <w:rFonts w:ascii="Arial" w:cs="Arial" w:eastAsia="Arial" w:hAnsi="Arial"/>
          <w:sz w:val="17"/>
          <w:szCs w:val="17"/>
          <w:color w:val="auto"/>
        </w:rPr>
        <w:t>stage company. We were founded and commenced operations in the second half of 2013. Our operations to date have been limited to organizing and staffing our company, business planning, raising capital, acquiring and developing our technology, identifying potential product candidates, and undertaking preclinical studies.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83" w:lineRule="exact"/>
        <w:rPr>
          <w:sz w:val="20"/>
          <w:szCs w:val="20"/>
          <w:color w:val="auto"/>
        </w:rPr>
      </w:pPr>
      <w:r>
        <w:rPr>
          <w:rFonts w:ascii="Arial" w:cs="Arial" w:eastAsia="Arial" w:hAnsi="Arial"/>
          <w:sz w:val="18"/>
          <w:szCs w:val="18"/>
          <w:color w:val="auto"/>
        </w:rPr>
        <w:t>All of our research programs are still in the preclinical or research stage of development, and their risk of failure is high. We have not yet demonstrated an ability to initiate or successfully complete any clinical trials, including large</w:t>
      </w:r>
      <w:r>
        <w:rPr>
          <w:rFonts w:ascii="MS PGothic" w:cs="MS PGothic" w:eastAsia="MS PGothic" w:hAnsi="MS PGothic"/>
          <w:sz w:val="18"/>
          <w:szCs w:val="18"/>
          <w:color w:val="auto"/>
        </w:rPr>
        <w:t>‑</w:t>
      </w:r>
      <w:r>
        <w:rPr>
          <w:rFonts w:ascii="Arial" w:cs="Arial" w:eastAsia="Arial" w:hAnsi="Arial"/>
          <w:sz w:val="18"/>
          <w:szCs w:val="18"/>
          <w:color w:val="auto"/>
        </w:rPr>
        <w:t>scale, pivotal clinical trials, obtain marketing approvals, manufacture a commercial</w:t>
      </w:r>
      <w:r>
        <w:rPr>
          <w:rFonts w:ascii="MS PGothic" w:cs="MS PGothic" w:eastAsia="MS PGothic" w:hAnsi="MS PGothic"/>
          <w:sz w:val="18"/>
          <w:szCs w:val="18"/>
          <w:color w:val="auto"/>
        </w:rPr>
        <w:t>‑</w:t>
      </w:r>
      <w:r>
        <w:rPr>
          <w:rFonts w:ascii="Arial" w:cs="Arial" w:eastAsia="Arial" w:hAnsi="Arial"/>
          <w:sz w:val="18"/>
          <w:szCs w:val="18"/>
          <w:color w:val="auto"/>
        </w:rPr>
        <w:t>scale medicine, or arrange for a third party to do so on our behalf, or conduct sales and marketing activities necessary for successful commercialization. Typically, it takes about 10 to 15 years to develop a new medicine from the time it is discovered to when it is available for treating patients. Consequently, any predictions about our future success or viability may not be as accurate as they could be if we had a longer operating history.</w:t>
      </w:r>
    </w:p>
    <w:p>
      <w:pPr>
        <w:spacing w:after="0" w:line="165"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63" w:lineRule="exact"/>
        <w:rPr>
          <w:sz w:val="20"/>
          <w:szCs w:val="20"/>
          <w:color w:val="auto"/>
        </w:rPr>
      </w:pPr>
    </w:p>
    <w:p>
      <w:pPr>
        <w:ind w:right="480" w:firstLine="648"/>
        <w:spacing w:after="0" w:line="189" w:lineRule="exact"/>
        <w:rPr>
          <w:sz w:val="20"/>
          <w:szCs w:val="20"/>
          <w:color w:val="auto"/>
        </w:rPr>
      </w:pPr>
      <w:r>
        <w:rPr>
          <w:rFonts w:ascii="Arial" w:cs="Arial" w:eastAsia="Arial" w:hAnsi="Arial"/>
          <w:sz w:val="18"/>
          <w:szCs w:val="18"/>
          <w:color w:val="auto"/>
        </w:rPr>
        <w:t>We expect that our financial condition and operating results will continue to fluctuate significantly from quarter</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quarter and year</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year due to a variety of factors, many of which are beyond our control. Accordingly, our stockholders should not rely upon the results of any quarterly or annual periods as indications of future operating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85"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do not anticipate generating revenues from product sales for the next several years, if ever. Our ability to generate future revenues from product sales depends heavily on our, or our collaborators’, ability to successfully:</w:t>
      </w:r>
    </w:p>
    <w:p>
      <w:pPr>
        <w:spacing w:after="0" w:line="162" w:lineRule="exact"/>
        <w:rPr>
          <w:sz w:val="20"/>
          <w:szCs w:val="20"/>
          <w:color w:val="auto"/>
        </w:rPr>
      </w:pPr>
    </w:p>
    <w:p>
      <w:pPr>
        <w:ind w:left="980" w:right="400" w:hanging="329"/>
        <w:spacing w:after="0" w:line="235"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product candidates and complete research and preclinical and clinical development of any product candidates we may identify;</w:t>
      </w:r>
    </w:p>
    <w:p>
      <w:pPr>
        <w:spacing w:after="0" w:line="161" w:lineRule="exact"/>
        <w:rPr>
          <w:rFonts w:ascii="Arial" w:cs="Arial" w:eastAsia="Arial" w:hAnsi="Arial"/>
          <w:sz w:val="18"/>
          <w:szCs w:val="18"/>
          <w:color w:val="auto"/>
        </w:rPr>
      </w:pPr>
    </w:p>
    <w:p>
      <w:pPr>
        <w:ind w:left="980" w:right="200" w:hanging="329"/>
        <w:spacing w:after="0" w:line="235"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and obtain regulatory and marketing approvals for any of our product candidates for which we complete clinical trials;</w:t>
      </w:r>
    </w:p>
    <w:p>
      <w:pPr>
        <w:spacing w:after="0" w:line="161" w:lineRule="exact"/>
        <w:rPr>
          <w:rFonts w:ascii="Arial" w:cs="Arial" w:eastAsia="Arial" w:hAnsi="Arial"/>
          <w:sz w:val="18"/>
          <w:szCs w:val="18"/>
          <w:color w:val="auto"/>
        </w:rPr>
      </w:pPr>
    </w:p>
    <w:p>
      <w:pPr>
        <w:ind w:left="980" w:right="100" w:hanging="329"/>
        <w:spacing w:after="0" w:line="22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 and commercialize any of our product candidates for which we obtain regulatory and marketing approval by establishing a sales force, marketing, and distribution infrastructure or, alternatively, collaborating with a commercialization partner;</w:t>
      </w:r>
    </w:p>
    <w:p>
      <w:pPr>
        <w:spacing w:after="0" w:line="163" w:lineRule="exact"/>
        <w:rPr>
          <w:rFonts w:ascii="Arial" w:cs="Arial" w:eastAsia="Arial" w:hAnsi="Arial"/>
          <w:sz w:val="18"/>
          <w:szCs w:val="18"/>
          <w:color w:val="auto"/>
        </w:rPr>
      </w:pPr>
    </w:p>
    <w:p>
      <w:pPr>
        <w:ind w:left="980" w:right="280" w:hanging="329"/>
        <w:spacing w:after="0" w:line="203" w:lineRule="exact"/>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qualify for adequate coverage and reimbursement by government and third</w:t>
      </w:r>
      <w:r>
        <w:rPr>
          <w:rFonts w:ascii="MS PGothic" w:cs="MS PGothic" w:eastAsia="MS PGothic" w:hAnsi="MS PGothic"/>
          <w:sz w:val="18"/>
          <w:szCs w:val="18"/>
          <w:color w:val="auto"/>
        </w:rPr>
        <w:t>‑</w:t>
      </w:r>
      <w:r>
        <w:rPr>
          <w:rFonts w:ascii="Arial" w:cs="Arial" w:eastAsia="Arial" w:hAnsi="Arial"/>
          <w:sz w:val="18"/>
          <w:szCs w:val="18"/>
          <w:color w:val="auto"/>
        </w:rPr>
        <w:t>party payors for any our product candidates for which we obtain regulatory and marketing approval;</w:t>
      </w:r>
    </w:p>
    <w:p>
      <w:pPr>
        <w:spacing w:after="0" w:line="161" w:lineRule="exact"/>
        <w:rPr>
          <w:rFonts w:ascii="Arial" w:cs="Arial" w:eastAsia="Arial" w:hAnsi="Arial"/>
          <w:sz w:val="18"/>
          <w:szCs w:val="18"/>
          <w:color w:val="auto"/>
        </w:rPr>
      </w:pPr>
    </w:p>
    <w:p>
      <w:pPr>
        <w:ind w:left="980" w:right="220" w:hanging="329"/>
        <w:spacing w:after="0" w:line="235"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maintain, and enhance a sustainable, scalable, reproducible, and transferable manufacturing process for the product candidates we may develop;</w:t>
      </w:r>
    </w:p>
    <w:p>
      <w:pPr>
        <w:spacing w:after="0" w:line="161" w:lineRule="exact"/>
        <w:rPr>
          <w:rFonts w:ascii="Arial" w:cs="Arial" w:eastAsia="Arial" w:hAnsi="Arial"/>
          <w:sz w:val="18"/>
          <w:szCs w:val="18"/>
          <w:color w:val="auto"/>
        </w:rPr>
      </w:pPr>
    </w:p>
    <w:p>
      <w:pPr>
        <w:ind w:left="980" w:right="80" w:hanging="329"/>
        <w:spacing w:after="0" w:line="23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and maintain supply and manufacturing relationships with third parties that can provide adequate, in both amount and quality, products and services to support clinical development and the market demand for any of our product candidates for which we obtain regulatory and marketing approval;</w:t>
      </w:r>
    </w:p>
    <w:p>
      <w:pPr>
        <w:spacing w:after="0" w:line="161" w:lineRule="exact"/>
        <w:rPr>
          <w:rFonts w:ascii="Arial" w:cs="Arial" w:eastAsia="Arial" w:hAnsi="Arial"/>
          <w:sz w:val="17"/>
          <w:szCs w:val="17"/>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market acceptance of any product candidates we may develop as viable treatment options;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competing technological and market developments;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internal systems and infrastructure, as needed;</w:t>
      </w:r>
    </w:p>
    <w:p>
      <w:pPr>
        <w:spacing w:after="0" w:line="184" w:lineRule="exact"/>
        <w:rPr>
          <w:rFonts w:ascii="Arial" w:cs="Arial" w:eastAsia="Arial" w:hAnsi="Arial"/>
          <w:sz w:val="18"/>
          <w:szCs w:val="18"/>
          <w:color w:val="auto"/>
        </w:rPr>
      </w:pPr>
    </w:p>
    <w:p>
      <w:pPr>
        <w:ind w:left="980" w:right="220" w:hanging="329"/>
        <w:spacing w:after="0" w:line="235"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negotiate favorable terms in any collaboration, licensing, or other arrangements into which we may enter and performing our obligations in such arrangements;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180" w:hanging="329"/>
        <w:spacing w:after="0" w:line="203" w:lineRule="exact"/>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protect, and expand our portfolio of intellectual property rights, including patents,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161"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avoid and defend against third</w:t>
      </w:r>
      <w:r>
        <w:rPr>
          <w:rFonts w:ascii="MS PGothic" w:cs="MS PGothic" w:eastAsia="MS PGothic" w:hAnsi="MS PGothic"/>
          <w:sz w:val="18"/>
          <w:szCs w:val="18"/>
          <w:color w:val="auto"/>
        </w:rPr>
        <w:t>‑</w:t>
      </w:r>
      <w:r>
        <w:rPr>
          <w:rFonts w:ascii="Arial" w:cs="Arial" w:eastAsia="Arial" w:hAnsi="Arial"/>
          <w:sz w:val="18"/>
          <w:szCs w:val="18"/>
          <w:color w:val="auto"/>
        </w:rPr>
        <w:t>party interference or infringement claims;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85" w:lineRule="exact"/>
        <w:rPr>
          <w:sz w:val="20"/>
          <w:szCs w:val="20"/>
          <w:color w:val="auto"/>
        </w:rPr>
      </w:pPr>
    </w:p>
    <w:p>
      <w:pPr>
        <w:ind w:right="260" w:firstLine="648"/>
        <w:spacing w:after="0" w:line="226" w:lineRule="auto"/>
        <w:rPr>
          <w:sz w:val="20"/>
          <w:szCs w:val="20"/>
          <w:color w:val="auto"/>
        </w:rPr>
      </w:pPr>
      <w:r>
        <w:rPr>
          <w:rFonts w:ascii="Arial" w:cs="Arial" w:eastAsia="Arial" w:hAnsi="Arial"/>
          <w:sz w:val="17"/>
          <w:szCs w:val="17"/>
          <w:color w:val="auto"/>
        </w:rPr>
        <w:t>Even if one or more of the product candidates we may develop is approved for commercial sale, we anticipate incurring significant costs associated with commercializing any approved product candidate. Our expenses could increase beyond expectations if we are required by the U.S. Food and Drug Administration (the “FDA”), the European Medicines Agency (the “EMA”),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and Commercialization</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17"/>
          <w:szCs w:val="17"/>
          <w:b w:val="1"/>
          <w:bCs w:val="1"/>
          <w:i w:val="1"/>
          <w:iCs w:val="1"/>
          <w:color w:val="auto"/>
        </w:rPr>
        <w:t>We intend to identify and develop product candidates based on a novel genome editing technology, which makes it difficult to predict the time and cost of product candidate development. No therapeutic products that utilize genome editing technology have been approved in the United States or in Europe, and there have only been a limited number of human clinical trials of a genome editing product candidate.</w:t>
      </w:r>
    </w:p>
    <w:p>
      <w:pPr>
        <w:spacing w:after="0" w:line="163"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We have concentrated our research and development efforts on our genome editing platform, which uses CRISPR technology. Our future success depends on the successful development of this novel genome editing therapeutic approach. To date, no therapeutic product that utilizes genome editing, including CRISPR technology, has been approved in the United States or Europe and there have been only a limited number of clinical trials involving the use of a therapeutic utilizing genome editing technologies. For example, we are aware of a limited number of groups initiating clinical trials using CRISPR technology. Because our programs are all in the research or preclinical stage, we have not yet been able to assess safety in humans, and there may be long</w:t>
      </w:r>
      <w:r>
        <w:rPr>
          <w:rFonts w:ascii="MS PGothic" w:cs="MS PGothic" w:eastAsia="MS PGothic" w:hAnsi="MS PGothic"/>
          <w:sz w:val="16"/>
          <w:szCs w:val="16"/>
          <w:color w:val="auto"/>
        </w:rPr>
        <w:t>‑</w:t>
      </w:r>
      <w:r>
        <w:rPr>
          <w:rFonts w:ascii="Arial" w:cs="Arial" w:eastAsia="Arial" w:hAnsi="Arial"/>
          <w:sz w:val="16"/>
          <w:szCs w:val="16"/>
          <w:color w:val="auto"/>
        </w:rPr>
        <w:t>term effects from treatment with any of our future product candidates that we cannot predict at this time. Any product candidates we may develop will act at the level of DNA, and, because animal DNA differs from human DNA, it will be difficult for us to test our future product candidates in animal models for either safety or efficacy. Also, animal models do not exist for some of the diseases we expect to pursue in our programs. As a result of these factors, it is more difficult for us to predict the time and cost of product candidate development, and we cannot predict whether the application of our genome editing platform, or any similar or competitive genome editing platforms, will result in the identification, development, and regulatory approval of any medicines. There can be no assurance that any development problems we experience in the future related to our genome editing platform or any of our research programs will not cause significant delays or unanticipated costs, or that such development problems can be solved. We may also experience delays in developing a sustainable, reproducible, and scalable manufacturing process or transferring that process to commercial partners. Any of these factors may prevent us from completing our preclinical studies or any clinical trials that we may initiate or commercializing any product candidates we may develop on a timely or profitable basis, if at all.</w:t>
      </w:r>
    </w:p>
    <w:p>
      <w:pPr>
        <w:spacing w:after="0" w:line="175"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b w:val="1"/>
          <w:bCs w:val="1"/>
          <w:i w:val="1"/>
          <w:iCs w:val="1"/>
          <w:color w:val="auto"/>
        </w:rPr>
        <w:t>Because genome editing is novel and the regulatory landscape that will govern any product candidates we may develop is uncertain and may change, we cannot predict the time and cost of obtaining regulatory approval, if we receive it at all, for any product candidates we may develop.</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regulatory requirements that will govern any novel genome editing product candidates we develop are not entirely clear and may change. Within the broader genomic medicine field, we are aware of a limited number of gene therapy products that have received marketing authorization from the FDA and the European Commission.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and sometimes uncoordinated, overlap in those responsible for regulation of existing gene therapy products and cell therapy products. For example, in the United States, the FDA has established the Office of Tissues and Advanced Therapies within its Center for Biologics Evaluation and Research (“CBER”) to consolidate the review of gene therapy and related products,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179" w:lineRule="exact"/>
        <w:rPr>
          <w:sz w:val="20"/>
          <w:szCs w:val="20"/>
          <w:color w:val="auto"/>
        </w:rPr>
      </w:pPr>
      <w:r>
        <w:rPr>
          <w:rFonts w:ascii="Arial" w:cs="Arial" w:eastAsia="Arial" w:hAnsi="Arial"/>
          <w:sz w:val="16"/>
          <w:szCs w:val="16"/>
          <w:color w:val="auto"/>
        </w:rPr>
        <w:t>and the Cellular, Tissue and Gene Therapies Advisory Committee to advise CBER on its review. Gene therapy clinical trials are also subject to review and oversight by an institutional biosafety committee (“IBC”), a local institutional committee that reviews and oversees basic and clinical research conducted at the institution participating in the clinical trial. Gene therapy clinical trials conducted at institutions that receive funding for recombinant DNA research from the United States National Institutes of Health (the “NIH”) are also subject to review by the NIH Office of Biotechnology Activities’ Recombinant DNA Advisory Committee. Although the FDA decides whether individual gene therapy protocols may proceed, the review process and determinations of other reviewing bodies can impede or delay the initiation of a clinical trial, even if the FDA has reviewed the trial and approved its initiation. The same applies in the European Union. The EMA’s Committee for Advanced Therapies (“CAT”) is responsible for assessing the quality, safety, and efficacy of advanced</w:t>
      </w:r>
      <w:r>
        <w:rPr>
          <w:rFonts w:ascii="MS PGothic" w:cs="MS PGothic" w:eastAsia="MS PGothic" w:hAnsi="MS PGothic"/>
          <w:sz w:val="16"/>
          <w:szCs w:val="16"/>
          <w:color w:val="auto"/>
        </w:rPr>
        <w:t>‑</w:t>
      </w:r>
      <w:r>
        <w:rPr>
          <w:rFonts w:ascii="Arial" w:cs="Arial" w:eastAsia="Arial" w:hAnsi="Arial"/>
          <w:sz w:val="16"/>
          <w:szCs w:val="16"/>
          <w:color w:val="auto"/>
        </w:rPr>
        <w:t>therapy medicinal products. The role of the CAT is to prepare a draft opinion on an application for marketing authorization for a gene therapy medicinal candidate that is submitted to the EMA. In the European Union, the development and evaluation of a gene therapy medicinal product must be considered in the context of the relevant European Union guidelines. The EMA may issue new guidelines concerning the development and marketing authorization for gene therapy medicinal products and require that we comply with these new guidelines. As a result, the procedures and standards applied to gene therapy products and cell therapy products may be applied to any CRISPR product candidates we may develop, but that remains uncertain at this point.</w:t>
      </w:r>
    </w:p>
    <w:p>
      <w:pPr>
        <w:spacing w:after="0" w:line="170" w:lineRule="exact"/>
        <w:rPr>
          <w:sz w:val="20"/>
          <w:szCs w:val="20"/>
          <w:color w:val="auto"/>
        </w:rPr>
      </w:pPr>
    </w:p>
    <w:p>
      <w:pPr>
        <w:ind w:right="60" w:firstLine="648"/>
        <w:spacing w:after="0" w:line="234" w:lineRule="auto"/>
        <w:rPr>
          <w:sz w:val="20"/>
          <w:szCs w:val="20"/>
          <w:color w:val="auto"/>
        </w:rPr>
      </w:pPr>
      <w:r>
        <w:rPr>
          <w:rFonts w:ascii="Arial" w:cs="Arial" w:eastAsia="Arial" w:hAnsi="Arial"/>
          <w:sz w:val="16"/>
          <w:szCs w:val="16"/>
          <w:color w:val="auto"/>
        </w:rPr>
        <w:t>Adverse developments in clinical trials conducted by others of gene therapy products, cell therapy products, or products developed through the application of a CRISPR or other genome editing technology may cause the FDA, the EMA, and other regulatory bodies to revise the requirements for approval of any product candidates we may develop or limit the use of products utilizing genome editing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genome editing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170"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The regulatory review committees and advisory groups described above and the new guidelines they promulgate may lengthen the regulatory review process, require us to perform additional studies or trials, increase our development costs, lead to changes in regulatory positions and interpretations, delay or prevent approval and commercialization of these treatment candidates, or lead to significant post</w:t>
      </w:r>
      <w:r>
        <w:rPr>
          <w:rFonts w:ascii="MS PGothic" w:cs="MS PGothic" w:eastAsia="MS PGothic" w:hAnsi="MS PGothic"/>
          <w:sz w:val="18"/>
          <w:szCs w:val="18"/>
          <w:color w:val="auto"/>
        </w:rPr>
        <w:t>‑</w:t>
      </w:r>
      <w:r>
        <w:rPr>
          <w:rFonts w:ascii="Arial" w:cs="Arial" w:eastAsia="Arial" w:hAnsi="Arial"/>
          <w:sz w:val="18"/>
          <w:szCs w:val="18"/>
          <w:color w:val="auto"/>
        </w:rPr>
        <w: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spacing w:after="0" w:line="16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Adverse public perception of genomic medicines, and genome editing in particular, may negatively impact regulatory approval of, or demand for, our potential products.</w:t>
      </w:r>
    </w:p>
    <w:p>
      <w:pPr>
        <w:spacing w:after="0" w:line="162"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Our potential therapeutic products involve editing the human genome. The clinical and commercial success of our potential products will depend in part on public acceptance of the use of genome editing therapy for the prevention or treatment of human diseases. Public attitudes may be influenced by claims that genome editing is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65"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In addition, genome editing technology is subject to public debate and heightened regulatory scrutiny due to ethical concerns relating to the application of genome editing technology to human embryos or the human germline. For example, in April 2015, Chinese scientists reported on their attempts to edit the genome of human embryos to modify the gene for hemoglobin beta. This is the gene in which a mutation occurs in patients with the inherited blood disorder beta</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80" w:lineRule="exact"/>
        <w:rPr>
          <w:sz w:val="20"/>
          <w:szCs w:val="20"/>
          <w:color w:val="auto"/>
        </w:rPr>
      </w:pPr>
      <w:r>
        <w:rPr>
          <w:rFonts w:ascii="Arial" w:cs="Arial" w:eastAsia="Arial" w:hAnsi="Arial"/>
          <w:sz w:val="17"/>
          <w:szCs w:val="17"/>
          <w:color w:val="auto"/>
        </w:rPr>
        <w:t>thalassemia. Although this research was purposefully conducted in embryos that were not viable, the work prompted calls for a moratorium or other types of restrictions on genome editing of human eggs, sperm, and embryos. The Alliance for Regenerative Medicine in Washington has called for a voluntary moratorium on the use of genome editing technologies, including CRISPR/Cas9, in research that involved altering human embryos or human germline cells. Similarly, the NIH has announced that it would not fund any use of genome editing technologies in human embryos, noting that there are multiple existing legislative and regulatory prohibitions against such work, including the Dickey</w:t>
      </w:r>
      <w:r>
        <w:rPr>
          <w:rFonts w:ascii="MS PGothic" w:cs="MS PGothic" w:eastAsia="MS PGothic" w:hAnsi="MS PGothic"/>
          <w:sz w:val="17"/>
          <w:szCs w:val="17"/>
          <w:color w:val="auto"/>
        </w:rPr>
        <w:t>‑</w:t>
      </w:r>
      <w:r>
        <w:rPr>
          <w:rFonts w:ascii="Arial" w:cs="Arial" w:eastAsia="Arial" w:hAnsi="Arial"/>
          <w:sz w:val="17"/>
          <w:szCs w:val="17"/>
          <w:color w:val="auto"/>
        </w:rPr>
        <w:t>Wicker Amendment, which prohibits the use of appropriated funds for the creation of human embryos for research purposes or for research in which human embryos are destroyed. While the National Academy of Sciences released a report in February 2017 suggesting that it may be advisable to permit clinical trials for germline genome editing if undertaken for compelling reasons and under strict oversight, it maintained that any such research should only proceed with broad public input. Laws in the United Kingdom prohibit genetically modified embryos from being implanted into women, but embryos can be altered in research labs under license from the Human Fertilisation and Embryology Authority. Research on embryos is more tightly controlled in many other European countries. Notwithstanding, we are aware of certain groups conducting research in human embryo genome editing.</w:t>
      </w:r>
    </w:p>
    <w:p>
      <w:pPr>
        <w:spacing w:after="0" w:line="165"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Moreover, in an annual worldwide threat assessment report delivered to the U.S. Congress in February 2016, the U.S. Director of National Intelligence stated that research into genome editing probably increases the risk of the creation of potentially harmful biological agents or products, including weapons of mass destruction. He noted that the broad distribution, low cost, and accelerated pace of development of genome editing technology could result in the deliberate or unintentional misuse of such technology.</w:t>
      </w:r>
    </w:p>
    <w:p>
      <w:pPr>
        <w:spacing w:after="0" w:line="162"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Although we do not use our technologies to edit human embryos or the human germline, such public debate about the use of genome 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products we may develop. Adverse events in our preclinical studies or clinical trials or those of our competitors or of academic researchers utilizing genome editing technologies, even if not ultimately attributable to product candidates we may identify and develop, and the resulting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 Use of genome editing technology by a third party or government to develop biological agents or products that threaten the United States’ national security could similarly result in such negative impacts to us.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develop, or commercialize potential product candidates.</w:t>
      </w:r>
    </w:p>
    <w:p>
      <w:pPr>
        <w:spacing w:after="0" w:line="196"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products based on our genome editing platform. All of our product development programs are still in the preclinical or research stage of development. Our research programs, including those subject to our collaboration with Juno Therapeutics and our strategic alliance with Allergan, may fail to identify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impractical to manufacture, unmarketable, or unlikely to receive marketing approval.</w:t>
      </w:r>
    </w:p>
    <w:p>
      <w:pPr>
        <w:spacing w:after="0" w:line="163"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financial condition, results of operations, and prospects. Research programs to identify new product candidates require substantial technical, financial, and human resources. We may focus our efforts and resources on potential programs or product candidates that ultimately prove to be unsuccessful.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The genome editing field is relatively new and is evolving rapidly. We are focusing our research and development efforts on CRISPR gene editing technology using Cas9 and Cpf1 enzymes, but other genome editing technologies may be discovered that provide significant advantages over CRISPR/Cas9 or CRISPR/Cpf1, which could materially harm our business.</w:t>
      </w:r>
    </w:p>
    <w:p>
      <w:pPr>
        <w:spacing w:after="0" w:line="163"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To date, we have focused our efforts on genome editing technologies using CRISPR and the Cas9 and Cpf1 enzymes. Other companies have previously undertaken research and development of genome editing technologies using zinc finger nucleases, engineered meganucleases, and transcription activator</w:t>
      </w:r>
      <w:r>
        <w:rPr>
          <w:rFonts w:ascii="MS PGothic" w:cs="MS PGothic" w:eastAsia="MS PGothic" w:hAnsi="MS PGothic"/>
          <w:sz w:val="17"/>
          <w:szCs w:val="17"/>
          <w:color w:val="auto"/>
        </w:rPr>
        <w:t>‑</w:t>
      </w:r>
      <w:r>
        <w:rPr>
          <w:rFonts w:ascii="Arial" w:cs="Arial" w:eastAsia="Arial" w:hAnsi="Arial"/>
          <w:sz w:val="17"/>
          <w:szCs w:val="17"/>
          <w:color w:val="auto"/>
        </w:rPr>
        <w:t>like effector (“TALE”) nucleases, but to date none has obtained marketing approval for a product candidate. There can be no certainty that the CRISPR/Cas9 or CRISPR/Cpf1 technology will lead to the development of genomic medicines, that other genome editing technologies will not be considered better or more attractive for the development of medicines or that either Cas9 or Cpf1, the two CRISPR associated proteins that we use, may be useful or successful in developing therapeutics. For example, Cas9 or Cpf1 may be determined to be less attractive than other CRISPR enzymes, including CRISPR enzymes that have yet to be discovered. Similarly, a new genome editing technology that has not been discovered yet may be determined to be more attractive than CRISPR. Moreover, if we decide to develop genome technologies other than CRISPR technology using a Cas9 or Cpf1 enzyme, we cannot be certain we will be able to obtain rights to such technologies. Although all of our founders who currently provide consulting and advisory services to us in the area of certain genome editing technologies have assignment of inventions obligations to us with respect to the services they perform for us, these assignment of inventions obligations are subject to limitations and do not extend to their work in other fields or to the intellectual property arising from their employment with their respective academic and research institutions. To obtain intellectual property rights assigned by these founders to such institutions, we would need to enter into license agreements with such institutions. Any of these factors could reduce or eliminate our commercial opportunity, and could have a material adverse effect on our business, financial condition, results of operations, and prospects.</w:t>
      </w:r>
    </w:p>
    <w:p>
      <w:pPr>
        <w:spacing w:after="0" w:line="166" w:lineRule="exact"/>
        <w:rPr>
          <w:sz w:val="20"/>
          <w:szCs w:val="20"/>
          <w:color w:val="auto"/>
        </w:rPr>
      </w:pPr>
    </w:p>
    <w:p>
      <w:pPr>
        <w:spacing w:after="0" w:line="219" w:lineRule="auto"/>
        <w:rPr>
          <w:sz w:val="20"/>
          <w:szCs w:val="20"/>
          <w:color w:val="auto"/>
        </w:rPr>
      </w:pPr>
      <w:r>
        <w:rPr>
          <w:rFonts w:ascii="Arial" w:cs="Arial" w:eastAsia="Arial" w:hAnsi="Arial"/>
          <w:sz w:val="18"/>
          <w:szCs w:val="18"/>
          <w:b w:val="1"/>
          <w:bCs w:val="1"/>
          <w:i w:val="1"/>
          <w:iCs w:val="1"/>
          <w:color w:val="auto"/>
        </w:rPr>
        <w:t>We depend heavily on the success of our most advanced program. All of our product development programs are at the preclinical or research stage. Preclinical testing and clinical trials of product candidates may not be successful. If we are unable to commercialize any product candidates we may develop or experience significant delays in doing so, our business will be materially harmed.</w:t>
      </w:r>
    </w:p>
    <w:p>
      <w:pPr>
        <w:spacing w:after="0" w:line="163"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We have invested a significant portion of our efforts and financial resources in the identification of our most advanced product development program for the treatment of Leber Congenital Amaurosis type 10 (“LCA10”). Our ability to generate product revenues, which we do not expect will occur for many years, if ever, will depend heavily on the successful development and eventual commercialization of a product candidate for the treatment of LCA10 and other product candidates that we may identify in the future. The success of product candidates we may identify and develop will depend on many factors, including the following:</w:t>
      </w:r>
    </w:p>
    <w:p>
      <w:pPr>
        <w:spacing w:after="0" w:line="162" w:lineRule="exact"/>
        <w:rPr>
          <w:sz w:val="20"/>
          <w:szCs w:val="20"/>
          <w:color w:val="auto"/>
        </w:rPr>
      </w:pPr>
    </w:p>
    <w:p>
      <w:pPr>
        <w:ind w:left="980" w:right="160" w:hanging="329"/>
        <w:spacing w:after="0" w:line="235"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for our most advanced program;</w:t>
      </w:r>
    </w:p>
    <w:p>
      <w:pPr>
        <w:spacing w:after="0" w:line="161"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completion of preclinical studies and investigational new drug (“IND”)</w:t>
      </w:r>
      <w:r>
        <w:rPr>
          <w:rFonts w:ascii="MS PGothic" w:cs="MS PGothic" w:eastAsia="MS PGothic" w:hAnsi="MS PGothic"/>
          <w:sz w:val="18"/>
          <w:szCs w:val="18"/>
          <w:color w:val="auto"/>
        </w:rPr>
        <w:t>‑</w:t>
      </w:r>
      <w:r>
        <w:rPr>
          <w:rFonts w:ascii="Arial" w:cs="Arial" w:eastAsia="Arial" w:hAnsi="Arial"/>
          <w:sz w:val="18"/>
          <w:szCs w:val="18"/>
          <w:color w:val="auto"/>
        </w:rPr>
        <w:t>enabling studies;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84"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w:t>
      </w:r>
      <w:r>
        <w:rPr>
          <w:rFonts w:ascii="MS PGothic" w:cs="MS PGothic" w:eastAsia="MS PGothic" w:hAnsi="MS PGothic"/>
          <w:sz w:val="17"/>
          <w:szCs w:val="17"/>
          <w:color w:val="auto"/>
        </w:rPr>
        <w:t>‑</w:t>
      </w:r>
      <w:r>
        <w:rPr>
          <w:rFonts w:ascii="Arial" w:cs="Arial" w:eastAsia="Arial" w:hAnsi="Arial"/>
          <w:sz w:val="17"/>
          <w:szCs w:val="17"/>
          <w:color w:val="auto"/>
        </w:rPr>
        <w:t>party manufacturers;</w:t>
      </w:r>
    </w:p>
    <w:p>
      <w:pPr>
        <w:spacing w:after="0" w:line="196" w:lineRule="exact"/>
        <w:rPr>
          <w:rFonts w:ascii="Arial" w:cs="Arial" w:eastAsia="Arial" w:hAnsi="Arial"/>
          <w:sz w:val="17"/>
          <w:szCs w:val="17"/>
          <w:color w:val="auto"/>
        </w:rPr>
      </w:pPr>
    </w:p>
    <w:p>
      <w:pPr>
        <w:ind w:left="980" w:hanging="329"/>
        <w:spacing w:after="0" w:line="196" w:lineRule="exact"/>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w:t>
      </w:r>
      <w:r>
        <w:rPr>
          <w:rFonts w:ascii="MS PGothic" w:cs="MS PGothic" w:eastAsia="MS PGothic" w:hAnsi="MS PGothic"/>
          <w:sz w:val="17"/>
          <w:szCs w:val="17"/>
          <w:color w:val="auto"/>
        </w:rPr>
        <w:t>‑</w:t>
      </w:r>
      <w:r>
        <w:rPr>
          <w:rFonts w:ascii="Arial" w:cs="Arial" w:eastAsia="Arial" w:hAnsi="Arial"/>
          <w:sz w:val="17"/>
          <w:szCs w:val="17"/>
          <w:color w:val="auto"/>
        </w:rPr>
        <w:t>patent exclusivity for our medicines;</w:t>
      </w:r>
    </w:p>
    <w:p>
      <w:pPr>
        <w:spacing w:after="0" w:line="196" w:lineRule="exact"/>
        <w:rPr>
          <w:rFonts w:ascii="Arial" w:cs="Arial" w:eastAsia="Arial" w:hAnsi="Arial"/>
          <w:sz w:val="17"/>
          <w:szCs w:val="17"/>
          <w:color w:val="auto"/>
        </w:rPr>
      </w:pPr>
    </w:p>
    <w:p>
      <w:pPr>
        <w:ind w:left="980" w:right="360" w:hanging="329"/>
        <w:spacing w:after="0" w:line="235"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commercial sales of the medicines, if and when approved, whether alone or in collaboration with others;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hanging="329"/>
        <w:spacing w:after="0" w:line="184" w:lineRule="exact"/>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acceptance of the medicines, if and when approved, by patients,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7" w:lineRule="exact"/>
        <w:rPr>
          <w:rFonts w:ascii="Arial" w:cs="Arial" w:eastAsia="Arial" w:hAnsi="Arial"/>
          <w:sz w:val="16"/>
          <w:szCs w:val="16"/>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competing with other therapies and treatment options;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of the medicines following approval;</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enforcing and defending intellectual property and proprietary rights and claims;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desirable medicinal properties for the intended indications.</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any product candidates we may develop, which would materially harm our business.</w:t>
      </w:r>
    </w:p>
    <w:p>
      <w:pPr>
        <w:spacing w:after="0" w:line="163" w:lineRule="exact"/>
        <w:rPr>
          <w:sz w:val="20"/>
          <w:szCs w:val="20"/>
          <w:color w:val="auto"/>
        </w:rPr>
      </w:pPr>
    </w:p>
    <w:p>
      <w:pPr>
        <w:ind w:right="140" w:firstLine="648"/>
        <w:spacing w:after="0" w:line="222" w:lineRule="auto"/>
        <w:rPr>
          <w:sz w:val="20"/>
          <w:szCs w:val="20"/>
          <w:color w:val="auto"/>
        </w:rPr>
      </w:pPr>
      <w:r>
        <w:rPr>
          <w:rFonts w:ascii="Arial" w:cs="Arial" w:eastAsia="Arial" w:hAnsi="Arial"/>
          <w:sz w:val="17"/>
          <w:szCs w:val="17"/>
          <w:color w:val="auto"/>
        </w:rPr>
        <w:t>Of the large number of biologics and drugs in development in the pharmaceutical industry, only a small percentage result in the submission of a Biologics License Application (a “BLA”) to the FDA or a marketing authorization application (an “MAA”) to the EMA. Not all BLAs or MAAs that are submitted to a regulatory agency are approved for commercialization. Furthermore, even if we do receive regulatory approval to market any product candidates that we may identify and develop, any such approval may be subject to limitations on the indicated uses for which we may market the product. Accordingly, even if we are able to obtain the requisite financing to continue to fund our research programs, we cannot assure you that we will successfully develop or commercialize our most advanced program, or any of our other research programs. If we or any of our future development partners are unable to develop, or obtain regulatory approval for, or, if approved, successfully commercialize, any product candidates we may identify and develop, we may not be able to generate sufficient revenue to continue our business.</w:t>
      </w:r>
    </w:p>
    <w:p>
      <w:pPr>
        <w:spacing w:after="0" w:line="164"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b w:val="1"/>
          <w:bCs w:val="1"/>
          <w:i w:val="1"/>
          <w:iCs w:val="1"/>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163"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We have not evaluated any product candidates in human clinical trials, and our proposed delivery modes, combined with CRISPR technology, have a limited, if any, history of being tested clinically. It is impossible to predict when or if any product candidates we may develop will prove safe in humans. In the genomic medicine field, there have been several significant adverse events from gene therapy treatments in the past, including reported cases of leukemia and death. There can be no assurance that genome editing technologies will not cause undesirable side effects.</w:t>
      </w:r>
    </w:p>
    <w:p>
      <w:pPr>
        <w:spacing w:after="0" w:line="161"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A significant risk in any genome editing product is that the edit will be “off</w:t>
      </w:r>
      <w:r>
        <w:rPr>
          <w:rFonts w:ascii="MS PGothic" w:cs="MS PGothic" w:eastAsia="MS PGothic" w:hAnsi="MS PGothic"/>
          <w:sz w:val="16"/>
          <w:szCs w:val="16"/>
          <w:color w:val="auto"/>
        </w:rPr>
        <w:t>‑</w:t>
      </w:r>
      <w:r>
        <w:rPr>
          <w:rFonts w:ascii="Arial" w:cs="Arial" w:eastAsia="Arial" w:hAnsi="Arial"/>
          <w:sz w:val="16"/>
          <w:szCs w:val="16"/>
          <w:color w:val="auto"/>
        </w:rPr>
        <w:t>target” and cause serious adverse events, undesirable side effects, or unexpected characteristics. For example, off</w:t>
      </w:r>
      <w:r>
        <w:rPr>
          <w:rFonts w:ascii="MS PGothic" w:cs="MS PGothic" w:eastAsia="MS PGothic" w:hAnsi="MS PGothic"/>
          <w:sz w:val="16"/>
          <w:szCs w:val="16"/>
          <w:color w:val="auto"/>
        </w:rPr>
        <w:t>‑</w:t>
      </w:r>
      <w:r>
        <w:rPr>
          <w:rFonts w:ascii="Arial" w:cs="Arial" w:eastAsia="Arial" w:hAnsi="Arial"/>
          <w:sz w:val="16"/>
          <w:szCs w:val="16"/>
          <w:color w:val="auto"/>
        </w:rPr>
        <w:t>target cuts could lead to disruption of a gene or a genetic regulatory sequence at an unintended site in the DNA, or, in those instances where we also provide a segment of DNA to serve as a repair template, it is possible that following off</w:t>
      </w:r>
      <w:r>
        <w:rPr>
          <w:rFonts w:ascii="MS PGothic" w:cs="MS PGothic" w:eastAsia="MS PGothic" w:hAnsi="MS PGothic"/>
          <w:sz w:val="16"/>
          <w:szCs w:val="16"/>
          <w:color w:val="auto"/>
        </w:rPr>
        <w:t>‑</w:t>
      </w:r>
      <w:r>
        <w:rPr>
          <w:rFonts w:ascii="Arial" w:cs="Arial" w:eastAsia="Arial" w:hAnsi="Arial"/>
          <w:sz w:val="16"/>
          <w:szCs w:val="16"/>
          <w:color w:val="auto"/>
        </w:rPr>
        <w:t>target cut events, DNA from such repair template could be integrated into the genome at an unintended site, potentially disrupting another important gene or genomic element. We cannot be certain that off</w:t>
      </w:r>
      <w:r>
        <w:rPr>
          <w:rFonts w:ascii="MS PGothic" w:cs="MS PGothic" w:eastAsia="MS PGothic" w:hAnsi="MS PGothic"/>
          <w:sz w:val="16"/>
          <w:szCs w:val="16"/>
          <w:color w:val="auto"/>
        </w:rPr>
        <w:t>‑</w:t>
      </w:r>
      <w:r>
        <w:rPr>
          <w:rFonts w:ascii="Arial" w:cs="Arial" w:eastAsia="Arial" w:hAnsi="Arial"/>
          <w:sz w:val="16"/>
          <w:szCs w:val="16"/>
          <w:color w:val="auto"/>
        </w:rPr>
        <w:t>target editing will not occur in any of our planned or future clinical studies. There is also the potential risk of delayed adverse events following exposure to genome editing therapy due to the potential for persistent biological activity of the genetic material or other components of products used to carry the genetic material.</w:t>
      </w:r>
    </w:p>
    <w:p>
      <w:pPr>
        <w:spacing w:after="0" w:line="167"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If any product candidates we develop are associated with serious adverse events, or undesirable side effects, or have characteristics that are unexpected, we may need to abandon their development or limit development to certain uses or subpopulations in which the serious adverse events, undesirable side effects or other characteristics are less prevalent, less severe, or more acceptable from a risk</w:t>
      </w:r>
      <w:r>
        <w:rPr>
          <w:rFonts w:ascii="MS PGothic" w:cs="MS PGothic" w:eastAsia="MS PGothic" w:hAnsi="MS PGothic"/>
          <w:sz w:val="17"/>
          <w:szCs w:val="17"/>
          <w:color w:val="auto"/>
        </w:rPr>
        <w:t>‑</w:t>
      </w:r>
      <w:r>
        <w:rPr>
          <w:rFonts w:ascii="Arial" w:cs="Arial" w:eastAsia="Arial" w:hAnsi="Arial"/>
          <w:sz w:val="17"/>
          <w:szCs w:val="17"/>
          <w:color w:val="auto"/>
        </w:rPr>
        <w:t>benefit perspective, any of which would have a material adverse effect on our business, financial condition, results of operations, and prospects. Many product candidates that initially showed promise in early stage testing for treating cancer or other diseases have later been found to cause side effects that prevented further clinical development of the product candidates.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59"/>
        <w:spacing w:after="0" w:line="224" w:lineRule="auto"/>
        <w:rPr>
          <w:sz w:val="20"/>
          <w:szCs w:val="20"/>
          <w:color w:val="auto"/>
        </w:rPr>
      </w:pPr>
      <w:r>
        <w:rPr>
          <w:rFonts w:ascii="Arial" w:cs="Arial" w:eastAsia="Arial" w:hAnsi="Arial"/>
          <w:sz w:val="18"/>
          <w:szCs w:val="18"/>
          <w:b w:val="1"/>
          <w:bCs w:val="1"/>
          <w:i w:val="1"/>
          <w:iCs w:val="1"/>
          <w:color w:val="auto"/>
        </w:rPr>
        <w:t>If any of the product candidates we may develop or the delivery modes we rely on cause undesirable side effects, it could delay or prevent their regulatory approval, limit the commercial potential, or result in significant negative consequences following any potential marketing approval.</w:t>
      </w:r>
    </w:p>
    <w:p>
      <w:pPr>
        <w:spacing w:after="0" w:line="163" w:lineRule="exact"/>
        <w:rPr>
          <w:sz w:val="20"/>
          <w:szCs w:val="20"/>
          <w:color w:val="auto"/>
        </w:rPr>
      </w:pPr>
    </w:p>
    <w:p>
      <w:pPr>
        <w:ind w:right="199" w:firstLine="648"/>
        <w:spacing w:after="0" w:line="185" w:lineRule="exact"/>
        <w:rPr>
          <w:sz w:val="20"/>
          <w:szCs w:val="20"/>
          <w:color w:val="auto"/>
        </w:rPr>
      </w:pPr>
      <w:r>
        <w:rPr>
          <w:rFonts w:ascii="Arial" w:cs="Arial" w:eastAsia="Arial" w:hAnsi="Arial"/>
          <w:sz w:val="17"/>
          <w:szCs w:val="17"/>
          <w:color w:val="auto"/>
        </w:rPr>
        <w:t>Product candidates we may develop may be associated with off</w:t>
      </w:r>
      <w:r>
        <w:rPr>
          <w:rFonts w:ascii="MS PGothic" w:cs="MS PGothic" w:eastAsia="MS PGothic" w:hAnsi="MS PGothic"/>
          <w:sz w:val="17"/>
          <w:szCs w:val="17"/>
          <w:color w:val="auto"/>
        </w:rPr>
        <w:t>‑</w:t>
      </w:r>
      <w:r>
        <w:rPr>
          <w:rFonts w:ascii="Arial" w:cs="Arial" w:eastAsia="Arial" w:hAnsi="Arial"/>
          <w:sz w:val="17"/>
          <w:szCs w:val="17"/>
          <w:color w:val="auto"/>
        </w:rPr>
        <w:t>target editing or other serious adverse events, undesirable side effects, or unexpected characteristics. There also is the potential risk of delayed adverse events following exposure to gene editing therapy due to persistent biologic activity of the genetic material or other components of products used to carry the genetic material. In addition to serious adverse events or side effects caused by any product candidate we may develop, the administration process or related procedures also can cause undesirable side effects. If any such events occur, our clinical trials could be suspended or terminated.</w:t>
      </w:r>
    </w:p>
    <w:p>
      <w:pPr>
        <w:spacing w:after="0" w:line="165" w:lineRule="exact"/>
        <w:rPr>
          <w:sz w:val="20"/>
          <w:szCs w:val="20"/>
          <w:color w:val="auto"/>
        </w:rPr>
      </w:pPr>
    </w:p>
    <w:p>
      <w:pPr>
        <w:ind w:right="19" w:firstLine="648"/>
        <w:spacing w:after="0" w:line="181" w:lineRule="exact"/>
        <w:rPr>
          <w:sz w:val="20"/>
          <w:szCs w:val="20"/>
          <w:color w:val="auto"/>
        </w:rPr>
      </w:pPr>
      <w:r>
        <w:rPr>
          <w:rFonts w:ascii="Arial" w:cs="Arial" w:eastAsia="Arial" w:hAnsi="Arial"/>
          <w:sz w:val="16"/>
          <w:szCs w:val="16"/>
          <w:color w:val="auto"/>
        </w:rPr>
        <w:t>If in the future we are unable to demonstrate that such adverse events were caused by factors other than our product candidate, the FDA, the European Commission, the EMA or other regulatory authorities could order us to cease further development of, or deny approval of, any product candidates we are able to develop for any or all targeted indications. Even if we are able to demonstrate that all future serious adverse events are not product</w:t>
      </w:r>
      <w:r>
        <w:rPr>
          <w:rFonts w:ascii="MS PGothic" w:cs="MS PGothic" w:eastAsia="MS PGothic" w:hAnsi="MS PGothic"/>
          <w:sz w:val="16"/>
          <w:szCs w:val="16"/>
          <w:color w:val="auto"/>
        </w:rPr>
        <w:t>‑</w:t>
      </w:r>
      <w:r>
        <w:rPr>
          <w:rFonts w:ascii="Arial" w:cs="Arial" w:eastAsia="Arial" w:hAnsi="Arial"/>
          <w:sz w:val="16"/>
          <w:szCs w:val="16"/>
          <w:color w:val="auto"/>
        </w:rPr>
        <w: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168" w:lineRule="exact"/>
        <w:rPr>
          <w:sz w:val="20"/>
          <w:szCs w:val="20"/>
          <w:color w:val="auto"/>
        </w:rPr>
      </w:pPr>
    </w:p>
    <w:p>
      <w:pPr>
        <w:ind w:right="79" w:firstLine="648"/>
        <w:spacing w:after="0" w:line="239" w:lineRule="auto"/>
        <w:rPr>
          <w:sz w:val="20"/>
          <w:szCs w:val="20"/>
          <w:color w:val="auto"/>
        </w:rPr>
      </w:pPr>
      <w:r>
        <w:rPr>
          <w:rFonts w:ascii="Arial" w:cs="Arial" w:eastAsia="Arial" w:hAnsi="Arial"/>
          <w:sz w:val="16"/>
          <w:szCs w:val="16"/>
          <w:color w:val="auto"/>
        </w:rPr>
        <w:t>Additionally, if we successfully develop a product candidate and it receives marketing approval, the FDA could require us to adopt a Risk Evaluation and Mitigation Strategy (“REMS”) to ensure that the benefits of treatment with such product candidate outweighs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to develop, several potentially significant negative consequences could result, including:</w:t>
      </w:r>
    </w:p>
    <w:p>
      <w:pPr>
        <w:spacing w:after="0" w:line="163" w:lineRule="exact"/>
        <w:rPr>
          <w:sz w:val="20"/>
          <w:szCs w:val="20"/>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administered or conduct additional clinical trials;</w:t>
      </w:r>
    </w:p>
    <w:p>
      <w:pPr>
        <w:spacing w:after="0" w:line="207" w:lineRule="exact"/>
        <w:rPr>
          <w:rFonts w:ascii="Arial" w:cs="Arial" w:eastAsia="Arial" w:hAnsi="Arial"/>
          <w:sz w:val="16"/>
          <w:szCs w:val="16"/>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219" w:firstLine="648"/>
        <w:spacing w:after="0" w:line="224" w:lineRule="auto"/>
        <w:rPr>
          <w:sz w:val="20"/>
          <w:szCs w:val="20"/>
          <w:color w:val="auto"/>
        </w:rPr>
      </w:pPr>
      <w:r>
        <w:rPr>
          <w:rFonts w:ascii="Arial" w:cs="Arial" w:eastAsia="Arial" w:hAnsi="Arial"/>
          <w:sz w:val="18"/>
          <w:szCs w:val="18"/>
          <w:color w:val="auto"/>
        </w:rPr>
        <w:t>Any of these events could prevent us from achieving or maintaining market acceptance of any product candidates we may identify and develop and could have a material adverse effect on our business, financial condition, results of operations, and prospects.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tested any of our proposed delivery modes and product candidates in clinical trials.</w:t>
      </w:r>
    </w:p>
    <w:p>
      <w:pPr>
        <w:spacing w:after="0" w:line="185" w:lineRule="exact"/>
        <w:rPr>
          <w:sz w:val="20"/>
          <w:szCs w:val="20"/>
          <w:color w:val="auto"/>
        </w:rPr>
      </w:pPr>
    </w:p>
    <w:p>
      <w:pPr>
        <w:ind w:right="319" w:firstLine="648"/>
        <w:spacing w:after="0" w:line="238" w:lineRule="auto"/>
        <w:rPr>
          <w:sz w:val="20"/>
          <w:szCs w:val="20"/>
          <w:color w:val="auto"/>
        </w:rPr>
      </w:pPr>
      <w:r>
        <w:rPr>
          <w:rFonts w:ascii="Arial" w:cs="Arial" w:eastAsia="Arial" w:hAnsi="Arial"/>
          <w:sz w:val="17"/>
          <w:szCs w:val="17"/>
          <w:color w:val="auto"/>
        </w:rPr>
        <w:t>Our proposed delivery modes, combined with our product candidates, have a limited, if any, history of being evaluated in human clinical trials. Any product candidates we develop may fail to show the desired safety and efficacy in later stages of clinical development despite having successfully advanced through initial clinical trials.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62"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Any such adverse events may cause us to delay, limit, or terminate planned clinical trials, any of which would have a material adverse effect on our business, financial condition, results of operations, and prospects.</w:t>
      </w:r>
    </w:p>
    <w:p>
      <w:pPr>
        <w:spacing w:after="0" w:line="162"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Because we are developing product candidates for the treatment of diseases in which there is little clinical experience using new technologies, there is increased risk that the FDA, the EMA, or other regulatory authorities may not consider the endpoints of our clinical trials to provide clinically meaningful results and that these results may be difficult to analyze.</w:t>
      </w:r>
    </w:p>
    <w:p>
      <w:pPr>
        <w:spacing w:after="0" w:line="163"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During the regulatory review process, we will need to identify success criteria and endpoints such that the FDA, the EMA, or other regulatory authorities will be able to determine the clinical efficacy and safety profile of any product candidates we may develop. As we are initially seeking to identify and develop product candidates to treat diseases in which there is little clinical experience using new technologies, there is heightened risk that the FDA, the EMA, or other regulatory authorities may not consider the clinical trial endpoints that we propose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w:t>
      </w:r>
      <w:r>
        <w:rPr>
          <w:rFonts w:ascii="MS PGothic" w:cs="MS PGothic" w:eastAsia="MS PGothic" w:hAnsi="MS PGothic"/>
          <w:sz w:val="16"/>
          <w:szCs w:val="16"/>
          <w:color w:val="auto"/>
        </w:rPr>
        <w:t>‑</w:t>
      </w:r>
      <w:r>
        <w:rPr>
          <w:rFonts w:ascii="Arial" w:cs="Arial" w:eastAsia="Arial" w:hAnsi="Arial"/>
          <w:sz w:val="16"/>
          <w:szCs w:val="16"/>
          <w:color w:val="auto"/>
        </w:rPr>
        <w:t>specified endpoints to a degree of statistical significance. This may be a particularly significant risk for many of the genetically defined diseases for which we plan to develop product candidates because many of these diseases have small patient populations, and designing and executing a rigorous clinical trial with appropriate statistical power is more difficult than with diseases that have larger patient populations. Further, even if we do achieve the pre</w:t>
      </w:r>
      <w:r>
        <w:rPr>
          <w:rFonts w:ascii="MS PGothic" w:cs="MS PGothic" w:eastAsia="MS PGothic" w:hAnsi="MS PGothic"/>
          <w:sz w:val="16"/>
          <w:szCs w:val="16"/>
          <w:color w:val="auto"/>
        </w:rPr>
        <w:t>‑</w:t>
      </w:r>
      <w:r>
        <w:rPr>
          <w:rFonts w:ascii="Arial" w:cs="Arial" w:eastAsia="Arial" w:hAnsi="Arial"/>
          <w:sz w:val="16"/>
          <w:szCs w:val="16"/>
          <w:color w:val="auto"/>
        </w:rPr>
        <w:t>specified criteria, we may produce results that are unpredictable or inconsistent with the results of the non</w:t>
      </w:r>
      <w:r>
        <w:rPr>
          <w:rFonts w:ascii="MS PGothic" w:cs="MS PGothic" w:eastAsia="MS PGothic" w:hAnsi="MS PGothic"/>
          <w:sz w:val="16"/>
          <w:szCs w:val="16"/>
          <w:color w:val="auto"/>
        </w:rPr>
        <w:t>‑</w:t>
      </w:r>
      <w:r>
        <w:rPr>
          <w:rFonts w:ascii="Arial" w:cs="Arial" w:eastAsia="Arial" w:hAnsi="Arial"/>
          <w:sz w:val="16"/>
          <w:szCs w:val="16"/>
          <w:color w:val="auto"/>
        </w:rPr>
        <w:t>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such as the CAT, may make similar comments with respect to these endpoints and data. Any product candidates we may develop will be based on a novel technology that makes it difficult to predict the time and cost of development and of subsequently obtaining regulatory approval. No genome editing therapeutic product has been approved in the United States or in Europe.</w:t>
      </w:r>
    </w:p>
    <w:p>
      <w:pPr>
        <w:spacing w:after="0" w:line="164" w:lineRule="exact"/>
        <w:rPr>
          <w:sz w:val="20"/>
          <w:szCs w:val="20"/>
          <w:color w:val="auto"/>
        </w:rPr>
      </w:pPr>
    </w:p>
    <w:p>
      <w:pPr>
        <w:ind w:right="380"/>
        <w:spacing w:after="0" w:line="219" w:lineRule="auto"/>
        <w:rPr>
          <w:sz w:val="20"/>
          <w:szCs w:val="20"/>
          <w:color w:val="auto"/>
        </w:rPr>
      </w:pPr>
      <w:r>
        <w:rPr>
          <w:rFonts w:ascii="Arial" w:cs="Arial" w:eastAsia="Arial" w:hAnsi="Arial"/>
          <w:sz w:val="18"/>
          <w:szCs w:val="18"/>
          <w:b w:val="1"/>
          <w:bCs w:val="1"/>
          <w:i w:val="1"/>
          <w:iCs w:val="1"/>
          <w:color w:val="auto"/>
        </w:rPr>
        <w:t>If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163"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Before obtaining marketing approval from regulatory authorities for the sale of any product candidates we may identify and develop, we must complete preclinical development and then conduct extensive clinical trials to demonstrate the safety and efficacy in humans of any such product candidates.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spacing w:after="0" w:line="165"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19" w:firstLine="648"/>
        <w:spacing w:after="0" w:line="224" w:lineRule="auto"/>
        <w:rPr>
          <w:sz w:val="20"/>
          <w:szCs w:val="20"/>
          <w:color w:val="auto"/>
        </w:rPr>
      </w:pPr>
      <w:r>
        <w:rPr>
          <w:rFonts w:ascii="Arial" w:cs="Arial" w:eastAsia="Arial" w:hAnsi="Arial"/>
          <w:sz w:val="18"/>
          <w:szCs w:val="18"/>
          <w:color w:val="auto"/>
        </w:rPr>
        <w:t>We or our collaborators may experience numerous unforeseen events during, or as a result of, clinical trials that could delay or prevent our ability to receive marketing approval or commercialize any product candidates we may identify and develop, including:</w:t>
      </w:r>
    </w:p>
    <w:p>
      <w:pPr>
        <w:spacing w:after="0" w:line="163" w:lineRule="exact"/>
        <w:rPr>
          <w:sz w:val="20"/>
          <w:szCs w:val="20"/>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 consensus with regulators on trial design;</w:t>
      </w:r>
    </w:p>
    <w:p>
      <w:pPr>
        <w:spacing w:after="0" w:line="184" w:lineRule="exact"/>
        <w:rPr>
          <w:rFonts w:ascii="Arial" w:cs="Arial" w:eastAsia="Arial" w:hAnsi="Arial"/>
          <w:sz w:val="18"/>
          <w:szCs w:val="18"/>
          <w:color w:val="auto"/>
        </w:rPr>
      </w:pPr>
    </w:p>
    <w:p>
      <w:pPr>
        <w:ind w:left="980" w:right="159" w:hanging="329"/>
        <w:spacing w:after="0" w:line="25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regulators, institutional review boards (“IRBs”) or independent ethics committees may not authorize us or our investigators to commence a clinical trial or conduct a clinical trial at a prospective trial site;</w:t>
      </w:r>
    </w:p>
    <w:p>
      <w:pPr>
        <w:spacing w:after="0" w:line="146" w:lineRule="exact"/>
        <w:rPr>
          <w:rFonts w:ascii="Arial" w:cs="Arial" w:eastAsia="Arial" w:hAnsi="Arial"/>
          <w:sz w:val="17"/>
          <w:szCs w:val="17"/>
          <w:color w:val="auto"/>
        </w:rPr>
      </w:pPr>
    </w:p>
    <w:p>
      <w:pPr>
        <w:ind w:left="980" w:right="179" w:hanging="329"/>
        <w:spacing w:after="0" w:line="23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clinical trial contracts or clinical trial protocols with prospective contract research organizations (“CROs”) and clinical trial sites;</w:t>
      </w:r>
    </w:p>
    <w:p>
      <w:pPr>
        <w:spacing w:after="0" w:line="161" w:lineRule="exact"/>
        <w:rPr>
          <w:rFonts w:ascii="Arial" w:cs="Arial" w:eastAsia="Arial" w:hAnsi="Arial"/>
          <w:sz w:val="18"/>
          <w:szCs w:val="18"/>
          <w:color w:val="auto"/>
        </w:rPr>
      </w:pPr>
    </w:p>
    <w:p>
      <w:pPr>
        <w:jc w:val="both"/>
        <w:ind w:left="980" w:right="99" w:hanging="329"/>
        <w:spacing w:after="0" w:line="22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163" w:lineRule="exact"/>
        <w:rPr>
          <w:rFonts w:ascii="Arial" w:cs="Arial" w:eastAsia="Arial" w:hAnsi="Arial"/>
          <w:sz w:val="18"/>
          <w:szCs w:val="18"/>
          <w:color w:val="auto"/>
        </w:rPr>
      </w:pPr>
    </w:p>
    <w:p>
      <w:pPr>
        <w:ind w:left="980" w:right="679" w:hanging="329"/>
        <w:spacing w:after="0" w:line="203" w:lineRule="exact"/>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difficulty in designing well</w:t>
      </w:r>
      <w:r>
        <w:rPr>
          <w:rFonts w:ascii="MS PGothic" w:cs="MS PGothic" w:eastAsia="MS PGothic" w:hAnsi="MS PGothic"/>
          <w:sz w:val="16"/>
          <w:szCs w:val="16"/>
          <w:color w:val="auto"/>
        </w:rPr>
        <w:t>‑</w:t>
      </w:r>
      <w:r>
        <w:rPr>
          <w:rFonts w:ascii="Arial" w:cs="Arial" w:eastAsia="Arial" w:hAnsi="Arial"/>
          <w:sz w:val="16"/>
          <w:szCs w:val="16"/>
          <w:color w:val="auto"/>
        </w:rPr>
        <w:t>controlled clinical trials due to ethical considerations which may render it inappropriate to conduct a trial with a control arm that can be effectively compared to a treatment arm;</w:t>
      </w:r>
    </w:p>
    <w:p>
      <w:pPr>
        <w:spacing w:after="0" w:line="162" w:lineRule="exact"/>
        <w:rPr>
          <w:rFonts w:ascii="Arial" w:cs="Arial" w:eastAsia="Arial" w:hAnsi="Arial"/>
          <w:sz w:val="16"/>
          <w:szCs w:val="16"/>
          <w:color w:val="auto"/>
        </w:rPr>
      </w:pPr>
    </w:p>
    <w:p>
      <w:pPr>
        <w:ind w:left="980" w:right="19" w:hanging="329"/>
        <w:spacing w:after="0" w:line="203" w:lineRule="exact"/>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designing clinical trials and selecting endpoints for diseases that have not been well</w:t>
      </w:r>
      <w:r>
        <w:rPr>
          <w:rFonts w:ascii="MS PGothic" w:cs="MS PGothic" w:eastAsia="MS PGothic" w:hAnsi="MS PGothic"/>
          <w:sz w:val="18"/>
          <w:szCs w:val="18"/>
          <w:color w:val="auto"/>
        </w:rPr>
        <w:t>‑</w:t>
      </w:r>
      <w:r>
        <w:rPr>
          <w:rFonts w:ascii="Arial" w:cs="Arial" w:eastAsia="Arial" w:hAnsi="Arial"/>
          <w:sz w:val="18"/>
          <w:szCs w:val="18"/>
          <w:color w:val="auto"/>
        </w:rPr>
        <w:t>studied and for which the natural history and course of the disease is poorly understood;</w:t>
      </w:r>
    </w:p>
    <w:p>
      <w:pPr>
        <w:spacing w:after="0" w:line="161" w:lineRule="exact"/>
        <w:rPr>
          <w:rFonts w:ascii="Arial" w:cs="Arial" w:eastAsia="Arial" w:hAnsi="Arial"/>
          <w:sz w:val="18"/>
          <w:szCs w:val="18"/>
          <w:color w:val="auto"/>
        </w:rPr>
      </w:pPr>
    </w:p>
    <w:p>
      <w:pPr>
        <w:ind w:left="980" w:right="59" w:hanging="329"/>
        <w:spacing w:after="0" w:line="216"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any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subjects may drop out of these clinical trials at a higher rate than we anticipate;</w:t>
      </w:r>
    </w:p>
    <w:p>
      <w:pPr>
        <w:spacing w:after="0" w:line="162" w:lineRule="exact"/>
        <w:rPr>
          <w:rFonts w:ascii="Arial" w:cs="Arial" w:eastAsia="Arial" w:hAnsi="Arial"/>
          <w:sz w:val="18"/>
          <w:szCs w:val="18"/>
          <w:color w:val="auto"/>
        </w:rPr>
      </w:pPr>
    </w:p>
    <w:p>
      <w:pPr>
        <w:ind w:left="980" w:right="819" w:hanging="329"/>
        <w:spacing w:after="0" w:line="203" w:lineRule="exact"/>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meet their contractual obligations to us in a timely manner, or at all;</w:t>
      </w:r>
    </w:p>
    <w:p>
      <w:pPr>
        <w:spacing w:after="0" w:line="161" w:lineRule="exact"/>
        <w:rPr>
          <w:rFonts w:ascii="Arial" w:cs="Arial" w:eastAsia="Arial" w:hAnsi="Arial"/>
          <w:sz w:val="18"/>
          <w:szCs w:val="18"/>
          <w:color w:val="auto"/>
        </w:rPr>
      </w:pPr>
    </w:p>
    <w:p>
      <w:pPr>
        <w:ind w:left="980" w:right="299" w:hanging="329"/>
        <w:spacing w:after="0" w:line="229"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regulators, IRBs, or independent ethics committees may require that we or our investigators suspend or terminate clinical research or clinical trials of any product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161" w:lineRule="exact"/>
        <w:rPr>
          <w:rFonts w:ascii="Arial" w:cs="Arial" w:eastAsia="Arial" w:hAnsi="Arial"/>
          <w:sz w:val="17"/>
          <w:szCs w:val="17"/>
          <w:color w:val="auto"/>
        </w:rPr>
      </w:pPr>
    </w:p>
    <w:p>
      <w:pPr>
        <w:ind w:left="980" w:hanging="329"/>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of clinical trials of any product candidates we may develop may be greater than we anticipate;</w:t>
      </w:r>
    </w:p>
    <w:p>
      <w:pPr>
        <w:spacing w:after="0" w:line="196" w:lineRule="exact"/>
        <w:rPr>
          <w:rFonts w:ascii="Arial" w:cs="Arial" w:eastAsia="Arial" w:hAnsi="Arial"/>
          <w:sz w:val="17"/>
          <w:szCs w:val="17"/>
          <w:color w:val="auto"/>
        </w:rPr>
      </w:pPr>
    </w:p>
    <w:p>
      <w:pPr>
        <w:ind w:left="980" w:right="19" w:hanging="329"/>
        <w:spacing w:after="0" w:line="249"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supply or quality of any product candidates we may develop or other materials necessary to conduct clinical trials of any product candidates we may develop may be insufficient or inadequate, including as a result of delays in the testing, validation, manufacturing, and delivery of any product candidates we may develop to the clinical sites by us or by third parties with whom we have contracted to perform certain of those functions;</w:t>
      </w:r>
    </w:p>
    <w:p>
      <w:pPr>
        <w:spacing w:after="0" w:line="154" w:lineRule="exact"/>
        <w:rPr>
          <w:rFonts w:ascii="Arial" w:cs="Arial" w:eastAsia="Arial" w:hAnsi="Arial"/>
          <w:sz w:val="16"/>
          <w:szCs w:val="16"/>
          <w:color w:val="auto"/>
        </w:rPr>
      </w:pPr>
    </w:p>
    <w:p>
      <w:pPr>
        <w:ind w:left="980" w:hanging="329"/>
        <w:spacing w:after="0" w:line="207" w:lineRule="exact"/>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having subjects complete participation in a trial or return for post</w:t>
      </w:r>
      <w:r>
        <w:rPr>
          <w:rFonts w:ascii="MS PGothic" w:cs="MS PGothic" w:eastAsia="MS PGothic" w:hAnsi="MS PGothic"/>
          <w:sz w:val="18"/>
          <w:szCs w:val="18"/>
          <w:color w:val="auto"/>
        </w:rPr>
        <w:t>‑</w:t>
      </w:r>
      <w:r>
        <w:rPr>
          <w:rFonts w:ascii="Arial" w:cs="Arial" w:eastAsia="Arial" w:hAnsi="Arial"/>
          <w:sz w:val="18"/>
          <w:szCs w:val="18"/>
          <w:color w:val="auto"/>
        </w:rPr>
        <w:t>treatment follow</w:t>
      </w:r>
      <w:r>
        <w:rPr>
          <w:rFonts w:ascii="MS PGothic" w:cs="MS PGothic" w:eastAsia="MS PGothic" w:hAnsi="MS PGothic"/>
          <w:sz w:val="18"/>
          <w:szCs w:val="18"/>
          <w:color w:val="auto"/>
        </w:rPr>
        <w:t>‑</w:t>
      </w:r>
      <w:r>
        <w:rPr>
          <w:rFonts w:ascii="Arial" w:cs="Arial" w:eastAsia="Arial" w:hAnsi="Arial"/>
          <w:sz w:val="18"/>
          <w:szCs w:val="18"/>
          <w:color w:val="auto"/>
        </w:rPr>
        <w:t>up;</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 sites dropping out of a trial;</w:t>
      </w:r>
    </w:p>
    <w:p>
      <w:pPr>
        <w:spacing w:after="0" w:line="184" w:lineRule="exact"/>
        <w:rPr>
          <w:rFonts w:ascii="Arial" w:cs="Arial" w:eastAsia="Arial" w:hAnsi="Arial"/>
          <w:sz w:val="18"/>
          <w:szCs w:val="18"/>
          <w:color w:val="auto"/>
        </w:rPr>
      </w:pPr>
    </w:p>
    <w:p>
      <w:pPr>
        <w:ind w:left="980" w:right="79" w:hanging="329"/>
        <w:spacing w:after="0" w:line="23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40" w:hanging="329"/>
        <w:spacing w:after="0" w:line="235"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any product candidates we may develop that are viewed to outweigh their potential benefits;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occurrence of serious adverse events in trials of the same class of agents conducted by other sponsors; and</w:t>
      </w:r>
    </w:p>
    <w:p>
      <w:pPr>
        <w:spacing w:after="0" w:line="207" w:lineRule="exact"/>
        <w:rPr>
          <w:rFonts w:ascii="Arial" w:cs="Arial" w:eastAsia="Arial" w:hAnsi="Arial"/>
          <w:sz w:val="16"/>
          <w:szCs w:val="16"/>
          <w:color w:val="auto"/>
        </w:rPr>
      </w:pPr>
    </w:p>
    <w:p>
      <w:pPr>
        <w:ind w:left="980" w:hanging="329"/>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w:t>
      </w:r>
    </w:p>
    <w:p>
      <w:pPr>
        <w:spacing w:after="0" w:line="208"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If we or our collaborators are required to conduct additional clinical trials or other testing of any product candidates we may develop beyond those that we currently contemplate, if we or our collaborators are unable to successfully complete clinical trials of any product candidates we may develop or other testing, or if the results of these trials or tests are not positive or are only modestly positive or if there are safety concerns, we or our collaborators may:</w:t>
      </w:r>
    </w:p>
    <w:p>
      <w:pPr>
        <w:spacing w:after="0" w:line="163" w:lineRule="exact"/>
        <w:rPr>
          <w:sz w:val="20"/>
          <w:szCs w:val="20"/>
          <w:color w:val="auto"/>
        </w:rPr>
      </w:pPr>
    </w:p>
    <w:p>
      <w:pPr>
        <w:ind w:left="980" w:right="420" w:hanging="329"/>
        <w:spacing w:after="0" w:line="235"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any such product candidates we may develop or not obtain marketing approval at all;</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84" w:lineRule="exact"/>
        <w:rPr>
          <w:rFonts w:ascii="Arial" w:cs="Arial" w:eastAsia="Arial" w:hAnsi="Arial"/>
          <w:sz w:val="18"/>
          <w:szCs w:val="18"/>
          <w:color w:val="auto"/>
        </w:rPr>
      </w:pPr>
    </w:p>
    <w:p>
      <w:pPr>
        <w:ind w:left="980" w:right="580" w:hanging="329"/>
        <w:spacing w:after="0" w:line="235"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84" w:lineRule="exact"/>
        <w:rPr>
          <w:rFonts w:ascii="Arial" w:cs="Arial" w:eastAsia="Arial" w:hAnsi="Arial"/>
          <w:sz w:val="18"/>
          <w:szCs w:val="18"/>
          <w:color w:val="auto"/>
        </w:rPr>
      </w:pPr>
    </w:p>
    <w:p>
      <w:pPr>
        <w:ind w:left="980" w:right="220" w:hanging="329"/>
        <w:spacing w:after="0" w:line="203" w:lineRule="exact"/>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w:t>
      </w:r>
    </w:p>
    <w:p>
      <w:pPr>
        <w:spacing w:after="0" w:line="161" w:lineRule="exact"/>
        <w:rPr>
          <w:rFonts w:ascii="Arial" w:cs="Arial" w:eastAsia="Arial" w:hAnsi="Arial"/>
          <w:sz w:val="18"/>
          <w:szCs w:val="18"/>
          <w:color w:val="auto"/>
        </w:rPr>
      </w:pPr>
    </w:p>
    <w:p>
      <w:pPr>
        <w:ind w:left="980" w:right="380" w:hanging="329"/>
        <w:spacing w:after="0" w:line="235"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modified risk evaluation and mitigation strategy;</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85"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Product development costs will also increase if we or our collaborators experience delays in testing or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161"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We or our collaborators may not be able to initiate or continue clinical trials for any product candidates we identify or develop if we are unable to locate and enroll a sufficient number of eligible patients to participate in these trials as required by the FDA or analogous regulatory authorities outside the United States, or as needed to provide appropriate statistical power for a given trial. Enrollment may be particularly challenging for some of the rare genetically defined diseases we are targeting in our most advanced programs. In addition, if patients are unwilling to participate in our genome editing trials because of negative publicity from adverse events related to the biotechnology, gene therapy, or genome editing fields, competitive clinical trials for similar patient populations, clinical trials in competing products, or for other reasons, the timeline for recruiting patients, conducting studies, and obtaining regulatory approval of any product candidates we may develop may be delayed. Moreover, some of our competitors may have ongoing clinical</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59"/>
        <w:spacing w:after="0" w:line="224" w:lineRule="auto"/>
        <w:rPr>
          <w:sz w:val="20"/>
          <w:szCs w:val="20"/>
          <w:color w:val="auto"/>
        </w:rPr>
      </w:pPr>
      <w:r>
        <w:rPr>
          <w:rFonts w:ascii="Arial" w:cs="Arial" w:eastAsia="Arial" w:hAnsi="Arial"/>
          <w:sz w:val="18"/>
          <w:szCs w:val="18"/>
          <w:color w:val="auto"/>
        </w:rPr>
        <w:t>trials for product candidates that would treat the same indications as any product candidates we may develop, and patients who would otherwise be eligible for our clinical trials may instead enroll in clinical trials of our competitors’ product candidates.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185" w:lineRule="exact"/>
        <w:rPr>
          <w:sz w:val="20"/>
          <w:szCs w:val="20"/>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eligibility and exclusion criteria for the trial in question;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trial;</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risks and benefits of genome editing as a therapeutic approach;</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85" w:lineRule="exact"/>
        <w:rPr>
          <w:sz w:val="20"/>
          <w:szCs w:val="20"/>
          <w:color w:val="auto"/>
        </w:rPr>
      </w:pPr>
    </w:p>
    <w:p>
      <w:pPr>
        <w:ind w:right="39" w:firstLine="648"/>
        <w:spacing w:after="0" w:line="219" w:lineRule="auto"/>
        <w:rPr>
          <w:sz w:val="20"/>
          <w:szCs w:val="20"/>
          <w:color w:val="auto"/>
        </w:rPr>
      </w:pPr>
      <w:r>
        <w:rPr>
          <w:rFonts w:ascii="Arial" w:cs="Arial" w:eastAsia="Arial" w:hAnsi="Arial"/>
          <w:sz w:val="18"/>
          <w:szCs w:val="18"/>
          <w:color w:val="auto"/>
        </w:rPr>
        <w:t>In particular, our most advanced program is focused on a rare genetically defined disease with a limited patient pool from which to draw for enrollment in a clinical trial, as the global incidence of LCA10 is estimated to be two to three per 100,000 live births worldwide. The eligibility criteria of our clinical trials will further limit the pool of available trial participants. Additionally, the process of finding and diagnosing patients may prove costly.</w:t>
      </w:r>
    </w:p>
    <w:p>
      <w:pPr>
        <w:spacing w:after="0" w:line="163" w:lineRule="exact"/>
        <w:rPr>
          <w:sz w:val="20"/>
          <w:szCs w:val="20"/>
          <w:color w:val="auto"/>
        </w:rPr>
      </w:pPr>
    </w:p>
    <w:p>
      <w:pPr>
        <w:ind w:right="39" w:firstLine="648"/>
        <w:spacing w:after="0" w:line="235" w:lineRule="auto"/>
        <w:rPr>
          <w:sz w:val="20"/>
          <w:szCs w:val="20"/>
          <w:color w:val="auto"/>
        </w:rPr>
      </w:pPr>
      <w:r>
        <w:rPr>
          <w:rFonts w:ascii="Arial" w:cs="Arial" w:eastAsia="Arial" w:hAnsi="Arial"/>
          <w:sz w:val="18"/>
          <w:szCs w:val="18"/>
          <w:color w:val="auto"/>
        </w:rPr>
        <w:t>Our ability to successfully initiate, enroll, and complete a clinical trial in any foreign country is subject to numerous risks unique to conducting business in foreign countries, including:</w:t>
      </w:r>
    </w:p>
    <w:p>
      <w:pPr>
        <w:spacing w:after="0" w:line="162" w:lineRule="exact"/>
        <w:rPr>
          <w:sz w:val="20"/>
          <w:szCs w:val="20"/>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CROs and physicians;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8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standard</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care for patients with a particular disease;</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locate qualified local consultants, physicians, and partners; and</w:t>
      </w:r>
    </w:p>
    <w:p>
      <w:pPr>
        <w:spacing w:after="0" w:line="184" w:lineRule="exact"/>
        <w:rPr>
          <w:rFonts w:ascii="Arial" w:cs="Arial" w:eastAsia="Arial" w:hAnsi="Arial"/>
          <w:sz w:val="18"/>
          <w:szCs w:val="18"/>
          <w:color w:val="auto"/>
        </w:rPr>
      </w:pPr>
    </w:p>
    <w:p>
      <w:pPr>
        <w:ind w:left="980" w:right="159" w:hanging="329"/>
        <w:spacing w:after="0" w:line="25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burden of complying with a variety of foreign laws, medical standards, and regulatory requirements, including the regulation of pharmaceutical and biotechnology products and treatment.</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229" w:lineRule="auto"/>
        <w:rPr>
          <w:sz w:val="20"/>
          <w:szCs w:val="20"/>
          <w:color w:val="auto"/>
        </w:rPr>
      </w:pPr>
      <w:r>
        <w:rPr>
          <w:rFonts w:ascii="Arial" w:cs="Arial" w:eastAsia="Arial" w:hAnsi="Arial"/>
          <w:sz w:val="17"/>
          <w:szCs w:val="17"/>
          <w:color w:val="auto"/>
        </w:rPr>
        <w:t>Enrollment delays in our clinical trials may result in increased development costs for any product candidates we may develop,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61"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2"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Our resource allocation decisions may cause us to fail to capitalize on viable commercial medicines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164"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b w:val="1"/>
          <w:bCs w:val="1"/>
          <w:i w:val="1"/>
          <w:iCs w:val="1"/>
          <w:color w:val="auto"/>
        </w:rPr>
        <w:t>If we are unable to successfully identify patients who are likely to benefit from therapy with any medicines we develop, or experience significant delays in doing so, we may not realize the full commercial potential of any medicines we may develop.</w:t>
      </w:r>
    </w:p>
    <w:p>
      <w:pPr>
        <w:spacing w:after="0" w:line="163"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Our success may depend, in part, on our ability to identify patients who are likely to benefit from therapy with any medicines we may develop, which requires those potential patients to have their DNA analyzed for the presence or absence of a particular sequence. For example, although Leber Congenital Amaurosis (“LCA”) can be diagnosed based on a patient’s symptoms and retinal scans, DNA samples are taken from LCA patients in order to test for the presence of the known gene mutations that cause LCA and, where possible, to identify the specific genetically defined disease, such as LCA10. If we, or any third parties that we engage to assist us, are unable to successfully identify such patients, or experience delays in doing so, then:</w:t>
      </w:r>
    </w:p>
    <w:p>
      <w:pPr>
        <w:spacing w:after="0" w:line="165" w:lineRule="exact"/>
        <w:rPr>
          <w:sz w:val="20"/>
          <w:szCs w:val="20"/>
          <w:color w:val="auto"/>
        </w:rPr>
      </w:pPr>
    </w:p>
    <w:p>
      <w:pPr>
        <w:ind w:left="980" w:right="60" w:hanging="329"/>
        <w:spacing w:after="0" w:line="235"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any product candidates may be adversely affected if we are unable to appropriately select patients for enrollment in our clinical trials;</w:t>
      </w:r>
    </w:p>
    <w:p>
      <w:pPr>
        <w:spacing w:after="0" w:line="16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any product candidates we develop may not receive marketing approval if safe and effective use of such product candidates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61" w:lineRule="exact"/>
        <w:rPr>
          <w:rFonts w:ascii="Arial" w:cs="Arial" w:eastAsia="Arial" w:hAnsi="Arial"/>
          <w:sz w:val="18"/>
          <w:szCs w:val="18"/>
          <w:color w:val="auto"/>
        </w:rPr>
      </w:pPr>
    </w:p>
    <w:p>
      <w:pPr>
        <w:jc w:val="both"/>
        <w:ind w:left="980" w:right="160" w:hanging="329"/>
        <w:spacing w:after="0" w:line="22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163"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As a result, we may be unable to successfully develop and realize the commercial potential of any product candidates we may identify and develop, and our business, financial condition, results of operations, and prospects would be materially adversely affected.</w:t>
      </w:r>
    </w:p>
    <w:p>
      <w:pPr>
        <w:spacing w:after="0" w:line="163"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b w:val="1"/>
          <w:bCs w:val="1"/>
          <w:i w:val="1"/>
          <w:iCs w:val="1"/>
          <w:color w:val="auto"/>
        </w:rPr>
        <w:t>Even if we complete the necessary clinical trials, we cannot predict when, or if, we will obtain regulatory approval to commercialize a product candidate we may develop, and any such approval may be for a more narrow indication than we seek.</w:t>
      </w:r>
    </w:p>
    <w:p>
      <w:pPr>
        <w:spacing w:after="0" w:line="163" w:lineRule="exact"/>
        <w:rPr>
          <w:sz w:val="20"/>
          <w:szCs w:val="20"/>
          <w:color w:val="auto"/>
        </w:rPr>
      </w:pPr>
    </w:p>
    <w:p>
      <w:pPr>
        <w:ind w:right="140" w:firstLine="648"/>
        <w:spacing w:after="0" w:line="249" w:lineRule="auto"/>
        <w:rPr>
          <w:sz w:val="20"/>
          <w:szCs w:val="20"/>
          <w:color w:val="auto"/>
        </w:rPr>
      </w:pPr>
      <w:r>
        <w:rPr>
          <w:rFonts w:ascii="Arial" w:cs="Arial" w:eastAsia="Arial" w:hAnsi="Arial"/>
          <w:sz w:val="16"/>
          <w:szCs w:val="16"/>
          <w:color w:val="auto"/>
        </w:rPr>
        <w:t>We cannot commercialize a product candidate until the appropriate regulatory authorities have reviewed and approved the product candidate. Even if any product candidates we may develop meet their safety and efficacy endpoints in clinical trials, the regulatory authorities may not complete their review processes in a timely manner, or we may not be able to obtain regulatory approval. Additional delays may result if an FDA Advisory Committee or other regulatory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240"/>
        <w:spacing w:after="0" w:line="194" w:lineRule="exact"/>
        <w:rPr>
          <w:sz w:val="20"/>
          <w:szCs w:val="20"/>
          <w:color w:val="auto"/>
        </w:rPr>
      </w:pPr>
      <w:r>
        <w:rPr>
          <w:rFonts w:ascii="Arial" w:cs="Arial" w:eastAsia="Arial" w:hAnsi="Arial"/>
          <w:sz w:val="17"/>
          <w:szCs w:val="17"/>
          <w:color w:val="auto"/>
        </w:rPr>
        <w:t>authority recommends non</w:t>
      </w:r>
      <w:r>
        <w:rPr>
          <w:rFonts w:ascii="MS PGothic" w:cs="MS PGothic" w:eastAsia="MS PGothic" w:hAnsi="MS PGothic"/>
          <w:sz w:val="17"/>
          <w:szCs w:val="17"/>
          <w:color w:val="auto"/>
        </w:rPr>
        <w:t>‑</w:t>
      </w:r>
      <w:r>
        <w:rPr>
          <w:rFonts w:ascii="Arial" w:cs="Arial" w:eastAsia="Arial" w:hAnsi="Arial"/>
          <w:sz w:val="17"/>
          <w:szCs w:val="17"/>
          <w:color w:val="auto"/>
        </w:rPr>
        <w:t>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61"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Regulatory authorities also may approve a product candidate for more limited indications than requested or they may impose significant limitations in the form of narrow indications, warnings or a REMS. These regulatory authorities may require precautions or contra</w:t>
      </w:r>
      <w:r>
        <w:rPr>
          <w:rFonts w:ascii="MS PGothic" w:cs="MS PGothic" w:eastAsia="MS PGothic" w:hAnsi="MS PGothic"/>
          <w:sz w:val="17"/>
          <w:szCs w:val="17"/>
          <w:color w:val="auto"/>
        </w:rPr>
        <w:t>‑</w:t>
      </w:r>
      <w:r>
        <w:rPr>
          <w:rFonts w:ascii="Arial" w:cs="Arial" w:eastAsia="Arial" w:hAnsi="Arial"/>
          <w:sz w:val="17"/>
          <w:szCs w:val="17"/>
          <w:color w:val="auto"/>
        </w:rPr>
        <w:t>indications with respect to conditions of use, or they may grant approval subject to the performance of costly post</w:t>
      </w:r>
      <w:r>
        <w:rPr>
          <w:rFonts w:ascii="MS PGothic" w:cs="MS PGothic" w:eastAsia="MS PGothic" w:hAnsi="MS PGothic"/>
          <w:sz w:val="17"/>
          <w:szCs w:val="17"/>
          <w:color w:val="auto"/>
        </w:rPr>
        <w:t>‑</w:t>
      </w:r>
      <w:r>
        <w:rPr>
          <w:rFonts w:ascii="Arial" w:cs="Arial" w:eastAsia="Arial" w:hAnsi="Arial"/>
          <w:sz w:val="17"/>
          <w:szCs w:val="17"/>
          <w:color w:val="auto"/>
        </w:rPr>
        <w:t>marketing clinical trials. In addition, regulatory authorities may not approve the labeling claims that are necessary or desirable for the successful commercialization of any product candidates we may develop. Any of the foregoing scenarios could materially harm the commercial prospects for any product candidates we may develop and materially adversely affect our business, financial condition, results of operations, and prospects.</w:t>
      </w:r>
    </w:p>
    <w:p>
      <w:pPr>
        <w:spacing w:after="0" w:line="16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b w:val="1"/>
          <w:bCs w:val="1"/>
          <w:i w:val="1"/>
          <w:iCs w:val="1"/>
          <w:color w:val="auto"/>
        </w:rPr>
        <w:t>Even if any product candidates we may develop receive marketing approval, they may fail to achieve the degree of market acceptance by physicians, patients, healthcare payors, and others in the medical community necessary for commercial success.</w:t>
      </w:r>
    </w:p>
    <w:p>
      <w:pPr>
        <w:spacing w:after="0" w:line="163"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w:t>
      </w:r>
      <w:r>
        <w:rPr>
          <w:rFonts w:ascii="MS PGothic" w:cs="MS PGothic" w:eastAsia="MS PGothic" w:hAnsi="MS PGothic"/>
          <w:sz w:val="17"/>
          <w:szCs w:val="17"/>
          <w:color w:val="auto"/>
        </w:rPr>
        <w:t>‑</w:t>
      </w:r>
      <w:r>
        <w:rPr>
          <w:rFonts w:ascii="Arial" w:cs="Arial" w:eastAsia="Arial" w:hAnsi="Arial"/>
          <w:sz w:val="17"/>
          <w:szCs w:val="17"/>
          <w:color w:val="auto"/>
        </w:rPr>
        <w:t>party payors, and others in the medical community. Ethical, social, and legal concerns about genomic medicines generally and genome editing technologies specifically could result in additional regulations restricting or prohibiting our products.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162" w:lineRule="exact"/>
        <w:rPr>
          <w:sz w:val="20"/>
          <w:szCs w:val="20"/>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84" w:lineRule="exact"/>
        <w:rPr>
          <w:rFonts w:ascii="Arial" w:cs="Arial" w:eastAsia="Arial" w:hAnsi="Arial"/>
          <w:sz w:val="18"/>
          <w:szCs w:val="18"/>
          <w:color w:val="auto"/>
        </w:rPr>
      </w:pPr>
    </w:p>
    <w:p>
      <w:pPr>
        <w:ind w:left="980" w:right="160" w:hanging="329"/>
        <w:spacing w:after="0" w:line="235"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limitation to our targeted patient population and limitations or warnings contained in approved labeling by the FDA or other regulatory authorities;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offer our medicines for sale at competitive prices;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84" w:lineRule="exact"/>
        <w:rPr>
          <w:rFonts w:ascii="Arial" w:cs="Arial" w:eastAsia="Arial" w:hAnsi="Arial"/>
          <w:sz w:val="18"/>
          <w:szCs w:val="18"/>
          <w:color w:val="auto"/>
        </w:rPr>
      </w:pPr>
    </w:p>
    <w:p>
      <w:pPr>
        <w:ind w:left="980" w:right="100" w:hanging="329"/>
        <w:spacing w:after="0" w:line="235"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the European Commission, or other regulatory agencies;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attitudes regarding genomic medicine generally and genome editing technologies specifically;</w:t>
      </w:r>
    </w:p>
    <w:p>
      <w:pPr>
        <w:spacing w:after="0" w:line="184" w:lineRule="exact"/>
        <w:rPr>
          <w:rFonts w:ascii="Arial" w:cs="Arial" w:eastAsia="Arial" w:hAnsi="Arial"/>
          <w:sz w:val="18"/>
          <w:szCs w:val="18"/>
          <w:color w:val="auto"/>
        </w:rPr>
      </w:pPr>
    </w:p>
    <w:p>
      <w:pPr>
        <w:ind w:left="980" w:right="600" w:hanging="329"/>
        <w:spacing w:after="0" w:line="22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as well as their willingness to accept a therapeutic intervention that involves the editing of the patient’s genome;</w:t>
      </w:r>
    </w:p>
    <w:p>
      <w:pPr>
        <w:spacing w:after="0" w:line="163" w:lineRule="exact"/>
        <w:rPr>
          <w:rFonts w:ascii="Arial" w:cs="Arial" w:eastAsia="Arial" w:hAnsi="Arial"/>
          <w:sz w:val="18"/>
          <w:szCs w:val="18"/>
          <w:color w:val="auto"/>
        </w:rPr>
      </w:pPr>
    </w:p>
    <w:p>
      <w:pPr>
        <w:ind w:left="980" w:right="60" w:hanging="329"/>
        <w:spacing w:after="0" w:line="235"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8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sufficient third</w:t>
      </w:r>
      <w:r>
        <w:rPr>
          <w:rFonts w:ascii="MS PGothic" w:cs="MS PGothic" w:eastAsia="MS PGothic" w:hAnsi="MS PGothic"/>
          <w:sz w:val="18"/>
          <w:szCs w:val="18"/>
          <w:color w:val="auto"/>
        </w:rPr>
        <w:t>‑</w:t>
      </w:r>
      <w:r>
        <w:rPr>
          <w:rFonts w:ascii="Arial" w:cs="Arial" w:eastAsia="Arial" w:hAnsi="Arial"/>
          <w:sz w:val="18"/>
          <w:szCs w:val="18"/>
          <w:color w:val="auto"/>
        </w:rPr>
        <w:t>party coverage or reimbursement;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85" w:lineRule="exact"/>
        <w:rPr>
          <w:sz w:val="20"/>
          <w:szCs w:val="20"/>
          <w:color w:val="auto"/>
        </w:rPr>
      </w:pPr>
    </w:p>
    <w:p>
      <w:pPr>
        <w:ind w:right="720" w:firstLine="648"/>
        <w:spacing w:after="0" w:line="235"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revenues, and we may not become profitable.</w:t>
      </w:r>
    </w:p>
    <w:p>
      <w:pPr>
        <w:spacing w:after="0" w:line="162"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3"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59"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medicines on our own include:</w:t>
      </w:r>
    </w:p>
    <w:p>
      <w:pPr>
        <w:spacing w:after="0" w:line="185" w:lineRule="exact"/>
        <w:rPr>
          <w:sz w:val="20"/>
          <w:szCs w:val="20"/>
          <w:color w:val="auto"/>
        </w:rPr>
      </w:pPr>
    </w:p>
    <w:p>
      <w:pPr>
        <w:ind w:left="980" w:right="400" w:hanging="329"/>
        <w:spacing w:after="0" w:line="235"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161" w:lineRule="exact"/>
        <w:rPr>
          <w:rFonts w:ascii="Arial" w:cs="Arial" w:eastAsia="Arial" w:hAnsi="Arial"/>
          <w:sz w:val="18"/>
          <w:szCs w:val="18"/>
          <w:color w:val="auto"/>
        </w:rPr>
      </w:pPr>
    </w:p>
    <w:p>
      <w:pPr>
        <w:ind w:left="980" w:right="300" w:hanging="329"/>
        <w:spacing w:after="0" w:line="235"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medicines;</w:t>
      </w:r>
    </w:p>
    <w:p>
      <w:pPr>
        <w:spacing w:after="0" w:line="161" w:lineRule="exact"/>
        <w:rPr>
          <w:rFonts w:ascii="Arial" w:cs="Arial" w:eastAsia="Arial" w:hAnsi="Arial"/>
          <w:sz w:val="18"/>
          <w:szCs w:val="18"/>
          <w:color w:val="auto"/>
        </w:rPr>
      </w:pPr>
    </w:p>
    <w:p>
      <w:pPr>
        <w:ind w:left="980" w:right="260" w:hanging="329"/>
        <w:spacing w:after="0" w:line="235"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161" w:lineRule="exact"/>
        <w:rPr>
          <w:rFonts w:ascii="Arial" w:cs="Arial" w:eastAsia="Arial" w:hAnsi="Arial"/>
          <w:sz w:val="18"/>
          <w:szCs w:val="18"/>
          <w:color w:val="auto"/>
        </w:rPr>
      </w:pPr>
    </w:p>
    <w:p>
      <w:pPr>
        <w:ind w:left="980" w:right="420" w:hanging="329"/>
        <w:spacing w:after="0" w:line="235"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61" w:lineRule="exact"/>
        <w:rPr>
          <w:rFonts w:ascii="Arial" w:cs="Arial" w:eastAsia="Arial" w:hAnsi="Arial"/>
          <w:sz w:val="18"/>
          <w:szCs w:val="18"/>
          <w:color w:val="auto"/>
        </w:rPr>
      </w:pPr>
    </w:p>
    <w:p>
      <w:pPr>
        <w:ind w:left="980" w:right="500" w:hanging="329"/>
        <w:spacing w:after="0" w:line="235"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commercialization organization.</w:t>
      </w:r>
    </w:p>
    <w:p>
      <w:pPr>
        <w:spacing w:after="0" w:line="196"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revenues or the profitability of these product revenues to us may be lower than if we were to market and sell any medicines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medicines effectively. If we do not establish commercialization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0"/>
        <w:spacing w:after="0" w:line="235" w:lineRule="auto"/>
        <w:rPr>
          <w:sz w:val="20"/>
          <w:szCs w:val="20"/>
          <w:color w:val="auto"/>
        </w:rPr>
      </w:pPr>
      <w:r>
        <w:rPr>
          <w:rFonts w:ascii="Arial" w:cs="Arial" w:eastAsia="Arial" w:hAnsi="Arial"/>
          <w:sz w:val="18"/>
          <w:szCs w:val="18"/>
          <w:color w:val="auto"/>
        </w:rPr>
        <w:t>capabilities successfully, either on our own or in collaboration with third parties, we will not be successful in commercializing our product candidates.</w:t>
      </w:r>
    </w:p>
    <w:p>
      <w:pPr>
        <w:spacing w:after="0" w:line="162"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development and commercialization of new drug products is highly competitive. Moreover, the biotechnology and pharmaceutical industries, including in the gene therapy and genome editing fields, are characterized by rapidly advancing technologies, intense competition, and a strong emphasis on intellectual property and proprietary products.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and others are based on entirely different approaches.</w:t>
      </w:r>
    </w:p>
    <w:p>
      <w:pPr>
        <w:spacing w:after="0" w:line="163"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6"/>
          <w:szCs w:val="16"/>
          <w:color w:val="auto"/>
        </w:rPr>
        <w:t>Our platform and product focus is the development of therapies using CRISPR technology. Companies developing CRISPR technology or therapies using CRISPR technology include Caribou Biosciences, Casebia Therapeutics, CRISPR Therapeutics, ERS Genomics, Intellia Therapeutics, and TRACR Hematology. There are additional companies developing therapies using additional genome editing technologies, including transcription activator-like effector nucleases, meganucleases, Mega</w:t>
      </w:r>
      <w:r>
        <w:rPr>
          <w:rFonts w:ascii="MS PGothic" w:cs="MS PGothic" w:eastAsia="MS PGothic" w:hAnsi="MS PGothic"/>
          <w:sz w:val="16"/>
          <w:szCs w:val="16"/>
          <w:color w:val="auto"/>
        </w:rPr>
        <w:t>‑</w:t>
      </w:r>
      <w:r>
        <w:rPr>
          <w:rFonts w:ascii="Arial" w:cs="Arial" w:eastAsia="Arial" w:hAnsi="Arial"/>
          <w:sz w:val="16"/>
          <w:szCs w:val="16"/>
          <w:color w:val="auto"/>
        </w:rPr>
        <w:t>TALs, and zinc finger nucleases. These companies include bluebird bio, Cellectis, Poseida Therapeutics, Precision Biosciences, and Sangamo Therapeutics. Additional companies developing gene therapy products include Abeona Therapeutics, Adverum Biotechnologies, AGTC Therapeutics, Audentes Therapeutics, Exonics Therapeutics, Homology Medicines, Nightstar Therapeutics, REGENXBIO, Spark Therapeutics, uniQure, and Voyager Therapeutics. In addition to competition from other genome editing therapies or gene therapies, any products we may develop may also face competition from other types of therapies, such as small molecule, antibody, or protein therapies.</w:t>
      </w:r>
    </w:p>
    <w:p>
      <w:pPr>
        <w:spacing w:after="0" w:line="163" w:lineRule="exact"/>
        <w:rPr>
          <w:sz w:val="20"/>
          <w:szCs w:val="20"/>
          <w:color w:val="auto"/>
        </w:rPr>
      </w:pPr>
    </w:p>
    <w:p>
      <w:pPr>
        <w:ind w:right="40" w:firstLine="648"/>
        <w:spacing w:after="0" w:line="179" w:lineRule="exact"/>
        <w:rPr>
          <w:sz w:val="20"/>
          <w:szCs w:val="20"/>
          <w:color w:val="auto"/>
        </w:rPr>
      </w:pPr>
      <w:r>
        <w:rPr>
          <w:rFonts w:ascii="Arial" w:cs="Arial" w:eastAsia="Arial" w:hAnsi="Arial"/>
          <w:sz w:val="16"/>
          <w:szCs w:val="16"/>
          <w:color w:val="auto"/>
        </w:rPr>
        <w:t>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w:t>
      </w:r>
      <w:r>
        <w:rPr>
          <w:rFonts w:ascii="MS PGothic" w:cs="MS PGothic" w:eastAsia="MS PGothic" w:hAnsi="MS PGothic"/>
          <w:sz w:val="16"/>
          <w:szCs w:val="16"/>
          <w:color w:val="auto"/>
        </w:rPr>
        <w:t>‑</w:t>
      </w:r>
      <w:r>
        <w:rPr>
          <w:rFonts w:ascii="Arial" w:cs="Arial" w:eastAsia="Arial" w:hAnsi="Arial"/>
          <w:sz w:val="16"/>
          <w:szCs w:val="16"/>
          <w:color w:val="auto"/>
        </w:rPr>
        <w:t>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w:t>
      </w:r>
      <w:r>
        <w:rPr>
          <w:rFonts w:ascii="MS PGothic" w:cs="MS PGothic" w:eastAsia="MS PGothic" w:hAnsi="MS PGothic"/>
          <w:sz w:val="16"/>
          <w:szCs w:val="16"/>
          <w:color w:val="auto"/>
        </w:rPr>
        <w:t>‑</w:t>
      </w:r>
      <w:r>
        <w:rPr>
          <w:rFonts w:ascii="Arial" w:cs="Arial" w:eastAsia="Arial" w:hAnsi="Arial"/>
          <w:sz w:val="16"/>
          <w:szCs w:val="16"/>
          <w:color w:val="auto"/>
        </w:rPr>
        <w:t>competitive. Our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170" w:lineRule="exact"/>
        <w:rPr>
          <w:sz w:val="20"/>
          <w:szCs w:val="20"/>
          <w:color w:val="auto"/>
        </w:rPr>
      </w:pPr>
    </w:p>
    <w:p>
      <w:pPr>
        <w:ind w:right="220" w:firstLine="648"/>
        <w:spacing w:after="0" w:line="289" w:lineRule="auto"/>
        <w:rPr>
          <w:sz w:val="20"/>
          <w:szCs w:val="20"/>
          <w:color w:val="auto"/>
        </w:rPr>
      </w:pPr>
      <w:r>
        <w:rPr>
          <w:rFonts w:ascii="Arial" w:cs="Arial" w:eastAsia="Arial" w:hAnsi="Arial"/>
          <w:sz w:val="16"/>
          <w:szCs w:val="16"/>
          <w:color w:val="auto"/>
        </w:rPr>
        <w:t>In addition, as a result of the expiration or successful challenge of our patent rights, we could face more litigation with respect to the validity and/or scope of patents relating to our competitors’ products. The availability of our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competitors’ products could limit the demand, and the price we are able to charge, for any products that we may develop and commercialize.</w:t>
      </w:r>
    </w:p>
    <w:p>
      <w:pPr>
        <w:spacing w:after="0" w:line="162" w:lineRule="exact"/>
        <w:rPr>
          <w:sz w:val="20"/>
          <w:szCs w:val="20"/>
          <w:color w:val="auto"/>
        </w:rPr>
      </w:pPr>
    </w:p>
    <w:p>
      <w:pPr>
        <w:ind w:right="200"/>
        <w:spacing w:after="0" w:line="203" w:lineRule="exact"/>
        <w:rPr>
          <w:sz w:val="20"/>
          <w:szCs w:val="20"/>
          <w:color w:val="auto"/>
        </w:rPr>
      </w:pPr>
      <w:r>
        <w:rPr>
          <w:rFonts w:ascii="Arial" w:cs="Arial" w:eastAsia="Arial" w:hAnsi="Arial"/>
          <w:sz w:val="15"/>
          <w:szCs w:val="15"/>
          <w:b w:val="1"/>
          <w:bCs w:val="1"/>
          <w:i w:val="1"/>
          <w:iCs w:val="1"/>
          <w:color w:val="auto"/>
        </w:rPr>
        <w:t>Even if we are able to commercialize any product candidates, such products may become subject to unfavorable pricing regulations,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reimbursement practices, or healthcare reform initiatives, which would harm our business.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regulations that govern marketing approvals, pricing, and reimbursement for new medicines vary widely from country to country. In the United States, recently enacted legislation may significantly change the approval requirements in ways that could involve additional costs and cause delays in obtaining approvals.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any product candidates we may develop obtain marketing approval.</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private health insurers and health maintenance organizations, decide which medications they will pay for and establish reimbursement levels. A primary trend in the U.S. healthcare industry and elsewhere is cost containment.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amount of reimbursement for particular medications. Increasingly, third</w:t>
      </w:r>
      <w:r>
        <w:rPr>
          <w:rFonts w:ascii="MS PGothic" w:cs="MS PGothic" w:eastAsia="MS PGothic" w:hAnsi="MS PGothic"/>
          <w:sz w:val="17"/>
          <w:szCs w:val="17"/>
          <w:color w:val="auto"/>
        </w:rPr>
        <w:t>‑</w:t>
      </w:r>
      <w:r>
        <w:rPr>
          <w:rFonts w:ascii="Arial" w:cs="Arial" w:eastAsia="Arial" w:hAnsi="Arial"/>
          <w:sz w:val="17"/>
          <w:szCs w:val="17"/>
          <w:color w:val="auto"/>
        </w:rPr>
        <w:t>party payors are requiring that drug companies provide them with predetermined discounts from list prices and are challenging the prices charged for medical products. We cannot be sure that reimbursement will be available for any medicine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Third</w:t>
      </w:r>
      <w:r>
        <w:rPr>
          <w:rFonts w:ascii="MS PGothic" w:cs="MS PGothic" w:eastAsia="MS PGothic" w:hAnsi="MS PGothic"/>
          <w:sz w:val="17"/>
          <w:szCs w:val="17"/>
          <w:color w:val="auto"/>
        </w:rPr>
        <w:t>‑</w:t>
      </w:r>
      <w:r>
        <w:rPr>
          <w:rFonts w:ascii="Arial" w:cs="Arial" w:eastAsia="Arial" w:hAnsi="Arial"/>
          <w:sz w:val="17"/>
          <w:szCs w:val="17"/>
          <w:color w:val="auto"/>
        </w:rPr>
        <w:t>party payors often rely upon Medicare coverage policy and payment limitations in setting their own reimbursement policies. Our inability to promptly obtain coverage and profitable payment rates from both government</w:t>
      </w:r>
      <w:r>
        <w:rPr>
          <w:rFonts w:ascii="MS PGothic" w:cs="MS PGothic" w:eastAsia="MS PGothic" w:hAnsi="MS PGothic"/>
          <w:sz w:val="17"/>
          <w:szCs w:val="17"/>
          <w:color w:val="auto"/>
        </w:rPr>
        <w:t>‑</w:t>
      </w:r>
      <w:r>
        <w:rPr>
          <w:rFonts w:ascii="Arial" w:cs="Arial" w:eastAsia="Arial" w:hAnsi="Arial"/>
          <w:sz w:val="17"/>
          <w:szCs w:val="17"/>
          <w:color w:val="auto"/>
        </w:rPr>
        <w:t>funded and private payors for any approved medicines we may develop could have a material adverse effect on our operating results, our ability to raise capital needed to commercialize medicines, and our overall financial condition.</w:t>
      </w:r>
    </w:p>
    <w:p>
      <w:pPr>
        <w:spacing w:after="0" w:line="165"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any product candidates we may develop to offer therapeutic benefit in a single administration or limited number of administrations, we face uncertainty related to pricing and reimbursement for these product candidates.</w:t>
      </w:r>
    </w:p>
    <w:p>
      <w:pPr>
        <w:spacing w:after="0" w:line="163" w:lineRule="exact"/>
        <w:rPr>
          <w:sz w:val="20"/>
          <w:szCs w:val="20"/>
          <w:color w:val="auto"/>
        </w:rPr>
      </w:pPr>
    </w:p>
    <w:p>
      <w:pPr>
        <w:jc w:val="both"/>
        <w:ind w:right="60" w:firstLine="648"/>
        <w:spacing w:after="0" w:line="238" w:lineRule="auto"/>
        <w:rPr>
          <w:sz w:val="20"/>
          <w:szCs w:val="20"/>
          <w:color w:val="auto"/>
        </w:rPr>
      </w:pPr>
      <w:r>
        <w:rPr>
          <w:rFonts w:ascii="Arial" w:cs="Arial" w:eastAsia="Arial" w:hAnsi="Arial"/>
          <w:sz w:val="17"/>
          <w:szCs w:val="17"/>
          <w:color w:val="auto"/>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23" w:lineRule="auto"/>
        <w:rPr>
          <w:sz w:val="20"/>
          <w:szCs w:val="20"/>
          <w:color w:val="auto"/>
        </w:rPr>
      </w:pPr>
      <w:r>
        <w:rPr>
          <w:rFonts w:ascii="Arial" w:cs="Arial" w:eastAsia="Arial" w:hAnsi="Arial"/>
          <w:sz w:val="17"/>
          <w:szCs w:val="17"/>
          <w:color w:val="auto"/>
        </w:rPr>
        <w:t>any such product candidates will be adversely affected. The manner and level at which reimbursement is provided for services related to any product candidates we may develop (e.g., for administration of our product to patients) is also important. Inadequate reimbursement for such services may lead to physician resistance and adversely affect our ability to market or sell our products. In addition, it may be necessary for us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168"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We expect the cost of a single administration of genomic medicine products,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may develop will be paid by health maintenance, managed care, pharmacy benefit, and similar healthcare management organizations, or will be reimbursed by government authorities, private health coverage insurers,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 Coverage and reimbursement by a third</w:t>
      </w:r>
      <w:r>
        <w:rPr>
          <w:rFonts w:ascii="MS PGothic" w:cs="MS PGothic" w:eastAsia="MS PGothic" w:hAnsi="MS PGothic"/>
          <w:sz w:val="17"/>
          <w:szCs w:val="17"/>
          <w:color w:val="auto"/>
        </w:rPr>
        <w:t>‑</w:t>
      </w:r>
      <w:r>
        <w:rPr>
          <w:rFonts w:ascii="Arial" w:cs="Arial" w:eastAsia="Arial" w:hAnsi="Arial"/>
          <w:sz w:val="17"/>
          <w:szCs w:val="17"/>
          <w:color w:val="auto"/>
        </w:rPr>
        <w:t>party payor may depend upon several factors, including the third</w:t>
      </w:r>
      <w:r>
        <w:rPr>
          <w:rFonts w:ascii="MS PGothic" w:cs="MS PGothic" w:eastAsia="MS PGothic" w:hAnsi="MS PGothic"/>
          <w:sz w:val="17"/>
          <w:szCs w:val="17"/>
          <w:color w:val="auto"/>
        </w:rPr>
        <w:t>‑</w:t>
      </w:r>
      <w:r>
        <w:rPr>
          <w:rFonts w:ascii="Arial" w:cs="Arial" w:eastAsia="Arial" w:hAnsi="Arial"/>
          <w:sz w:val="17"/>
          <w:szCs w:val="17"/>
          <w:color w:val="auto"/>
        </w:rPr>
        <w:t>party payor’s determination that use of a product is:</w:t>
      </w:r>
    </w:p>
    <w:p>
      <w:pPr>
        <w:spacing w:after="0" w:line="168" w:lineRule="exact"/>
        <w:rPr>
          <w:sz w:val="20"/>
          <w:szCs w:val="20"/>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8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85"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Obtaining coverage and reimbursement for a product from third</w:t>
      </w:r>
      <w:r>
        <w:rPr>
          <w:rFonts w:ascii="MS PGothic" w:cs="MS PGothic" w:eastAsia="MS PGothic" w:hAnsi="MS PGothic"/>
          <w:sz w:val="18"/>
          <w:szCs w:val="18"/>
          <w:color w:val="auto"/>
        </w:rPr>
        <w:t>‑</w:t>
      </w:r>
      <w:r>
        <w:rPr>
          <w:rFonts w:ascii="Arial" w:cs="Arial" w:eastAsia="Arial" w:hAnsi="Arial"/>
          <w:sz w:val="18"/>
          <w:szCs w:val="18"/>
          <w:color w:val="auto"/>
        </w:rPr>
        <w:t>party payors is a time</w:t>
      </w:r>
      <w:r>
        <w:rPr>
          <w:rFonts w:ascii="MS PGothic" w:cs="MS PGothic" w:eastAsia="MS PGothic" w:hAnsi="MS PGothic"/>
          <w:sz w:val="18"/>
          <w:szCs w:val="18"/>
          <w:color w:val="auto"/>
        </w:rPr>
        <w:t>‑</w:t>
      </w:r>
      <w:r>
        <w:rPr>
          <w:rFonts w:ascii="Arial" w:cs="Arial" w:eastAsia="Arial" w:hAnsi="Arial"/>
          <w:sz w:val="18"/>
          <w:szCs w:val="18"/>
          <w:color w:val="auto"/>
        </w:rPr>
        <w:t>consuming and costly process that could require us to provide to the payor supporting scientific, clinical, and cost</w:t>
      </w:r>
      <w:r>
        <w:rPr>
          <w:rFonts w:ascii="MS PGothic" w:cs="MS PGothic" w:eastAsia="MS PGothic" w:hAnsi="MS PGothic"/>
          <w:sz w:val="18"/>
          <w:szCs w:val="18"/>
          <w:color w:val="auto"/>
        </w:rPr>
        <w:t>‑</w:t>
      </w:r>
      <w:r>
        <w:rPr>
          <w:rFonts w:ascii="Arial" w:cs="Arial" w:eastAsia="Arial" w:hAnsi="Arial"/>
          <w:sz w:val="18"/>
          <w:szCs w:val="18"/>
          <w:color w:val="auto"/>
        </w:rPr>
        <w:t>effectiveness data. There is significant uncertainty related to third</w:t>
      </w:r>
      <w:r>
        <w:rPr>
          <w:rFonts w:ascii="MS PGothic" w:cs="MS PGothic" w:eastAsia="MS PGothic" w:hAnsi="MS PGothic"/>
          <w:sz w:val="18"/>
          <w:szCs w:val="18"/>
          <w:color w:val="auto"/>
        </w:rPr>
        <w:t>‑</w:t>
      </w:r>
      <w:r>
        <w:rPr>
          <w:rFonts w:ascii="Arial" w:cs="Arial" w:eastAsia="Arial" w:hAnsi="Arial"/>
          <w:sz w:val="18"/>
          <w:szCs w:val="18"/>
          <w:color w:val="auto"/>
        </w:rPr>
        <w:t>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product candidates we may develop. Even if coverage is provided, the approved reimbursement amount may not be adequate to realize a sufficient return on our investment.</w:t>
      </w:r>
    </w:p>
    <w:p>
      <w:pPr>
        <w:spacing w:after="0" w:line="165"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Moreover, the downward pressure on healthcare costs in general, particularly prescription drugs and surgical procedures and other treatments, has become intense. As a result, increasingly high barriers are being erected to the entry of new products such as ours. If we are unable to obtain adequate levels of reimbursement, our ability to successfully market and sell any product candidates we may develop will be harmed.</w:t>
      </w:r>
    </w:p>
    <w:p>
      <w:pPr>
        <w:spacing w:after="0" w:line="163"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b w:val="1"/>
          <w:bCs w:val="1"/>
          <w:i w:val="1"/>
          <w:iCs w:val="1"/>
          <w:color w:val="auto"/>
        </w:rPr>
        <w:t>If the market opportunities for any product candidates we may develop are smaller than we believe they are, our revenues may be adversely affected, and our business may suffer. Because the target patient populations for many of the product candidates we may develop are small, we must be able to successfully identify patients and achieve a significant market share to maintain profitability and growth.</w:t>
      </w:r>
    </w:p>
    <w:p>
      <w:pPr>
        <w:spacing w:after="0" w:line="163"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We focus our research and product development on treatments for rare genetically defined diseases. Our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products, or may become increasingly difficult to identify or gain access to, all of which would adversely affect our business, financial condition, results of operations, and prospects.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medicines that we may develop.</w:t>
      </w:r>
    </w:p>
    <w:p>
      <w:pPr>
        <w:spacing w:after="0" w:line="162"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We face an inherent risk of product liability exposure related to the testing in human clinical trials of any product candidates we may develop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155" w:lineRule="exact"/>
        <w:rPr>
          <w:sz w:val="20"/>
          <w:szCs w:val="20"/>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any product candidates or medicines that we may develop;</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medicines that we may develop.</w:t>
      </w:r>
    </w:p>
    <w:p>
      <w:pPr>
        <w:spacing w:after="0" w:line="185" w:lineRule="exact"/>
        <w:rPr>
          <w:sz w:val="20"/>
          <w:szCs w:val="20"/>
          <w:color w:val="auto"/>
        </w:rPr>
      </w:pPr>
    </w:p>
    <w:p>
      <w:pPr>
        <w:ind w:right="300" w:firstLine="648"/>
        <w:spacing w:after="0" w:line="232" w:lineRule="auto"/>
        <w:rPr>
          <w:sz w:val="20"/>
          <w:szCs w:val="20"/>
          <w:color w:val="auto"/>
        </w:rPr>
      </w:pPr>
      <w:r>
        <w:rPr>
          <w:rFonts w:ascii="Arial" w:cs="Arial" w:eastAsia="Arial" w:hAnsi="Arial"/>
          <w:sz w:val="17"/>
          <w:szCs w:val="17"/>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medicine. Insurance coverage is increasingly expensive. We may not be able to maintain insurance coverage at a reasonable cost or in an amount adequate to satisfy any liability that may arise.</w:t>
      </w:r>
    </w:p>
    <w:p>
      <w:pPr>
        <w:spacing w:after="0" w:line="163"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w:t>
      </w:r>
      <w:r>
        <w:rPr>
          <w:rFonts w:ascii="MS PGothic" w:cs="MS PGothic" w:eastAsia="MS PGothic" w:hAnsi="MS PGothic"/>
          <w:sz w:val="17"/>
          <w:szCs w:val="17"/>
          <w:color w:val="auto"/>
        </w:rPr>
        <w:t>‑</w:t>
      </w:r>
      <w:r>
        <w:rPr>
          <w:rFonts w:ascii="Arial" w:cs="Arial" w:eastAsia="Arial" w:hAnsi="Arial"/>
          <w:sz w:val="17"/>
          <w:szCs w:val="17"/>
          <w:color w:val="auto"/>
        </w:rPr>
        <w:t>party facilities. We also could incur significant costs associated with civil or criminal fines and penalties.</w:t>
      </w:r>
    </w:p>
    <w:p>
      <w:pPr>
        <w:spacing w:after="0" w:line="167"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commercial general liability and umbrella liability policies (under which we currently have an aggregate of $7.0 million in coverage) specifically exclude coverage for damages and fines arising from biological or hazardous waste exposure or contamination. Accordingly, in the event of contamination or injury, we could be held liable for damages or be penalized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with fines in an amount exceeding our resources, and our clinical trials or regulatory approvals could be suspended, which could have a material adverse effect on our business, financial condition, results of operations, and prospects.</w:t>
      </w:r>
    </w:p>
    <w:p>
      <w:pPr>
        <w:spacing w:after="0" w:line="147" w:lineRule="exact"/>
        <w:rPr>
          <w:sz w:val="20"/>
          <w:szCs w:val="20"/>
          <w:color w:val="auto"/>
        </w:rPr>
      </w:pPr>
    </w:p>
    <w:p>
      <w:pPr>
        <w:ind w:right="100" w:firstLine="648"/>
        <w:spacing w:after="0" w:line="244"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59" w:lineRule="exact"/>
        <w:rPr>
          <w:sz w:val="20"/>
          <w:szCs w:val="20"/>
          <w:color w:val="auto"/>
        </w:rPr>
      </w:pPr>
    </w:p>
    <w:p>
      <w:pPr>
        <w:ind w:right="320" w:firstLine="648"/>
        <w:spacing w:after="0" w:line="189" w:lineRule="exact"/>
        <w:rPr>
          <w:sz w:val="20"/>
          <w:szCs w:val="20"/>
          <w:color w:val="auto"/>
        </w:rPr>
      </w:pPr>
      <w:r>
        <w:rPr>
          <w:rFonts w:ascii="Arial" w:cs="Arial" w:eastAsia="Arial" w:hAnsi="Arial"/>
          <w:sz w:val="18"/>
          <w:szCs w:val="18"/>
          <w:color w:val="auto"/>
        </w:rPr>
        <w:t>Any third</w:t>
      </w:r>
      <w:r>
        <w:rPr>
          <w:rFonts w:ascii="MS PGothic" w:cs="MS PGothic" w:eastAsia="MS PGothic" w:hAnsi="MS PGothic"/>
          <w:sz w:val="18"/>
          <w:szCs w:val="18"/>
          <w:color w:val="auto"/>
        </w:rPr>
        <w:t>‑</w:t>
      </w:r>
      <w:r>
        <w:rPr>
          <w:rFonts w:ascii="Arial" w:cs="Arial" w:eastAsia="Arial" w:hAnsi="Arial"/>
          <w:sz w:val="18"/>
          <w:szCs w:val="18"/>
          <w:color w:val="auto"/>
        </w:rPr>
        <w:t>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63" w:lineRule="exact"/>
        <w:rPr>
          <w:sz w:val="20"/>
          <w:szCs w:val="20"/>
          <w:color w:val="auto"/>
        </w:rPr>
      </w:pPr>
    </w:p>
    <w:p>
      <w:pPr>
        <w:jc w:val="both"/>
        <w:ind w:right="160"/>
        <w:spacing w:after="0" w:line="224" w:lineRule="auto"/>
        <w:rPr>
          <w:sz w:val="20"/>
          <w:szCs w:val="20"/>
          <w:color w:val="auto"/>
        </w:rPr>
      </w:pPr>
      <w:r>
        <w:rPr>
          <w:rFonts w:ascii="Arial" w:cs="Arial" w:eastAsia="Arial" w:hAnsi="Arial"/>
          <w:sz w:val="18"/>
          <w:szCs w:val="18"/>
          <w:b w:val="1"/>
          <w:bCs w:val="1"/>
          <w:i w:val="1"/>
          <w:iCs w:val="1"/>
          <w:color w:val="auto"/>
        </w:rPr>
        <w:t>Genomic medicines are novel, and any product candidates we develop may be complex and difficult to manufacture. We could experience production problems that result in delays in our development or commercialization programs, limit the supply of our products, or otherwise harm our business.</w:t>
      </w:r>
    </w:p>
    <w:p>
      <w:pPr>
        <w:spacing w:after="0" w:line="163" w:lineRule="exact"/>
        <w:rPr>
          <w:sz w:val="20"/>
          <w:szCs w:val="20"/>
          <w:color w:val="auto"/>
        </w:rPr>
      </w:pPr>
    </w:p>
    <w:p>
      <w:pPr>
        <w:ind w:right="120" w:firstLine="648"/>
        <w:spacing w:after="0" w:line="182" w:lineRule="exact"/>
        <w:rPr>
          <w:sz w:val="20"/>
          <w:szCs w:val="20"/>
          <w:color w:val="auto"/>
        </w:rPr>
      </w:pPr>
      <w:r>
        <w:rPr>
          <w:rFonts w:ascii="Arial" w:cs="Arial" w:eastAsia="Arial" w:hAnsi="Arial"/>
          <w:sz w:val="17"/>
          <w:szCs w:val="17"/>
          <w:color w:val="auto"/>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may not be sufficient to ensure that the product will perform in the intended manner. Problems with the manufacturing process, even minor deviations from the normal process, could result in product defects or manufacturing failures that result in lot failures, product recalls, product liability claims, or insufficient inventory. If we successfully develop product candidates, we may encounter problems achieving adequate quantities and quality of clinical</w:t>
      </w:r>
      <w:r>
        <w:rPr>
          <w:rFonts w:ascii="MS PGothic" w:cs="MS PGothic" w:eastAsia="MS PGothic" w:hAnsi="MS PGothic"/>
          <w:sz w:val="17"/>
          <w:szCs w:val="17"/>
          <w:color w:val="auto"/>
        </w:rPr>
        <w:t>‑</w:t>
      </w:r>
      <w:r>
        <w:rPr>
          <w:rFonts w:ascii="Arial" w:cs="Arial" w:eastAsia="Arial" w:hAnsi="Arial"/>
          <w:sz w:val="17"/>
          <w:szCs w:val="17"/>
          <w:color w:val="auto"/>
        </w:rPr>
        <w:t>grade materials that meet FDA, EMA or other comparable applicable foreign standards or specifications with consistent and acceptable production yields and costs.</w:t>
      </w:r>
    </w:p>
    <w:p>
      <w:pPr>
        <w:spacing w:after="0" w:line="162"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165"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168" w:lineRule="exact"/>
        <w:rPr>
          <w:sz w:val="20"/>
          <w:szCs w:val="20"/>
          <w:color w:val="auto"/>
        </w:rPr>
      </w:pPr>
    </w:p>
    <w:p>
      <w:pPr>
        <w:ind w:right="140" w:firstLine="648"/>
        <w:spacing w:after="0" w:line="194" w:lineRule="exact"/>
        <w:rPr>
          <w:sz w:val="20"/>
          <w:szCs w:val="20"/>
          <w:color w:val="auto"/>
        </w:rPr>
      </w:pPr>
      <w:r>
        <w:rPr>
          <w:rFonts w:ascii="Arial" w:cs="Arial" w:eastAsia="Arial" w:hAnsi="Arial"/>
          <w:sz w:val="18"/>
          <w:szCs w:val="18"/>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w:t>
      </w:r>
      <w:r>
        <w:rPr>
          <w:rFonts w:ascii="MS PGothic" w:cs="MS PGothic" w:eastAsia="MS PGothic" w:hAnsi="MS PGothic"/>
          <w:sz w:val="18"/>
          <w:szCs w:val="18"/>
          <w:color w:val="auto"/>
        </w:rPr>
        <w:t>‑</w:t>
      </w:r>
      <w:r>
        <w:rPr>
          <w:rFonts w:ascii="Arial" w:cs="Arial" w:eastAsia="Arial" w:hAnsi="Arial"/>
          <w:sz w:val="18"/>
          <w:szCs w:val="18"/>
          <w:color w:val="auto"/>
        </w:rPr>
        <w:t>party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manufacturing process or facilities also could restrict our ability to meet market demand for any products we develop and commercialize.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b w:val="1"/>
          <w:bCs w:val="1"/>
          <w:i w:val="1"/>
          <w:iCs w:val="1"/>
          <w:color w:val="auto"/>
        </w:rPr>
        <w:t>We expect to depend on collaborations with third parties for the research, development, and commercialization of certain of the product candidates we may develop or for development of certain of our research programs. If any such collaborations are not successful, we may not be able to capitalize on the market potential of those product candidates or research programs.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We anticipate seeking third</w:t>
      </w:r>
      <w:r>
        <w:rPr>
          <w:rFonts w:ascii="MS PGothic" w:cs="MS PGothic" w:eastAsia="MS PGothic" w:hAnsi="MS PGothic"/>
          <w:sz w:val="16"/>
          <w:szCs w:val="16"/>
          <w:color w:val="auto"/>
        </w:rPr>
        <w:t>‑</w:t>
      </w:r>
      <w:r>
        <w:rPr>
          <w:rFonts w:ascii="Arial" w:cs="Arial" w:eastAsia="Arial" w:hAnsi="Arial"/>
          <w:sz w:val="16"/>
          <w:szCs w:val="16"/>
          <w:color w:val="auto"/>
        </w:rPr>
        <w:t>party collaborators for the research, development, and commercialization of certain of the product candidates we may develop or for development of certain of our research programs. For example, in May 2015, we entered into a collaboration with Juno Therapeutics focused on research and development of engineered T cell immunotherapies that utilize or incorporate our genome editing technologies, and, in March 2017, we entered into a strategic alliance with Allergan focused on discovering, developing, and commercializing new gene editing medicines for a range of ocular disorders. Our likely collaborators for any other collaboration arrangements include large and mid</w:t>
      </w:r>
      <w:r>
        <w:rPr>
          <w:rFonts w:ascii="MS PGothic" w:cs="MS PGothic" w:eastAsia="MS PGothic" w:hAnsi="MS PGothic"/>
          <w:sz w:val="16"/>
          <w:szCs w:val="16"/>
          <w:color w:val="auto"/>
        </w:rPr>
        <w:t>‑</w:t>
      </w:r>
      <w:r>
        <w:rPr>
          <w:rFonts w:ascii="Arial" w:cs="Arial" w:eastAsia="Arial" w:hAnsi="Arial"/>
          <w:sz w:val="16"/>
          <w:szCs w:val="16"/>
          <w:color w:val="auto"/>
        </w:rPr>
        <w:t>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any product candidates we may seek to develop with them and, in the case of our strategic alliance with Allergan, whether they exercise an option to commercialize a product.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89"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Collaborations involving our research programs or any product candidates we may develop, including our collaboration with Juno Therapeutics, and alliance arrangements we may enter into under which our research programs may be involved and potential product candidates may be developed, including our strategic alliance with Allergan, pose the following risks to us:</w:t>
      </w:r>
    </w:p>
    <w:p>
      <w:pPr>
        <w:spacing w:after="0" w:line="95" w:lineRule="exact"/>
        <w:rPr>
          <w:sz w:val="20"/>
          <w:szCs w:val="20"/>
          <w:color w:val="auto"/>
        </w:rPr>
      </w:pPr>
    </w:p>
    <w:p>
      <w:pPr>
        <w:ind w:left="980" w:right="260" w:hanging="329"/>
        <w:spacing w:after="0" w:line="235"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94" w:lineRule="exact"/>
        <w:rPr>
          <w:rFonts w:ascii="Arial" w:cs="Arial" w:eastAsia="Arial" w:hAnsi="Arial"/>
          <w:sz w:val="18"/>
          <w:szCs w:val="18"/>
          <w:color w:val="auto"/>
        </w:rPr>
      </w:pPr>
    </w:p>
    <w:p>
      <w:pPr>
        <w:ind w:left="980" w:right="140" w:hanging="329"/>
        <w:spacing w:after="0" w:line="21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5" w:lineRule="exact"/>
        <w:rPr>
          <w:rFonts w:ascii="Arial" w:cs="Arial" w:eastAsia="Arial" w:hAnsi="Arial"/>
          <w:sz w:val="18"/>
          <w:szCs w:val="18"/>
          <w:color w:val="auto"/>
        </w:rPr>
      </w:pPr>
    </w:p>
    <w:p>
      <w:pPr>
        <w:ind w:left="980" w:right="180" w:hanging="329"/>
        <w:spacing w:after="0" w:line="22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95" w:lineRule="exact"/>
        <w:rPr>
          <w:rFonts w:ascii="Arial" w:cs="Arial" w:eastAsia="Arial" w:hAnsi="Arial"/>
          <w:sz w:val="18"/>
          <w:szCs w:val="18"/>
          <w:color w:val="auto"/>
        </w:rPr>
      </w:pPr>
    </w:p>
    <w:p>
      <w:pPr>
        <w:ind w:left="980" w:right="240" w:hanging="329"/>
        <w:spacing w:after="0" w:line="21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95" w:lineRule="exact"/>
        <w:rPr>
          <w:rFonts w:ascii="Arial" w:cs="Arial" w:eastAsia="Arial" w:hAnsi="Arial"/>
          <w:sz w:val="18"/>
          <w:szCs w:val="18"/>
          <w:color w:val="auto"/>
        </w:rPr>
      </w:pPr>
    </w:p>
    <w:p>
      <w:pPr>
        <w:ind w:left="980" w:right="480" w:hanging="329"/>
        <w:spacing w:after="0" w:line="235"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medicines may not commit sufficient resources to the marketing and distribution of such medicine or medicines.</w:t>
      </w:r>
    </w:p>
    <w:p>
      <w:pPr>
        <w:spacing w:after="0" w:line="94" w:lineRule="exact"/>
        <w:rPr>
          <w:rFonts w:ascii="Arial" w:cs="Arial" w:eastAsia="Arial" w:hAnsi="Arial"/>
          <w:sz w:val="18"/>
          <w:szCs w:val="18"/>
          <w:color w:val="auto"/>
        </w:rPr>
      </w:pPr>
    </w:p>
    <w:p>
      <w:pPr>
        <w:ind w:left="980" w:right="360" w:hanging="329"/>
        <w:spacing w:after="0" w:line="22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63" w:lineRule="exact"/>
        <w:rPr>
          <w:rFonts w:ascii="Arial" w:cs="Arial" w:eastAsia="Arial" w:hAnsi="Arial"/>
          <w:sz w:val="18"/>
          <w:szCs w:val="18"/>
          <w:color w:val="auto"/>
        </w:rPr>
      </w:pPr>
    </w:p>
    <w:p>
      <w:pPr>
        <w:ind w:left="980" w:right="160" w:hanging="329"/>
        <w:spacing w:after="0" w:line="22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540" w:hanging="329"/>
        <w:spacing w:after="0" w:line="235"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61" w:lineRule="exact"/>
        <w:rPr>
          <w:rFonts w:ascii="Arial" w:cs="Arial" w:eastAsia="Arial" w:hAnsi="Arial"/>
          <w:sz w:val="18"/>
          <w:szCs w:val="18"/>
          <w:color w:val="auto"/>
        </w:rPr>
      </w:pPr>
    </w:p>
    <w:p>
      <w:pPr>
        <w:ind w:left="980" w:right="520" w:hanging="329"/>
        <w:spacing w:after="0" w:line="235"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61" w:lineRule="exact"/>
        <w:rPr>
          <w:rFonts w:ascii="Arial" w:cs="Arial" w:eastAsia="Arial" w:hAnsi="Arial"/>
          <w:sz w:val="18"/>
          <w:szCs w:val="18"/>
          <w:color w:val="auto"/>
        </w:rPr>
      </w:pPr>
    </w:p>
    <w:p>
      <w:pPr>
        <w:ind w:left="980" w:right="80" w:hanging="329"/>
        <w:spacing w:after="0" w:line="21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63"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as the case may be.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Quarterly Report on Form 10-Q apply to the activities of our collaborators.</w:t>
      </w:r>
    </w:p>
    <w:p>
      <w:pPr>
        <w:spacing w:after="0" w:line="162"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We may in the future decide to collaborate with pharmaceutical and biotechnology companies for the development and potential commercialization of any product candidates we may develop. These relationships, or those like them, may require us to incur non</w:t>
      </w:r>
      <w:r>
        <w:rPr>
          <w:rFonts w:ascii="MS PGothic" w:cs="MS PGothic" w:eastAsia="MS PGothic" w:hAnsi="MS PGothic"/>
          <w:sz w:val="16"/>
          <w:szCs w:val="16"/>
          <w:color w:val="auto"/>
        </w:rPr>
        <w:t>‑</w:t>
      </w:r>
      <w:r>
        <w:rPr>
          <w:rFonts w:ascii="Arial" w:cs="Arial" w:eastAsia="Arial" w:hAnsi="Arial"/>
          <w:sz w:val="16"/>
          <w:szCs w:val="16"/>
          <w:color w:val="auto"/>
        </w:rPr>
        <w:t>recurring and other charges, increase our near</w:t>
      </w:r>
      <w:r>
        <w:rPr>
          <w:rFonts w:ascii="MS PGothic" w:cs="MS PGothic" w:eastAsia="MS PGothic" w:hAnsi="MS PGothic"/>
          <w:sz w:val="16"/>
          <w:szCs w:val="16"/>
          <w:color w:val="auto"/>
        </w:rPr>
        <w:t>‑</w:t>
      </w:r>
      <w:r>
        <w:rPr>
          <w:rFonts w:ascii="Arial" w:cs="Arial" w:eastAsia="Arial" w:hAnsi="Arial"/>
          <w:sz w:val="16"/>
          <w:szCs w:val="16"/>
          <w:color w:val="auto"/>
        </w:rPr>
        <w:t xml:space="preserve"> and long</w:t>
      </w:r>
      <w:r>
        <w:rPr>
          <w:rFonts w:ascii="MS PGothic" w:cs="MS PGothic" w:eastAsia="MS PGothic" w:hAnsi="MS PGothic"/>
          <w:sz w:val="16"/>
          <w:szCs w:val="16"/>
          <w:color w:val="auto"/>
        </w:rPr>
        <w:t>‑</w:t>
      </w:r>
      <w:r>
        <w:rPr>
          <w:rFonts w:ascii="Arial" w:cs="Arial" w:eastAsia="Arial" w:hAnsi="Arial"/>
          <w:sz w:val="16"/>
          <w:szCs w:val="16"/>
          <w:color w:val="auto"/>
        </w:rPr>
        <w:t>term expenditures, issue securities that dilute our existing stockholders, or disrupt our management and business. In addition, we could face significant competition in seeking appropriate collaborators, and the negotiation process is time</w:t>
      </w:r>
      <w:r>
        <w:rPr>
          <w:rFonts w:ascii="MS PGothic" w:cs="MS PGothic" w:eastAsia="MS PGothic" w:hAnsi="MS PGothic"/>
          <w:sz w:val="16"/>
          <w:szCs w:val="16"/>
          <w:color w:val="auto"/>
        </w:rPr>
        <w:t>‑</w:t>
      </w:r>
      <w:r>
        <w:rPr>
          <w:rFonts w:ascii="Arial" w:cs="Arial" w:eastAsia="Arial" w:hAnsi="Arial"/>
          <w:sz w:val="16"/>
          <w:szCs w:val="16"/>
          <w:color w:val="auto"/>
        </w:rPr>
        <w:t>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168"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If we are not able to establish collaborations on commercially reasonable terms, we may have to alter our development and commercialization plans.</w:t>
      </w:r>
    </w:p>
    <w:p>
      <w:pPr>
        <w:spacing w:after="0" w:line="16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Our product development and research programs and the potential commercialization of any product candidates we may develop will require substantial additional cash to fund expenses. For some of the product candidates we may develop or certain of our research programs, we may decide to collaborate with other pharmaceutical and biotechnology companies for the development and potential commercialization of those product candidates or programs.</w:t>
      </w:r>
    </w:p>
    <w:p>
      <w:pPr>
        <w:spacing w:after="0" w:line="155" w:lineRule="exact"/>
        <w:rPr>
          <w:sz w:val="20"/>
          <w:szCs w:val="20"/>
          <w:color w:val="auto"/>
        </w:rPr>
      </w:pPr>
    </w:p>
    <w:p>
      <w:pPr>
        <w:ind w:right="60" w:firstLine="648"/>
        <w:spacing w:after="0" w:line="222"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64" w:lineRule="exact"/>
        <w:rPr>
          <w:sz w:val="20"/>
          <w:szCs w:val="20"/>
          <w:color w:val="auto"/>
        </w:rPr>
      </w:pPr>
    </w:p>
    <w:p>
      <w:pPr>
        <w:ind w:right="180" w:firstLine="648"/>
        <w:spacing w:after="0" w:line="238"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or allies. For example, during the research program term of our collaboration with Juno Therapeutics, we may not directly or indirectly license, fund, enable, or participate in any research,</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60"/>
        <w:spacing w:after="0" w:line="224" w:lineRule="auto"/>
        <w:rPr>
          <w:sz w:val="20"/>
          <w:szCs w:val="20"/>
          <w:color w:val="auto"/>
        </w:rPr>
      </w:pPr>
      <w:r>
        <w:rPr>
          <w:rFonts w:ascii="Arial" w:cs="Arial" w:eastAsia="Arial" w:hAnsi="Arial"/>
          <w:sz w:val="18"/>
          <w:szCs w:val="18"/>
          <w:color w:val="auto"/>
        </w:rPr>
        <w:t>development, manufacture, or commercialization of engineered T cells with chimeric antigen receptors and T cell receptors in the field of diagnosis, treatment, or prevention of cancer in humans through the use of engineered T cells, excluding the diagnosis, treatment, or prevention of medullary cystic kidney disease.</w:t>
      </w:r>
    </w:p>
    <w:p>
      <w:pPr>
        <w:spacing w:after="0" w:line="163" w:lineRule="exact"/>
        <w:rPr>
          <w:sz w:val="20"/>
          <w:szCs w:val="20"/>
          <w:color w:val="auto"/>
        </w:rPr>
      </w:pPr>
    </w:p>
    <w:p>
      <w:pPr>
        <w:ind w:right="220" w:firstLine="648"/>
        <w:spacing w:after="0" w:line="194" w:lineRule="exact"/>
        <w:rPr>
          <w:sz w:val="20"/>
          <w:szCs w:val="20"/>
          <w:color w:val="auto"/>
        </w:rPr>
      </w:pPr>
      <w:r>
        <w:rPr>
          <w:rFonts w:ascii="Arial" w:cs="Arial" w:eastAsia="Arial" w:hAnsi="Arial"/>
          <w:sz w:val="18"/>
          <w:szCs w:val="18"/>
          <w:color w:val="auto"/>
        </w:rPr>
        <w:t>Collaborations are complex and time</w:t>
      </w:r>
      <w:r>
        <w:rPr>
          <w:rFonts w:ascii="MS PGothic" w:cs="MS PGothic" w:eastAsia="MS PGothic" w:hAnsi="MS PGothic"/>
          <w:sz w:val="18"/>
          <w:szCs w:val="18"/>
          <w:color w:val="auto"/>
        </w:rPr>
        <w:t>‑</w:t>
      </w:r>
      <w:r>
        <w:rPr>
          <w:rFonts w:ascii="Arial" w:cs="Arial" w:eastAsia="Arial" w:hAnsi="Arial"/>
          <w:sz w:val="18"/>
          <w:szCs w:val="18"/>
          <w:color w:val="auto"/>
        </w:rPr>
        <w:t>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68"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163"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We expect to rely on third parties, such as CROs, clinical data management organizations, medical institutions, and clinical investigators, to conduct our clinical trials. We currently rely and expect to continue to rely on third parties to conduct some aspects of our research and preclinical testing. Any of these third parties may terminate their engagements with us at any time. If we need to enter into alternative arrangements, it would delay our product development activities.</w:t>
      </w:r>
    </w:p>
    <w:p>
      <w:pPr>
        <w:spacing w:after="0" w:line="15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sponsored database, ClinicalTrials.gov, within certain timeframes. Failure to do so can result in fines, adverse publicity, and civil and criminal sanctions.</w:t>
      </w:r>
    </w:p>
    <w:p>
      <w:pPr>
        <w:spacing w:after="0" w:line="167"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61"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b w:val="1"/>
          <w:bCs w:val="1"/>
          <w:i w:val="1"/>
          <w:iCs w:val="1"/>
          <w:color w:val="auto"/>
        </w:rPr>
        <w:t>We contract with third parties for the manufacture of materials for our research programs and preclinical studies and expect to continue to do so for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145" w:lineRule="exact"/>
        <w:rPr>
          <w:sz w:val="20"/>
          <w:szCs w:val="20"/>
          <w:color w:val="auto"/>
        </w:rPr>
      </w:pPr>
    </w:p>
    <w:p>
      <w:pPr>
        <w:ind w:right="80" w:firstLine="648"/>
        <w:spacing w:after="0" w:line="187" w:lineRule="exact"/>
        <w:rPr>
          <w:sz w:val="20"/>
          <w:szCs w:val="20"/>
          <w:color w:val="auto"/>
        </w:rPr>
      </w:pPr>
      <w:r>
        <w:rPr>
          <w:rFonts w:ascii="Arial" w:cs="Arial" w:eastAsia="Arial" w:hAnsi="Arial"/>
          <w:sz w:val="18"/>
          <w:szCs w:val="18"/>
          <w:color w:val="auto"/>
        </w:rPr>
        <w:t>We do not have any manufacturing facilities. We currently rely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for the manufacture of our materials for preclinical studies and expect to continue to do so for clinical testing and for commercial supply of any product candidates that we may develop and for which we or our collaborators obtain marketing approval. We do not have a long term supply agreement with any of the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and we purchase our required supply on a purchase order basis.</w:t>
      </w:r>
    </w:p>
    <w:p>
      <w:pPr>
        <w:spacing w:after="0" w:line="162" w:lineRule="exact"/>
        <w:rPr>
          <w:sz w:val="20"/>
          <w:szCs w:val="20"/>
          <w:color w:val="auto"/>
        </w:rPr>
      </w:pPr>
    </w:p>
    <w:p>
      <w:pPr>
        <w:jc w:val="both"/>
        <w:ind w:right="40" w:firstLine="648"/>
        <w:spacing w:after="0" w:line="194"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or to do so on acceptable terms.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w:t>
      </w:r>
    </w:p>
    <w:p>
      <w:pPr>
        <w:spacing w:after="0" w:line="163" w:lineRule="exact"/>
        <w:rPr>
          <w:sz w:val="20"/>
          <w:szCs w:val="20"/>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84" w:lineRule="exact"/>
        <w:rPr>
          <w:rFonts w:ascii="Arial" w:cs="Arial" w:eastAsia="Arial" w:hAnsi="Arial"/>
          <w:sz w:val="18"/>
          <w:szCs w:val="18"/>
          <w:color w:val="auto"/>
        </w:rPr>
      </w:pPr>
    </w:p>
    <w:p>
      <w:pPr>
        <w:ind w:left="980" w:right="900" w:hanging="329"/>
        <w:spacing w:after="0" w:line="23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61" w:lineRule="exact"/>
        <w:rPr>
          <w:rFonts w:ascii="Arial" w:cs="Arial" w:eastAsia="Arial" w:hAnsi="Arial"/>
          <w:sz w:val="18"/>
          <w:szCs w:val="18"/>
          <w:color w:val="auto"/>
        </w:rPr>
      </w:pPr>
    </w:p>
    <w:p>
      <w:pPr>
        <w:ind w:left="980" w:right="380" w:hanging="329"/>
        <w:spacing w:after="0" w:line="23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w:t>
      </w:r>
    </w:p>
    <w:p>
      <w:pPr>
        <w:spacing w:after="0" w:line="162"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manufacturers may not be able to comply with cGMP regulations or similar regulatory requirements outside the United States. Our failure, or the failure of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16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63"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bulk drug substances. If any one of our current contract manufacturer cannot perform as agreed, we may be required to replace that manufacturer. Although we believe that there are several potential alternative manufacturers who could manufacture any product candidates we may develop, we may incur added costs and delays in identifying and qualifying any such replacement.</w:t>
      </w:r>
    </w:p>
    <w:p>
      <w:pPr>
        <w:spacing w:after="0" w:line="159"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Our current and anticipated future dependence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163" w:lineRule="exact"/>
        <w:rPr>
          <w:sz w:val="20"/>
          <w:szCs w:val="20"/>
          <w:color w:val="auto"/>
        </w:rPr>
      </w:pPr>
    </w:p>
    <w:p>
      <w:pPr>
        <w:ind w:right="100" w:firstLine="648"/>
        <w:spacing w:after="0" w:line="184" w:lineRule="exact"/>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CRISPR platform technology and any proprietary product candidates and technology we develop. We seek to protect our proprietary position by in</w:t>
      </w:r>
      <w:r>
        <w:rPr>
          <w:rFonts w:ascii="MS PGothic" w:cs="MS PGothic" w:eastAsia="MS PGothic" w:hAnsi="MS PGothic"/>
          <w:sz w:val="17"/>
          <w:szCs w:val="17"/>
          <w:color w:val="auto"/>
        </w:rPr>
        <w:t>‑</w:t>
      </w:r>
      <w:r>
        <w:rPr>
          <w:rFonts w:ascii="Arial" w:cs="Arial" w:eastAsia="Arial" w:hAnsi="Arial"/>
          <w:sz w:val="17"/>
          <w:szCs w:val="17"/>
          <w:color w:val="auto"/>
        </w:rPr>
        <w:t>licensing intellectual property relating to our platform technology and filing patent applications in the United States and abroad related to our technologies and product candidates that are important to our business. If we or our licensors are unable to obtain or maintain patent protection with respect to our CRISPR platform technology and any proprietary products and technology we develop, our business, financial condition, results of operations, and prospects could be materially harmed.</w:t>
      </w:r>
    </w:p>
    <w:p>
      <w:pPr>
        <w:spacing w:after="0" w:line="162" w:lineRule="exact"/>
        <w:rPr>
          <w:sz w:val="20"/>
          <w:szCs w:val="20"/>
          <w:color w:val="auto"/>
        </w:rPr>
      </w:pPr>
    </w:p>
    <w:p>
      <w:pPr>
        <w:ind w:right="20" w:firstLine="648"/>
        <w:spacing w:after="0" w:line="182" w:lineRule="exact"/>
        <w:rPr>
          <w:sz w:val="20"/>
          <w:szCs w:val="20"/>
          <w:color w:val="auto"/>
        </w:rPr>
      </w:pPr>
      <w:r>
        <w:rPr>
          <w:rFonts w:ascii="Arial" w:cs="Arial" w:eastAsia="Arial" w:hAnsi="Arial"/>
          <w:sz w:val="18"/>
          <w:szCs w:val="18"/>
          <w:color w:val="auto"/>
        </w:rPr>
        <w:t>No consistent policy regarding the scope of claims allowable in the field of genome editing, including CRISPR technology, has emerged in the United States.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w:t>
      </w:r>
      <w:r>
        <w:rPr>
          <w:rFonts w:ascii="MS PGothic" w:cs="MS PGothic" w:eastAsia="MS PGothic" w:hAnsi="MS PGothic"/>
          <w:sz w:val="18"/>
          <w:szCs w:val="18"/>
          <w:color w:val="auto"/>
        </w:rPr>
        <w:t>‑</w:t>
      </w:r>
      <w:r>
        <w:rPr>
          <w:rFonts w:ascii="Arial" w:cs="Arial" w:eastAsia="Arial" w:hAnsi="Arial"/>
          <w:sz w:val="18"/>
          <w:szCs w:val="18"/>
          <w:color w:val="auto"/>
        </w:rPr>
        <w:t>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165"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The patent prosecution process is expensive, time</w:t>
      </w:r>
      <w:r>
        <w:rPr>
          <w:rFonts w:ascii="MS PGothic" w:cs="MS PGothic" w:eastAsia="MS PGothic" w:hAnsi="MS PGothic"/>
          <w:sz w:val="17"/>
          <w:szCs w:val="17"/>
          <w:color w:val="auto"/>
        </w:rPr>
        <w:t>‑</w:t>
      </w:r>
      <w:r>
        <w:rPr>
          <w:rFonts w:ascii="Arial" w:cs="Arial" w:eastAsia="Arial" w:hAnsi="Arial"/>
          <w:sz w:val="17"/>
          <w:szCs w:val="17"/>
          <w:color w:val="auto"/>
        </w:rPr>
        <w:t>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w:t>
      </w:r>
      <w:r>
        <w:rPr>
          <w:rFonts w:ascii="MS PGothic" w:cs="MS PGothic" w:eastAsia="MS PGothic" w:hAnsi="MS PGothic"/>
          <w:sz w:val="17"/>
          <w:szCs w:val="17"/>
          <w:color w:val="auto"/>
        </w:rPr>
        <w:t>‑</w:t>
      </w:r>
      <w:r>
        <w:rPr>
          <w:rFonts w:ascii="Arial" w:cs="Arial" w:eastAsia="Arial" w:hAnsi="Arial"/>
          <w:sz w:val="17"/>
          <w:szCs w:val="17"/>
          <w:color w:val="auto"/>
        </w:rPr>
        <w:t>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63"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w:t>
      </w:r>
    </w:p>
    <w:p>
      <w:pPr>
        <w:spacing w:after="0" w:line="161" w:lineRule="exact"/>
        <w:rPr>
          <w:sz w:val="20"/>
          <w:szCs w:val="20"/>
          <w:color w:val="auto"/>
        </w:rPr>
      </w:pPr>
    </w:p>
    <w:p>
      <w:pPr>
        <w:ind w:right="80" w:firstLine="648"/>
        <w:spacing w:after="0" w:line="181" w:lineRule="exact"/>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w:t>
      </w:r>
      <w:r>
        <w:rPr>
          <w:rFonts w:ascii="MS PGothic" w:cs="MS PGothic" w:eastAsia="MS PGothic" w:hAnsi="MS PGothic"/>
          <w:sz w:val="16"/>
          <w:szCs w:val="16"/>
          <w:color w:val="auto"/>
        </w:rPr>
        <w:t>‑</w:t>
      </w:r>
      <w:r>
        <w:rPr>
          <w:rFonts w:ascii="Arial" w:cs="Arial" w:eastAsia="Arial" w:hAnsi="Arial"/>
          <w:sz w:val="16"/>
          <w:szCs w:val="16"/>
          <w:color w:val="auto"/>
        </w:rPr>
        <w:t>license may be challenged, narrowed, circumvented, or invalidated by third parties. Consequently, we do not know whether any of our platform advances and product candidates will be protectable or remain protected by valid and enforceable patents. Our competitors or other third parties may be able to circumvent our patents by developing similar or alternative technologies or products in a non</w:t>
      </w:r>
      <w:r>
        <w:rPr>
          <w:rFonts w:ascii="MS PGothic" w:cs="MS PGothic" w:eastAsia="MS PGothic" w:hAnsi="MS PGothic"/>
          <w:sz w:val="16"/>
          <w:szCs w:val="16"/>
          <w:color w:val="auto"/>
        </w:rPr>
        <w:t>‑</w:t>
      </w:r>
      <w:r>
        <w:rPr>
          <w:rFonts w:ascii="Arial" w:cs="Arial" w:eastAsia="Arial" w:hAnsi="Arial"/>
          <w:sz w:val="16"/>
          <w:szCs w:val="16"/>
          <w:color w:val="auto"/>
        </w:rPr>
        <w:t>infringing manner. For example, we are aware that third parties have suggested the use of the CRISPR technology in conjunction with a protein other than Cas9 or Cpf1.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patents may not cover CRISPR technology in conjunction with a protein other than Cas9 or Cpf1. If our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competitors commercialize the CRISPR technology in conjunction with a protein other than Cas9 or Cpf1, our business, financial condition, results of operations, and prospects could be materially adversely affected.</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the United States and abroad. Our licensors are currently, and we or our licensors may in the future become, subject to a third party pre</w:t>
      </w:r>
      <w:r>
        <w:rPr>
          <w:rFonts w:ascii="MS PGothic" w:cs="MS PGothic" w:eastAsia="MS PGothic" w:hAnsi="MS PGothic"/>
          <w:sz w:val="16"/>
          <w:szCs w:val="16"/>
          <w:color w:val="auto"/>
        </w:rPr>
        <w:t>‑</w:t>
      </w:r>
      <w:r>
        <w:rPr>
          <w:rFonts w:ascii="Arial" w:cs="Arial" w:eastAsia="Arial" w:hAnsi="Arial"/>
          <w:sz w:val="16"/>
          <w:szCs w:val="16"/>
          <w:color w:val="auto"/>
        </w:rPr>
        <w:t>issuance submission of prior art to the United States Patent and Trademark Office (the “USPTO”) or opposition, derivation, revocation, re</w:t>
      </w:r>
      <w:r>
        <w:rPr>
          <w:rFonts w:ascii="MS PGothic" w:cs="MS PGothic" w:eastAsia="MS PGothic" w:hAnsi="MS PGothic"/>
          <w:sz w:val="16"/>
          <w:szCs w:val="16"/>
          <w:color w:val="auto"/>
        </w:rPr>
        <w:t>‑</w:t>
      </w:r>
      <w:r>
        <w:rPr>
          <w:rFonts w:ascii="Arial" w:cs="Arial" w:eastAsia="Arial" w:hAnsi="Arial"/>
          <w:sz w:val="16"/>
          <w:szCs w:val="16"/>
          <w:color w:val="auto"/>
        </w:rPr>
        <w:t>examination, post</w:t>
      </w:r>
      <w:r>
        <w:rPr>
          <w:rFonts w:ascii="MS PGothic" w:cs="MS PGothic" w:eastAsia="MS PGothic" w:hAnsi="MS PGothic"/>
          <w:sz w:val="16"/>
          <w:szCs w:val="16"/>
          <w:color w:val="auto"/>
        </w:rPr>
        <w:t>‑</w:t>
      </w:r>
      <w:r>
        <w:rPr>
          <w:rFonts w:ascii="Arial" w:cs="Arial" w:eastAsia="Arial" w:hAnsi="Arial"/>
          <w:sz w:val="16"/>
          <w:szCs w:val="16"/>
          <w:color w:val="auto"/>
        </w:rPr>
        <w:t xml:space="preserve">grant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and other similar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w:t>
      </w:r>
      <w:r>
        <w:rPr>
          <w:rFonts w:ascii="MS PGothic" w:cs="MS PGothic" w:eastAsia="MS PGothic" w:hAnsi="MS PGothic"/>
          <w:sz w:val="16"/>
          <w:szCs w:val="16"/>
          <w:color w:val="auto"/>
        </w:rPr>
        <w:t>‑</w:t>
      </w:r>
      <w:r>
        <w:rPr>
          <w:rFonts w:ascii="Arial" w:cs="Arial" w:eastAsia="Arial" w:hAnsi="Arial"/>
          <w:sz w:val="16"/>
          <w:szCs w:val="16"/>
          <w:color w:val="auto"/>
        </w:rPr>
        <w:t>party patent rights. Moreover, we, or one of our licensors, may have to participate in interference proceedings declared by the USPTO to determine priority of invention or in post</w:t>
      </w:r>
      <w:r>
        <w:rPr>
          <w:rFonts w:ascii="MS PGothic" w:cs="MS PGothic" w:eastAsia="MS PGothic" w:hAnsi="MS PGothic"/>
          <w:sz w:val="16"/>
          <w:szCs w:val="16"/>
          <w:color w:val="auto"/>
        </w:rPr>
        <w:t>‑</w:t>
      </w:r>
      <w:r>
        <w:rPr>
          <w:rFonts w:ascii="Arial" w:cs="Arial" w:eastAsia="Arial" w:hAnsi="Arial"/>
          <w:sz w:val="16"/>
          <w:szCs w:val="16"/>
          <w:color w:val="auto"/>
        </w:rPr>
        <w: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As discussed below, some of our in</w:t>
      </w:r>
      <w:r>
        <w:rPr>
          <w:rFonts w:ascii="MS PGothic" w:cs="MS PGothic" w:eastAsia="MS PGothic" w:hAnsi="MS PGothic"/>
          <w:sz w:val="16"/>
          <w:szCs w:val="16"/>
          <w:color w:val="auto"/>
        </w:rPr>
        <w:t>‑</w:t>
      </w:r>
      <w:r>
        <w:rPr>
          <w:rFonts w:ascii="Arial" w:cs="Arial" w:eastAsia="Arial" w:hAnsi="Arial"/>
          <w:sz w:val="16"/>
          <w:szCs w:val="16"/>
          <w:color w:val="auto"/>
        </w:rPr>
        <w:t xml:space="preserve">licensed patents are subject to interference, opposition, and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w:t>
      </w:r>
      <w:r>
        <w:rPr>
          <w:rFonts w:ascii="MS PGothic" w:cs="MS PGothic" w:eastAsia="MS PGothic" w:hAnsi="MS PGothic"/>
          <w:sz w:val="16"/>
          <w:szCs w:val="16"/>
          <w:color w:val="auto"/>
        </w:rPr>
        <w:t>‑</w:t>
      </w:r>
      <w:r>
        <w:rPr>
          <w:rFonts w:ascii="Arial" w:cs="Arial" w:eastAsia="Arial" w:hAnsi="Arial"/>
          <w:sz w:val="16"/>
          <w:szCs w:val="16"/>
          <w:color w:val="auto"/>
        </w:rPr>
        <w:t>examination proceedings and therefore subject to these risks.</w:t>
      </w:r>
    </w:p>
    <w:p>
      <w:pPr>
        <w:spacing w:after="0" w:line="167"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patents and patent applications are, and may in the future be, co</w:t>
      </w:r>
      <w:r>
        <w:rPr>
          <w:rFonts w:ascii="MS PGothic" w:cs="MS PGothic" w:eastAsia="MS PGothic" w:hAnsi="MS PGothic"/>
          <w:sz w:val="16"/>
          <w:szCs w:val="16"/>
          <w:color w:val="auto"/>
        </w:rPr>
        <w:t>‑</w:t>
      </w:r>
      <w:r>
        <w:rPr>
          <w:rFonts w:ascii="Arial" w:cs="Arial" w:eastAsia="Arial" w:hAnsi="Arial"/>
          <w:sz w:val="16"/>
          <w:szCs w:val="16"/>
          <w:color w:val="auto"/>
        </w:rPr>
        <w:t>owned with third parties. If we are unable to obtain an exclusive license to any such third party co</w:t>
      </w:r>
      <w:r>
        <w:rPr>
          <w:rFonts w:ascii="MS PGothic" w:cs="MS PGothic" w:eastAsia="MS PGothic" w:hAnsi="MS PGothic"/>
          <w:sz w:val="16"/>
          <w:szCs w:val="16"/>
          <w:color w:val="auto"/>
        </w:rPr>
        <w:t>‑</w:t>
      </w:r>
      <w:r>
        <w:rPr>
          <w:rFonts w:ascii="Arial" w:cs="Arial" w:eastAsia="Arial" w:hAnsi="Arial"/>
          <w:sz w:val="16"/>
          <w:szCs w:val="16"/>
          <w:color w:val="auto"/>
        </w:rPr>
        <w:t>owners’ interest in such patents or patent applications, such co</w:t>
      </w:r>
      <w:r>
        <w:rPr>
          <w:rFonts w:ascii="MS PGothic" w:cs="MS PGothic" w:eastAsia="MS PGothic" w:hAnsi="MS PGothic"/>
          <w:sz w:val="16"/>
          <w:szCs w:val="16"/>
          <w:color w:val="auto"/>
        </w:rPr>
        <w:t>‑</w:t>
      </w:r>
      <w:r>
        <w:rPr>
          <w:rFonts w:ascii="Arial" w:cs="Arial" w:eastAsia="Arial" w:hAnsi="Arial"/>
          <w:sz w:val="16"/>
          <w:szCs w:val="16"/>
          <w:color w:val="auto"/>
        </w:rPr>
        <w:t>owners may be able to license their rights to other third parties, including our competitors, and our competitors could market competing products and technology. In addition, we or our licensors may need the cooperation of any such co</w:t>
      </w:r>
      <w:r>
        <w:rPr>
          <w:rFonts w:ascii="MS PGothic" w:cs="MS PGothic" w:eastAsia="MS PGothic" w:hAnsi="MS PGothic"/>
          <w:sz w:val="16"/>
          <w:szCs w:val="16"/>
          <w:color w:val="auto"/>
        </w:rPr>
        <w:t>‑</w:t>
      </w:r>
      <w:r>
        <w:rPr>
          <w:rFonts w:ascii="Arial" w:cs="Arial" w:eastAsia="Arial" w:hAnsi="Arial"/>
          <w:sz w:val="16"/>
          <w:szCs w:val="16"/>
          <w:color w:val="auto"/>
        </w:rPr>
        <w:t>owners of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patents in order to enforce such patents against third parties, and such cooperation may not be provided to us or our licensors. Any of the foregoing could have a material adverse effect on our competitive position, business, financial conditions, results of operations, and prospects.</w:t>
      </w:r>
    </w:p>
    <w:p>
      <w:pPr>
        <w:spacing w:after="0" w:line="163" w:lineRule="exact"/>
        <w:rPr>
          <w:sz w:val="20"/>
          <w:szCs w:val="20"/>
          <w:color w:val="auto"/>
        </w:rPr>
      </w:pPr>
    </w:p>
    <w:p>
      <w:pPr>
        <w:ind w:right="60" w:firstLine="648"/>
        <w:spacing w:after="0" w:line="179" w:lineRule="exact"/>
        <w:rPr>
          <w:sz w:val="20"/>
          <w:szCs w:val="20"/>
          <w:color w:val="auto"/>
        </w:rPr>
      </w:pPr>
      <w:r>
        <w:rPr>
          <w:rFonts w:ascii="Arial" w:cs="Arial" w:eastAsia="Arial" w:hAnsi="Arial"/>
          <w:sz w:val="17"/>
          <w:szCs w:val="17"/>
          <w:color w:val="auto"/>
        </w:rPr>
        <w:t>Furthermore, our owned and in</w:t>
      </w:r>
      <w:r>
        <w:rPr>
          <w:rFonts w:ascii="MS PGothic" w:cs="MS PGothic" w:eastAsia="MS PGothic" w:hAnsi="MS PGothic"/>
          <w:sz w:val="17"/>
          <w:szCs w:val="17"/>
          <w:color w:val="auto"/>
        </w:rPr>
        <w:t>‑</w:t>
      </w:r>
      <w:r>
        <w:rPr>
          <w:rFonts w:ascii="Arial" w:cs="Arial" w:eastAsia="Arial" w:hAnsi="Arial"/>
          <w:sz w:val="17"/>
          <w:szCs w:val="17"/>
          <w:color w:val="auto"/>
        </w:rPr>
        <w:t>licensed patents may be subject to a reservation of rights by one or more third parties. For example, the research resulting in certain of our owned and in</w:t>
      </w:r>
      <w:r>
        <w:rPr>
          <w:rFonts w:ascii="MS PGothic" w:cs="MS PGothic" w:eastAsia="MS PGothic" w:hAnsi="MS PGothic"/>
          <w:sz w:val="17"/>
          <w:szCs w:val="17"/>
          <w:color w:val="auto"/>
        </w:rPr>
        <w:t>‑</w:t>
      </w:r>
      <w:r>
        <w:rPr>
          <w:rFonts w:ascii="Arial" w:cs="Arial" w:eastAsia="Arial" w:hAnsi="Arial"/>
          <w:sz w:val="17"/>
          <w:szCs w:val="17"/>
          <w:color w:val="auto"/>
        </w:rPr>
        <w:t>licensed patent rights and technology was funded in part by the U.S. government. As a result, the U.S. government has certain rights, including march</w:t>
      </w:r>
      <w:r>
        <w:rPr>
          <w:rFonts w:ascii="MS PGothic" w:cs="MS PGothic" w:eastAsia="MS PGothic" w:hAnsi="MS PGothic"/>
          <w:sz w:val="17"/>
          <w:szCs w:val="17"/>
          <w:color w:val="auto"/>
        </w:rPr>
        <w:t>‑</w:t>
      </w:r>
      <w:r>
        <w:rPr>
          <w:rFonts w:ascii="Arial" w:cs="Arial" w:eastAsia="Arial" w:hAnsi="Arial"/>
          <w:sz w:val="17"/>
          <w:szCs w:val="17"/>
          <w:color w:val="auto"/>
        </w:rPr>
        <w:t>in rights, to such patent rights and technology. When new technologies are developed with government funding, the government generally obtains certain rights in any resulting patents, including a non</w:t>
      </w:r>
      <w:r>
        <w:rPr>
          <w:rFonts w:ascii="MS PGothic" w:cs="MS PGothic" w:eastAsia="MS PGothic" w:hAnsi="MS PGothic"/>
          <w:sz w:val="17"/>
          <w:szCs w:val="17"/>
          <w:color w:val="auto"/>
        </w:rPr>
        <w:t>‑</w:t>
      </w:r>
      <w:r>
        <w:rPr>
          <w:rFonts w:ascii="Arial" w:cs="Arial" w:eastAsia="Arial" w:hAnsi="Arial"/>
          <w:sz w:val="17"/>
          <w:szCs w:val="17"/>
          <w:color w:val="auto"/>
        </w:rPr>
        <w:t>exclusive license authorizing the government to use the invention. For example, our licensors, including The Broad Institute, Inc. (“Broad”), have granted the U.S. government a non</w:t>
      </w:r>
      <w:r>
        <w:rPr>
          <w:rFonts w:ascii="MS PGothic" w:cs="MS PGothic" w:eastAsia="MS PGothic" w:hAnsi="MS PGothic"/>
          <w:sz w:val="17"/>
          <w:szCs w:val="17"/>
          <w:color w:val="auto"/>
        </w:rPr>
        <w:t>‑</w:t>
      </w:r>
      <w:r>
        <w:rPr>
          <w:rFonts w:ascii="Arial" w:cs="Arial" w:eastAsia="Arial" w:hAnsi="Arial"/>
          <w:sz w:val="17"/>
          <w:szCs w:val="17"/>
          <w:color w:val="auto"/>
        </w:rPr>
        <w:t>exclusive, non</w:t>
      </w:r>
      <w:r>
        <w:rPr>
          <w:rFonts w:ascii="MS PGothic" w:cs="MS PGothic" w:eastAsia="MS PGothic" w:hAnsi="MS PGothic"/>
          <w:sz w:val="17"/>
          <w:szCs w:val="17"/>
          <w:color w:val="auto"/>
        </w:rPr>
        <w:t>‑</w:t>
      </w:r>
      <w:r>
        <w:rPr>
          <w:rFonts w:ascii="Arial" w:cs="Arial" w:eastAsia="Arial" w:hAnsi="Arial"/>
          <w:sz w:val="17"/>
          <w:szCs w:val="17"/>
          <w:color w:val="auto"/>
        </w:rPr>
        <w:t>transferable, irrevocable, paid</w:t>
      </w:r>
      <w:r>
        <w:rPr>
          <w:rFonts w:ascii="MS PGothic" w:cs="MS PGothic" w:eastAsia="MS PGothic" w:hAnsi="MS PGothic"/>
          <w:sz w:val="17"/>
          <w:szCs w:val="17"/>
          <w:color w:val="auto"/>
        </w:rPr>
        <w:t>‑</w:t>
      </w:r>
      <w:r>
        <w:rPr>
          <w:rFonts w:ascii="Arial" w:cs="Arial" w:eastAsia="Arial" w:hAnsi="Arial"/>
          <w:sz w:val="17"/>
          <w:szCs w:val="17"/>
          <w:color w:val="auto"/>
        </w:rPr>
        <w:t>up license to practice or have practiced for or on behalf of the United States, the inventions described in certain of our in</w:t>
      </w:r>
      <w:r>
        <w:rPr>
          <w:rFonts w:ascii="MS PGothic" w:cs="MS PGothic" w:eastAsia="MS PGothic" w:hAnsi="MS PGothic"/>
          <w:sz w:val="17"/>
          <w:szCs w:val="17"/>
          <w:color w:val="auto"/>
        </w:rPr>
        <w:t>‑</w:t>
      </w:r>
      <w:r>
        <w:rPr>
          <w:rFonts w:ascii="Arial" w:cs="Arial" w:eastAsia="Arial" w:hAnsi="Arial"/>
          <w:sz w:val="17"/>
          <w:szCs w:val="17"/>
          <w:color w:val="auto"/>
        </w:rPr>
        <w:t>licensed patents and patent applications, including certain aspects of our in</w:t>
      </w:r>
      <w:r>
        <w:rPr>
          <w:rFonts w:ascii="MS PGothic" w:cs="MS PGothic" w:eastAsia="MS PGothic" w:hAnsi="MS PGothic"/>
          <w:sz w:val="17"/>
          <w:szCs w:val="17"/>
          <w:color w:val="auto"/>
        </w:rPr>
        <w:t>‑</w:t>
      </w:r>
      <w:r>
        <w:rPr>
          <w:rFonts w:ascii="Arial" w:cs="Arial" w:eastAsia="Arial" w:hAnsi="Arial"/>
          <w:sz w:val="17"/>
          <w:szCs w:val="17"/>
          <w:color w:val="auto"/>
        </w:rPr>
        <w:t>licensed CRISPR technology. If the government decides to exercise these rights, it is not required to engage us as its contractor in connection with doing so. These rights may permit the U.S. government to disclose our confidential information to third parties and to exercise march</w:t>
      </w:r>
      <w:r>
        <w:rPr>
          <w:rFonts w:ascii="MS PGothic" w:cs="MS PGothic" w:eastAsia="MS PGothic" w:hAnsi="MS PGothic"/>
          <w:sz w:val="17"/>
          <w:szCs w:val="17"/>
          <w:color w:val="auto"/>
        </w:rPr>
        <w:t>‑</w:t>
      </w:r>
      <w:r>
        <w:rPr>
          <w:rFonts w:ascii="Arial" w:cs="Arial" w:eastAsia="Arial" w:hAnsi="Arial"/>
          <w:sz w:val="17"/>
          <w:szCs w:val="17"/>
          <w:color w:val="auto"/>
        </w:rPr>
        <w:t>in rights to use or allow third parties to use our licensed technology. The U.S. government can exercise its march</w:t>
      </w:r>
      <w:r>
        <w:rPr>
          <w:rFonts w:ascii="MS PGothic" w:cs="MS PGothic" w:eastAsia="MS PGothic" w:hAnsi="MS PGothic"/>
          <w:sz w:val="17"/>
          <w:szCs w:val="17"/>
          <w:color w:val="auto"/>
        </w:rPr>
        <w:t>‑</w:t>
      </w:r>
      <w:r>
        <w:rPr>
          <w:rFonts w:ascii="Arial" w:cs="Arial" w:eastAsia="Arial" w:hAnsi="Arial"/>
          <w:sz w:val="17"/>
          <w:szCs w:val="17"/>
          <w:color w:val="auto"/>
        </w:rPr>
        <w:t>in rights if it determines that action is necessary because we fail to achieve practical application of the government</w:t>
      </w:r>
      <w:r>
        <w:rPr>
          <w:rFonts w:ascii="MS PGothic" w:cs="MS PGothic" w:eastAsia="MS PGothic" w:hAnsi="MS PGothic"/>
          <w:sz w:val="17"/>
          <w:szCs w:val="17"/>
          <w:color w:val="auto"/>
        </w:rPr>
        <w:t>‑</w:t>
      </w:r>
      <w:r>
        <w:rPr>
          <w:rFonts w:ascii="Arial" w:cs="Arial" w:eastAsia="Arial" w:hAnsi="Arial"/>
          <w:sz w:val="17"/>
          <w:szCs w:val="17"/>
          <w:color w:val="auto"/>
        </w:rPr>
        <w: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harm our competitive position, business, financial condition, results of operations, and prospects.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are subject, in part, to the terms and conditions of licenses granted to us by others.</w:t>
      </w:r>
    </w:p>
    <w:p>
      <w:pPr>
        <w:spacing w:after="0" w:line="162"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We are heavily reliant upon licenses to certain patent rights and proprietary technology from third parties that are important or necessary to the development of our genome editing technology, including our CRISPR technology, and product candidates.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For example, pursuant to our license agreements with Broad, and Broad and the President and Fellows of Harvard College (“Harvard”), the licensors may, under certain circumstances, grant a license to the patents that are the subject of such license agreements to a third party. Such third party would have full rights to the patent rights that are the subject of such licenses, which could impact our competitive position and enable a third party to commercialize products similar to our future product candidates and technology. Furthermore, under these license agreements, Broad has the right, after specified periods of time and subject to certain limitations, to designate gene targets for which Broad, whether alone or together with an affiliate or third party, has an interest in researching and developing products that would otherwise be covered by rights licensed to us under the agreements. Any of the foregoing would narrow the scope of our exclusive rights to the patents and patent applications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The terms of these license agreements are described more fully under “Part I—Business—Our Collaborations and Licensing Strategy” in our Annual Report on Form 10-K for the fiscal year ended December 31, 2017. In addition, our rights to our in</w:t>
      </w:r>
      <w:r>
        <w:rPr>
          <w:rFonts w:ascii="MS PGothic" w:cs="MS PGothic" w:eastAsia="MS PGothic" w:hAnsi="MS PGothic"/>
          <w:sz w:val="16"/>
          <w:szCs w:val="16"/>
          <w:color w:val="auto"/>
        </w:rPr>
        <w:t>‑</w:t>
      </w:r>
      <w:r>
        <w:rPr>
          <w:rFonts w:ascii="Arial" w:cs="Arial" w:eastAsia="Arial" w:hAnsi="Arial"/>
          <w:sz w:val="16"/>
          <w:szCs w:val="16"/>
          <w:color w:val="auto"/>
        </w:rPr>
        <w:t>licensed patents and patent applications are dependent, in part, on inter</w:t>
      </w:r>
      <w:r>
        <w:rPr>
          <w:rFonts w:ascii="MS PGothic" w:cs="MS PGothic" w:eastAsia="MS PGothic" w:hAnsi="MS PGothic"/>
          <w:sz w:val="16"/>
          <w:szCs w:val="16"/>
          <w:color w:val="auto"/>
        </w:rPr>
        <w:t>‑</w:t>
      </w:r>
      <w:r>
        <w:rPr>
          <w:rFonts w:ascii="Arial" w:cs="Arial" w:eastAsia="Arial" w:hAnsi="Arial"/>
          <w:sz w:val="16"/>
          <w:szCs w:val="16"/>
          <w:color w:val="auto"/>
        </w:rPr>
        <w:t>institutional or other operating agreements between the joint owners of such in</w:t>
      </w:r>
      <w:r>
        <w:rPr>
          <w:rFonts w:ascii="MS PGothic" w:cs="MS PGothic" w:eastAsia="MS PGothic" w:hAnsi="MS PGothic"/>
          <w:sz w:val="16"/>
          <w:szCs w:val="16"/>
          <w:color w:val="auto"/>
        </w:rPr>
        <w:t>‑</w:t>
      </w:r>
      <w:r>
        <w:rPr>
          <w:rFonts w:ascii="Arial" w:cs="Arial" w:eastAsia="Arial" w:hAnsi="Arial"/>
          <w:sz w:val="16"/>
          <w:szCs w:val="16"/>
          <w:color w:val="auto"/>
        </w:rPr>
        <w:t>licensed patents and patent applications. If one or more of such joint owners breaches such inter</w:t>
      </w:r>
      <w:r>
        <w:rPr>
          <w:rFonts w:ascii="MS PGothic" w:cs="MS PGothic" w:eastAsia="MS PGothic" w:hAnsi="MS PGothic"/>
          <w:sz w:val="16"/>
          <w:szCs w:val="16"/>
          <w:color w:val="auto"/>
        </w:rPr>
        <w:t>‑</w:t>
      </w:r>
      <w:r>
        <w:rPr>
          <w:rFonts w:ascii="Arial" w:cs="Arial" w:eastAsia="Arial" w:hAnsi="Arial"/>
          <w:sz w:val="16"/>
          <w:szCs w:val="16"/>
          <w:color w:val="auto"/>
        </w:rPr>
        <w:t>institutional or operating agreements, our rights to such in</w:t>
      </w:r>
      <w:r>
        <w:rPr>
          <w:rFonts w:ascii="MS PGothic" w:cs="MS PGothic" w:eastAsia="MS PGothic" w:hAnsi="MS PGothic"/>
          <w:sz w:val="16"/>
          <w:szCs w:val="16"/>
          <w:color w:val="auto"/>
        </w:rPr>
        <w:t>‑</w:t>
      </w:r>
      <w:r>
        <w:rPr>
          <w:rFonts w:ascii="Arial" w:cs="Arial" w:eastAsia="Arial" w:hAnsi="Arial"/>
          <w:sz w:val="16"/>
          <w:szCs w:val="16"/>
          <w:color w:val="auto"/>
        </w:rPr>
        <w:t>licensed patents and patent applications may be adversely affected, which could have a material adverse effect on our competitive position, business, financial conditions, results of operations, and prospects.</w:t>
      </w:r>
    </w:p>
    <w:p>
      <w:pPr>
        <w:spacing w:after="0" w:line="170"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In addition, we may not have the right to control the preparation, filing, prosecution, maintenance, enforcement, and defense of patents and patent applications covering the technology that we license from third parties. For example, pursuant to each of our intellectual property licenses with Broad, Harvard, and The General Hospital Corporation, d/b/a Massachusetts General Hospital, our licensors retain control of preparation, filing, prosecution, and maintenance, and, in certain circumstances, enforcement and defense of their patents and patent applications. Therefore,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Additionally, given that we are required to reimburse our licensors for all of their expenses related to the prosecution, maintenance, enforcement and defense of patents and patent applications that we in</w:t>
      </w:r>
      <w:r>
        <w:rPr>
          <w:rFonts w:ascii="MS PGothic" w:cs="MS PGothic" w:eastAsia="MS PGothic" w:hAnsi="MS PGothic"/>
          <w:sz w:val="16"/>
          <w:szCs w:val="16"/>
          <w:color w:val="auto"/>
        </w:rPr>
        <w:t>‑</w:t>
      </w:r>
      <w:r>
        <w:rPr>
          <w:rFonts w:ascii="Arial" w:cs="Arial" w:eastAsia="Arial" w:hAnsi="Arial"/>
          <w:sz w:val="16"/>
          <w:szCs w:val="16"/>
          <w:color w:val="auto"/>
        </w:rPr>
        <w:t>license from them, the ongoing nature of the interference, opposition, and re</w:t>
      </w:r>
      <w:r>
        <w:rPr>
          <w:rFonts w:ascii="MS PGothic" w:cs="MS PGothic" w:eastAsia="MS PGothic" w:hAnsi="MS PGothic"/>
          <w:sz w:val="16"/>
          <w:szCs w:val="16"/>
          <w:color w:val="auto"/>
        </w:rPr>
        <w:t>‑</w:t>
      </w:r>
      <w:r>
        <w:rPr>
          <w:rFonts w:ascii="Arial" w:cs="Arial" w:eastAsia="Arial" w:hAnsi="Arial"/>
          <w:sz w:val="16"/>
          <w:szCs w:val="16"/>
          <w:color w:val="auto"/>
        </w:rPr>
        <w:t>examination proceedings involving the patents licensed to us under our license agreement with Harvard and Broad and our obligation to make such reimbursements are not subject to any limitations, we anticipate that our obligation to reimburse our licensors for expenses related to these matters will continue to be substantial. In connection with these reimbursement obligations, we incurred expenses in aggregate of $18.7 million, $23.6 million, and $9.4 million during the years ended December 31, 2017, 2016, and 2015, respectively, and we incurred an aggregate of $4.7 million during the three months ended March 31, 2018.</w:t>
      </w:r>
    </w:p>
    <w:p>
      <w:pPr>
        <w:spacing w:after="0" w:line="164" w:lineRule="exact"/>
        <w:rPr>
          <w:sz w:val="20"/>
          <w:szCs w:val="20"/>
          <w:color w:val="auto"/>
        </w:rPr>
      </w:pPr>
    </w:p>
    <w:p>
      <w:pPr>
        <w:ind w:right="40" w:firstLine="648"/>
        <w:spacing w:after="0" w:line="183" w:lineRule="exact"/>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w:t>
      </w:r>
      <w:r>
        <w:rPr>
          <w:rFonts w:ascii="MS PGothic" w:cs="MS PGothic" w:eastAsia="MS PGothic" w:hAnsi="MS PGothic"/>
          <w:sz w:val="18"/>
          <w:szCs w:val="18"/>
          <w:color w:val="auto"/>
        </w:rPr>
        <w:t>‑</w:t>
      </w:r>
      <w:r>
        <w:rPr>
          <w:rFonts w:ascii="Arial" w:cs="Arial" w:eastAsia="Arial" w:hAnsi="Arial"/>
          <w:sz w:val="18"/>
          <w:szCs w:val="18"/>
          <w:color w:val="auto"/>
        </w:rPr>
        <w:t>licensed. For example, certain patent applications licensed to us by Broad are co</w:t>
      </w:r>
      <w:r>
        <w:rPr>
          <w:rFonts w:ascii="MS PGothic" w:cs="MS PGothic" w:eastAsia="MS PGothic" w:hAnsi="MS PGothic"/>
          <w:sz w:val="18"/>
          <w:szCs w:val="18"/>
          <w:color w:val="auto"/>
        </w:rPr>
        <w:t>‑</w:t>
      </w:r>
      <w:r>
        <w:rPr>
          <w:rFonts w:ascii="Arial" w:cs="Arial" w:eastAsia="Arial" w:hAnsi="Arial"/>
          <w:sz w:val="18"/>
          <w:szCs w:val="18"/>
          <w:color w:val="auto"/>
        </w:rPr>
        <w:t>owned with NIH. Broad does not and does not purport to grant any rights in NIH’s interest in these patent applications under our agreement. If other third parties have ownership rights to our in</w:t>
      </w:r>
      <w:r>
        <w:rPr>
          <w:rFonts w:ascii="MS PGothic" w:cs="MS PGothic" w:eastAsia="MS PGothic" w:hAnsi="MS PGothic"/>
          <w:sz w:val="18"/>
          <w:szCs w:val="18"/>
          <w:color w:val="auto"/>
        </w:rPr>
        <w:t>‑</w:t>
      </w:r>
      <w:r>
        <w:rPr>
          <w:rFonts w:ascii="Arial" w:cs="Arial" w:eastAsia="Arial" w:hAnsi="Arial"/>
          <w:sz w:val="18"/>
          <w:szCs w:val="18"/>
          <w:color w:val="auto"/>
        </w:rPr>
        <w:t>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65" w:lineRule="exact"/>
        <w:rPr>
          <w:sz w:val="20"/>
          <w:szCs w:val="20"/>
          <w:color w:val="auto"/>
        </w:rPr>
      </w:pPr>
    </w:p>
    <w:p>
      <w:pPr>
        <w:jc w:val="both"/>
        <w:ind w:right="220" w:firstLine="648"/>
        <w:spacing w:after="0" w:line="194" w:lineRule="exact"/>
        <w:rPr>
          <w:sz w:val="20"/>
          <w:szCs w:val="20"/>
          <w:color w:val="auto"/>
        </w:rPr>
      </w:pPr>
      <w:r>
        <w:rPr>
          <w:rFonts w:ascii="Arial" w:cs="Arial" w:eastAsia="Arial" w:hAnsi="Arial"/>
          <w:sz w:val="16"/>
          <w:szCs w:val="16"/>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w:t>
      </w:r>
      <w:r>
        <w:rPr>
          <w:rFonts w:ascii="MS PGothic" w:cs="MS PGothic" w:eastAsia="MS PGothic" w:hAnsi="MS PGothic"/>
          <w:sz w:val="16"/>
          <w:szCs w:val="16"/>
          <w:color w:val="auto"/>
        </w:rPr>
        <w:t>‑</w:t>
      </w:r>
      <w:r>
        <w:rPr>
          <w:rFonts w:ascii="Arial" w:cs="Arial" w:eastAsia="Arial" w:hAnsi="Arial"/>
          <w:sz w:val="16"/>
          <w:szCs w:val="16"/>
          <w:color w:val="auto"/>
        </w:rPr>
        <w:t>licenses are terminated, or if the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color w:val="auto"/>
        </w:rPr>
        <w:t>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w:t>
      </w:r>
    </w:p>
    <w:p>
      <w:pPr>
        <w:spacing w:after="0" w:line="165" w:lineRule="exact"/>
        <w:rPr>
          <w:sz w:val="20"/>
          <w:szCs w:val="20"/>
          <w:color w:val="auto"/>
        </w:rPr>
      </w:pPr>
    </w:p>
    <w:p>
      <w:pPr>
        <w:ind w:right="160"/>
        <w:spacing w:after="0" w:line="184" w:lineRule="exact"/>
        <w:rPr>
          <w:sz w:val="20"/>
          <w:szCs w:val="20"/>
          <w:color w:val="auto"/>
        </w:rPr>
      </w:pPr>
      <w:r>
        <w:rPr>
          <w:rFonts w:ascii="Arial" w:cs="Arial" w:eastAsia="Arial" w:hAnsi="Arial"/>
          <w:sz w:val="16"/>
          <w:szCs w:val="16"/>
          <w:b w:val="1"/>
          <w:bCs w:val="1"/>
          <w:i w:val="1"/>
          <w:iCs w:val="1"/>
          <w:color w:val="auto"/>
        </w:rPr>
        <w:t>Some of our in</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licensed patents are subject to priority and validity disputes. In addition, our owned and in</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licensed patents and other intellectual property may be subject to further priority and validity disputes, and other similar intellectual property proceedings including inventorship disputes.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166"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On January 11, 2016, the Patent Trial and Appeal Board of the USPTO (“PTAB”) declared an interference between a pending U.S. patent application (U.S. Serial No. 13/842,859) that is owned by the University of California, the University of Vienna, and Emmanuelle Charpentier and 12 U.S. patents (U.S. Patent Nos. 8,697,359; 8,771,945; 8,795,965; 8,865,406; 8,871,445; 8,889,356; 8,895,308; 8,906,616; 8,932,814; 8,945,839; 8,993,233; and 8,999,641) that are co</w:t>
      </w:r>
      <w:r>
        <w:rPr>
          <w:rFonts w:ascii="MS PGothic" w:cs="MS PGothic" w:eastAsia="MS PGothic" w:hAnsi="MS PGothic"/>
          <w:sz w:val="17"/>
          <w:szCs w:val="17"/>
          <w:color w:val="auto"/>
        </w:rPr>
        <w:t>‑</w:t>
      </w:r>
      <w:r>
        <w:rPr>
          <w:rFonts w:ascii="Arial" w:cs="Arial" w:eastAsia="Arial" w:hAnsi="Arial"/>
          <w:sz w:val="17"/>
          <w:szCs w:val="17"/>
          <w:color w:val="auto"/>
        </w:rPr>
        <w:t>owned by Broad and the Massachusetts Institute of Technology (“MIT”), and in some cases Harvard, and in</w:t>
      </w:r>
      <w:r>
        <w:rPr>
          <w:rFonts w:ascii="MS PGothic" w:cs="MS PGothic" w:eastAsia="MS PGothic" w:hAnsi="MS PGothic"/>
          <w:sz w:val="17"/>
          <w:szCs w:val="17"/>
          <w:color w:val="auto"/>
        </w:rPr>
        <w:t>‑</w:t>
      </w:r>
      <w:r>
        <w:rPr>
          <w:rFonts w:ascii="Arial" w:cs="Arial" w:eastAsia="Arial" w:hAnsi="Arial"/>
          <w:sz w:val="17"/>
          <w:szCs w:val="17"/>
          <w:color w:val="auto"/>
        </w:rPr>
        <w:t>licensed by us. On March 17, 2016, the PTAB re</w:t>
      </w:r>
      <w:r>
        <w:rPr>
          <w:rFonts w:ascii="MS PGothic" w:cs="MS PGothic" w:eastAsia="MS PGothic" w:hAnsi="MS PGothic"/>
          <w:sz w:val="17"/>
          <w:szCs w:val="17"/>
          <w:color w:val="auto"/>
        </w:rPr>
        <w:t>‑</w:t>
      </w:r>
      <w:r>
        <w:rPr>
          <w:rFonts w:ascii="Arial" w:cs="Arial" w:eastAsia="Arial" w:hAnsi="Arial"/>
          <w:sz w:val="17"/>
          <w:szCs w:val="17"/>
          <w:color w:val="auto"/>
        </w:rPr>
        <w:t>declared the interference to add a pending U.S. patent application (U.S. Serial No. 14/704,551) that is co</w:t>
      </w:r>
      <w:r>
        <w:rPr>
          <w:rFonts w:ascii="MS PGothic" w:cs="MS PGothic" w:eastAsia="MS PGothic" w:hAnsi="MS PGothic"/>
          <w:sz w:val="17"/>
          <w:szCs w:val="17"/>
          <w:color w:val="auto"/>
        </w:rPr>
        <w:t>‑</w:t>
      </w:r>
      <w:r>
        <w:rPr>
          <w:rFonts w:ascii="Arial" w:cs="Arial" w:eastAsia="Arial" w:hAnsi="Arial"/>
          <w:sz w:val="17"/>
          <w:szCs w:val="17"/>
          <w:color w:val="auto"/>
        </w:rPr>
        <w:t>owned by Broad, MIT, and Harvard, and in</w:t>
      </w:r>
      <w:r>
        <w:rPr>
          <w:rFonts w:ascii="MS PGothic" w:cs="MS PGothic" w:eastAsia="MS PGothic" w:hAnsi="MS PGothic"/>
          <w:sz w:val="17"/>
          <w:szCs w:val="17"/>
          <w:color w:val="auto"/>
        </w:rPr>
        <w:t>‑</w:t>
      </w:r>
      <w:r>
        <w:rPr>
          <w:rFonts w:ascii="Arial" w:cs="Arial" w:eastAsia="Arial" w:hAnsi="Arial"/>
          <w:sz w:val="17"/>
          <w:szCs w:val="17"/>
          <w:color w:val="auto"/>
        </w:rPr>
        <w:t>licensed by us. An interference is a proceeding within the USPTO to determine priority of invention of the subject matter of patent claims filed by different parties. This proceeding is only potentially available for patent applications filed in the United States on or before March 15, 2013 and related continuing patent applications. In the interference, the University of California, the University of Vienna and Emmanuelle Charpentier asserted that inventors from the University of California and the University of Vienna, and Emmanuelle Charpentier made certain inventions claimed in the Broad, MIT and Harvard patents before the inventors from Broad, MIT and, in certain cases, Harvard.</w:t>
      </w:r>
    </w:p>
    <w:p>
      <w:pPr>
        <w:spacing w:after="0" w:line="169" w:lineRule="exact"/>
        <w:rPr>
          <w:sz w:val="20"/>
          <w:szCs w:val="20"/>
          <w:color w:val="auto"/>
        </w:rPr>
      </w:pPr>
    </w:p>
    <w:p>
      <w:pPr>
        <w:ind w:right="20" w:firstLine="648"/>
        <w:spacing w:after="0" w:line="178" w:lineRule="exact"/>
        <w:rPr>
          <w:sz w:val="20"/>
          <w:szCs w:val="20"/>
          <w:color w:val="auto"/>
        </w:rPr>
      </w:pPr>
      <w:r>
        <w:rPr>
          <w:rFonts w:ascii="Arial" w:cs="Arial" w:eastAsia="Arial" w:hAnsi="Arial"/>
          <w:sz w:val="16"/>
          <w:szCs w:val="16"/>
          <w:color w:val="auto"/>
        </w:rPr>
        <w:t>In the declared interference, the University of California, acting on behalf of itself and the University of Vienna, and Emmanuelle Charpentier were designated as the senior party and Broad was designated as the junior party. In an interference proceeding, the junior party has the burden of proof and presents its priority evidence first. The declaration of interference defined the invention that is subject to the declaration of interference, also referred to as “the count,” as relating to a method that involves contacting a target DNA in a eukaryotic cell with certain defined CRISPR/Cas9 components for the purpose of cleaving or editing a target DNA molecule or modulating transcription of at least one gene encoded thereon. All of the claims in the pending U.S. patent application that is owned by the University of California, the University of Vienna, and Emmanuelle Charpentier and all of the claims in the 12 U.S. patents and one pending U.S. patent application that are co</w:t>
      </w:r>
      <w:r>
        <w:rPr>
          <w:rFonts w:ascii="MS PGothic" w:cs="MS PGothic" w:eastAsia="MS PGothic" w:hAnsi="MS PGothic"/>
          <w:sz w:val="16"/>
          <w:szCs w:val="16"/>
          <w:color w:val="auto"/>
        </w:rPr>
        <w:t>‑</w:t>
      </w:r>
      <w:r>
        <w:rPr>
          <w:rFonts w:ascii="Arial" w:cs="Arial" w:eastAsia="Arial" w:hAnsi="Arial"/>
          <w:sz w:val="16"/>
          <w:szCs w:val="16"/>
          <w:color w:val="auto"/>
        </w:rPr>
        <w:t>owned by Broad and MIT, and in some cases Harvard, and in</w:t>
      </w:r>
      <w:r>
        <w:rPr>
          <w:rFonts w:ascii="MS PGothic" w:cs="MS PGothic" w:eastAsia="MS PGothic" w:hAnsi="MS PGothic"/>
          <w:sz w:val="16"/>
          <w:szCs w:val="16"/>
          <w:color w:val="auto"/>
        </w:rPr>
        <w:t>‑</w:t>
      </w:r>
      <w:r>
        <w:rPr>
          <w:rFonts w:ascii="Arial" w:cs="Arial" w:eastAsia="Arial" w:hAnsi="Arial"/>
          <w:sz w:val="16"/>
          <w:szCs w:val="16"/>
          <w:color w:val="auto"/>
        </w:rPr>
        <w:t>licensed by us were implicated in the interference. The University of California, the University of Vienna, and Emmanuelle Charpentier are listed as applicants on U.S. Serial</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No. 13/842,859. The University of California derives rights in U.S. Serial No. 13/842,859 from an assignment by Dr. Jennifer Doudna and certain other inventors listed on such application. Caribou Biosciences has reported that it has an exclusive license to patent rights from the University of California and the University of Vienna. Intellia Therapeutics has reported that it has an exclusive license to such rights from Caribou Biosciences in certain fields. CRISPR Therapeutics, ERS Genomics, and TRACR Hematology, also our competitors, have reported that they have exclusively licensed such patent rights from Emmanuelle Charpentier. Further, Dr. Doudna was a founder of our company and entered into a consulting agreement with us at the time of our founding. However, Dr. Doudna gave notice of termination of that agreement in May 2014 after less than seven months of service, and she has had no further engagement in our business since that time. Dr. Doudna is also a founder of Caribou Biosciences and has been publicly identified as an advisor to Intellia Therapeutics, each of which is one of our competitors.</w:t>
      </w:r>
    </w:p>
    <w:p>
      <w:pPr>
        <w:spacing w:after="0" w:line="164" w:lineRule="exact"/>
        <w:rPr>
          <w:sz w:val="20"/>
          <w:szCs w:val="20"/>
          <w:color w:val="auto"/>
        </w:rPr>
      </w:pPr>
    </w:p>
    <w:p>
      <w:pPr>
        <w:ind w:right="140" w:firstLine="648"/>
        <w:spacing w:after="0" w:line="249" w:lineRule="auto"/>
        <w:rPr>
          <w:sz w:val="20"/>
          <w:szCs w:val="20"/>
          <w:color w:val="auto"/>
        </w:rPr>
      </w:pPr>
      <w:r>
        <w:rPr>
          <w:rFonts w:ascii="Arial" w:cs="Arial" w:eastAsia="Arial" w:hAnsi="Arial"/>
          <w:sz w:val="16"/>
          <w:szCs w:val="16"/>
          <w:color w:val="auto"/>
        </w:rPr>
        <w:t>As a result of the declaration of interference, an adversarial proceeding in the USPTO before the PTAB was initiated. An interference is declared to ultimately determine priority, specifically which party was first to invent the commonly claimed invention. An interference is typically divided into two phases. The first phase is typically referred to as the motions or preliminary motions phase while the second is referred to as the priority phase. In the first phase, each</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219" w:lineRule="auto"/>
        <w:rPr>
          <w:sz w:val="20"/>
          <w:szCs w:val="20"/>
          <w:color w:val="auto"/>
        </w:rPr>
      </w:pPr>
      <w:r>
        <w:rPr>
          <w:rFonts w:ascii="Arial" w:cs="Arial" w:eastAsia="Arial" w:hAnsi="Arial"/>
          <w:sz w:val="18"/>
          <w:szCs w:val="18"/>
          <w:color w:val="auto"/>
        </w:rPr>
        <w:t>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w:t>
      </w:r>
    </w:p>
    <w:p>
      <w:pPr>
        <w:spacing w:after="0" w:line="163"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On February 15, 2017, the PTAB held that there is no interference</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between the parties for the subject matter of the count. A judgment of no interference</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means that no interference is needed to resolve priority between the parties because the PTAB determined that our in-licensed claims are directed to subject matter that is patentably distinct from those of the University of California, the University of Vienna, and Emmanuelle Charpentier. The interference proceeding has therefore ended without reaching the second priority phase. Therefore, the 12 U.S. patents and one U.S. patent application that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MIT, and Harvard, as well as the U.S. patent application owned by the University of California, the University of Vienna, and Emmanuelle Charpentier, with respect to which the PTAB had declared an interference were not modified or revoked as a result of this interference proceeding.</w:t>
      </w:r>
    </w:p>
    <w:p>
      <w:pPr>
        <w:spacing w:after="0" w:line="167" w:lineRule="exact"/>
        <w:rPr>
          <w:sz w:val="20"/>
          <w:szCs w:val="20"/>
          <w:color w:val="auto"/>
        </w:rPr>
      </w:pPr>
    </w:p>
    <w:p>
      <w:pPr>
        <w:ind w:right="40" w:firstLine="648"/>
        <w:spacing w:after="0" w:line="181" w:lineRule="exact"/>
        <w:rPr>
          <w:sz w:val="20"/>
          <w:szCs w:val="20"/>
          <w:color w:val="auto"/>
        </w:rPr>
      </w:pPr>
      <w:r>
        <w:rPr>
          <w:rFonts w:ascii="Arial" w:cs="Arial" w:eastAsia="Arial" w:hAnsi="Arial"/>
          <w:sz w:val="18"/>
          <w:szCs w:val="18"/>
          <w:color w:val="auto"/>
        </w:rPr>
        <w:t>Having filed a notice of appeal on April 12, 2017, the University of California, the University of Vienna, and Emmanuelle Charpentier filed an appeal brief to the Court of Appeals for the Federal Circuit on July 25, 2017 for review of the no interference-in-fact holding made by the PTAB in the interference proceeding. Broad filed its responsive brief on October 25, 2017. The University of California, the University of Vienna and Emmanuelle Charpentier filed a reply brief on November 22, 2017. On April 30, 2018, oral proceedings were held before the Court of Appeals for the Federal Circuit regarding the appeal. It is uncertain when or in what manner the Federal Circuit will issue a decision. A final, non</w:t>
      </w:r>
      <w:r>
        <w:rPr>
          <w:rFonts w:ascii="MS PGothic" w:cs="MS PGothic" w:eastAsia="MS PGothic" w:hAnsi="MS PGothic"/>
          <w:sz w:val="18"/>
          <w:szCs w:val="18"/>
          <w:color w:val="auto"/>
        </w:rPr>
        <w:t>‑</w:t>
      </w:r>
      <w:r>
        <w:rPr>
          <w:rFonts w:ascii="Arial" w:cs="Arial" w:eastAsia="Arial" w:hAnsi="Arial"/>
          <w:sz w:val="18"/>
          <w:szCs w:val="18"/>
          <w:color w:val="auto"/>
        </w:rPr>
        <w:t>appealable judgment of no interference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bars any further interference between the same parties for claims to the same invention as the count of the interference. However, as discussed below, certain of these 12 U.S. patents and one U.S. patent application are, or may in the future be, subject to further intellectual property proceedings and disputes, including interference proceedings.</w:t>
      </w:r>
    </w:p>
    <w:p>
      <w:pPr>
        <w:spacing w:after="0" w:line="169"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The University of California, the University of Vienna, and Emmanuelle Charpentier or other third parties may file a separate Suggestion of Interference against the Broad patents that were subject to the interference or other U.S. patents and patent applications that we own or in</w:t>
      </w:r>
      <w:r>
        <w:rPr>
          <w:rFonts w:ascii="MS PGothic" w:cs="MS PGothic" w:eastAsia="MS PGothic" w:hAnsi="MS PGothic"/>
          <w:sz w:val="16"/>
          <w:szCs w:val="16"/>
          <w:color w:val="auto"/>
        </w:rPr>
        <w:t>‑</w:t>
      </w:r>
      <w:r>
        <w:rPr>
          <w:rFonts w:ascii="Arial" w:cs="Arial" w:eastAsia="Arial" w:hAnsi="Arial"/>
          <w:sz w:val="16"/>
          <w:szCs w:val="16"/>
          <w:color w:val="auto"/>
        </w:rPr>
        <w:t>license. For example, ToolGen Inc. (“ToolGen”) filed Suggestions of Interference in the USPTO on April 13, 2015 suggesting that they believe some of the claims in pending U.S. applications owned by ToolGen (U.S. Serial No. 14/685,568 and U.S. Serial No. 14/685,510) interfere with certain claims in five U.S. patents, which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MIT, and Harvard. These five U.S. patents are among the 12 U.S. patents with respect to which the PTAB had declared an interference with the pending U.S. patent application (U.S. Serial</w:t>
      </w:r>
    </w:p>
    <w:p>
      <w:pPr>
        <w:ind w:right="180"/>
        <w:spacing w:after="0" w:line="218" w:lineRule="auto"/>
        <w:rPr>
          <w:sz w:val="20"/>
          <w:szCs w:val="20"/>
          <w:color w:val="auto"/>
        </w:rPr>
      </w:pPr>
      <w:r>
        <w:rPr>
          <w:rFonts w:ascii="Arial" w:cs="Arial" w:eastAsia="Arial" w:hAnsi="Arial"/>
          <w:sz w:val="18"/>
          <w:szCs w:val="18"/>
          <w:color w:val="auto"/>
        </w:rPr>
        <w:t>No. 13/842,859) that is owned by the University of California, the University of Vienna, and Emmanuelle Charpentier. The Suggestions of Interference that were filed by ToolGen are still pending and it is uncertain when and in what manner the USPTO will act on them.</w:t>
      </w:r>
    </w:p>
    <w:p>
      <w:pPr>
        <w:spacing w:after="0" w:line="163"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patents and patent applications are, and may in the future become, subject to validity</w:t>
      </w:r>
    </w:p>
    <w:p>
      <w:pPr>
        <w:spacing w:after="0" w:line="184" w:lineRule="exact"/>
        <w:rPr>
          <w:sz w:val="20"/>
          <w:szCs w:val="20"/>
          <w:color w:val="auto"/>
        </w:rPr>
      </w:pPr>
      <w:r>
        <w:rPr>
          <w:rFonts w:ascii="Arial" w:cs="Arial" w:eastAsia="Arial" w:hAnsi="Arial"/>
          <w:sz w:val="16"/>
          <w:szCs w:val="16"/>
          <w:color w:val="auto"/>
        </w:rPr>
        <w:t xml:space="preserve">disputes in the USPTO and other foreign patent offices. A request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w:t>
      </w:r>
      <w:r>
        <w:rPr>
          <w:rFonts w:ascii="MS PGothic" w:cs="MS PGothic" w:eastAsia="MS PGothic" w:hAnsi="MS PGothic"/>
          <w:sz w:val="16"/>
          <w:szCs w:val="16"/>
          <w:color w:val="auto"/>
        </w:rPr>
        <w:t>‑</w:t>
      </w:r>
      <w:r>
        <w:rPr>
          <w:rFonts w:ascii="Arial" w:cs="Arial" w:eastAsia="Arial" w:hAnsi="Arial"/>
          <w:sz w:val="16"/>
          <w:szCs w:val="16"/>
          <w:color w:val="auto"/>
        </w:rPr>
        <w:t>examination was filed with the USPTO on</w:t>
      </w:r>
    </w:p>
    <w:p>
      <w:pPr>
        <w:spacing w:after="0" w:line="176" w:lineRule="exact"/>
        <w:rPr>
          <w:sz w:val="20"/>
          <w:szCs w:val="20"/>
          <w:color w:val="auto"/>
        </w:rPr>
      </w:pPr>
      <w:r>
        <w:rPr>
          <w:rFonts w:ascii="Arial" w:cs="Arial" w:eastAsia="Arial" w:hAnsi="Arial"/>
          <w:sz w:val="16"/>
          <w:szCs w:val="16"/>
          <w:color w:val="auto"/>
        </w:rPr>
        <w:t>February 16, 2016 against one patent that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and MIT (U.S. Patent</w:t>
      </w:r>
    </w:p>
    <w:p>
      <w:pPr>
        <w:spacing w:after="0" w:line="215" w:lineRule="auto"/>
        <w:rPr>
          <w:sz w:val="20"/>
          <w:szCs w:val="20"/>
          <w:color w:val="auto"/>
        </w:rPr>
      </w:pPr>
      <w:r>
        <w:rPr>
          <w:rFonts w:ascii="Arial" w:cs="Arial" w:eastAsia="Arial" w:hAnsi="Arial"/>
          <w:sz w:val="17"/>
          <w:szCs w:val="17"/>
          <w:color w:val="auto"/>
        </w:rPr>
        <w:t>No. 8,771,945), which was subject to the interference proceeding involving the University of California, the University of</w:t>
      </w:r>
    </w:p>
    <w:p>
      <w:pPr>
        <w:spacing w:after="0" w:line="216" w:lineRule="auto"/>
        <w:rPr>
          <w:sz w:val="20"/>
          <w:szCs w:val="20"/>
          <w:color w:val="auto"/>
        </w:rPr>
      </w:pPr>
      <w:r>
        <w:rPr>
          <w:rFonts w:ascii="Arial" w:cs="Arial" w:eastAsia="Arial" w:hAnsi="Arial"/>
          <w:sz w:val="17"/>
          <w:szCs w:val="17"/>
          <w:color w:val="auto"/>
        </w:rPr>
        <w:t xml:space="preserve">Vienna, and Emmanuelle Charpentier and referenced in the Suggestions of Interference filed by ToolGen. </w:t>
      </w:r>
      <w:r>
        <w:rPr>
          <w:rFonts w:ascii="Arial" w:cs="Arial" w:eastAsia="Arial" w:hAnsi="Arial"/>
          <w:sz w:val="17"/>
          <w:szCs w:val="17"/>
          <w:i w:val="1"/>
          <w:iCs w:val="1"/>
          <w:color w:val="auto"/>
        </w:rPr>
        <w:t>Ex parte</w:t>
      </w:r>
    </w:p>
    <w:p>
      <w:pPr>
        <w:spacing w:after="0" w:line="176" w:lineRule="exact"/>
        <w:rPr>
          <w:sz w:val="20"/>
          <w:szCs w:val="20"/>
          <w:color w:val="auto"/>
        </w:rPr>
      </w:pPr>
      <w:r>
        <w:rPr>
          <w:rFonts w:ascii="Arial" w:cs="Arial" w:eastAsia="Arial" w:hAnsi="Arial"/>
          <w:sz w:val="17"/>
          <w:szCs w:val="17"/>
          <w:color w:val="auto"/>
        </w:rPr>
        <w:t>re</w:t>
      </w:r>
      <w:r>
        <w:rPr>
          <w:rFonts w:ascii="MS PGothic" w:cs="MS PGothic" w:eastAsia="MS PGothic" w:hAnsi="MS PGothic"/>
          <w:sz w:val="17"/>
          <w:szCs w:val="17"/>
          <w:color w:val="auto"/>
        </w:rPr>
        <w:t>‑</w:t>
      </w:r>
      <w:r>
        <w:rPr>
          <w:rFonts w:ascii="Arial" w:cs="Arial" w:eastAsia="Arial" w:hAnsi="Arial"/>
          <w:sz w:val="17"/>
          <w:szCs w:val="17"/>
          <w:color w:val="auto"/>
        </w:rPr>
        <w:t>examination is a procedure through which a third party can anonymously request the USPTO to re</w:t>
      </w:r>
      <w:r>
        <w:rPr>
          <w:rFonts w:ascii="MS PGothic" w:cs="MS PGothic" w:eastAsia="MS PGothic" w:hAnsi="MS PGothic"/>
          <w:sz w:val="17"/>
          <w:szCs w:val="17"/>
          <w:color w:val="auto"/>
        </w:rPr>
        <w:t>‑</w:t>
      </w:r>
      <w:r>
        <w:rPr>
          <w:rFonts w:ascii="Arial" w:cs="Arial" w:eastAsia="Arial" w:hAnsi="Arial"/>
          <w:sz w:val="17"/>
          <w:szCs w:val="17"/>
          <w:color w:val="auto"/>
        </w:rPr>
        <w:t>examine a granted</w:t>
      </w:r>
    </w:p>
    <w:p>
      <w:pPr>
        <w:spacing w:after="0" w:line="216" w:lineRule="auto"/>
        <w:rPr>
          <w:sz w:val="20"/>
          <w:szCs w:val="20"/>
          <w:color w:val="auto"/>
        </w:rPr>
      </w:pPr>
      <w:r>
        <w:rPr>
          <w:rFonts w:ascii="Arial" w:cs="Arial" w:eastAsia="Arial" w:hAnsi="Arial"/>
          <w:sz w:val="17"/>
          <w:szCs w:val="17"/>
          <w:color w:val="auto"/>
        </w:rPr>
        <w:t>patent because the third party believes the granted patent may not be patentable over prior art in the form of a printed</w:t>
      </w:r>
    </w:p>
    <w:p>
      <w:pPr>
        <w:spacing w:after="0" w:line="176" w:lineRule="exact"/>
        <w:rPr>
          <w:sz w:val="20"/>
          <w:szCs w:val="20"/>
          <w:color w:val="auto"/>
        </w:rPr>
      </w:pPr>
      <w:r>
        <w:rPr>
          <w:rFonts w:ascii="Arial" w:cs="Arial" w:eastAsia="Arial" w:hAnsi="Arial"/>
          <w:sz w:val="16"/>
          <w:szCs w:val="16"/>
          <w:color w:val="auto"/>
        </w:rPr>
        <w:t>publication or another patent. Before the USPTO will re</w:t>
      </w:r>
      <w:r>
        <w:rPr>
          <w:rFonts w:ascii="MS PGothic" w:cs="MS PGothic" w:eastAsia="MS PGothic" w:hAnsi="MS PGothic"/>
          <w:sz w:val="16"/>
          <w:szCs w:val="16"/>
          <w:color w:val="auto"/>
        </w:rPr>
        <w:t>‑</w:t>
      </w:r>
      <w:r>
        <w:rPr>
          <w:rFonts w:ascii="Arial" w:cs="Arial" w:eastAsia="Arial" w:hAnsi="Arial"/>
          <w:sz w:val="16"/>
          <w:szCs w:val="16"/>
          <w:color w:val="auto"/>
        </w:rPr>
        <w:t>examine a granted patent, the third party requestor must establish</w:t>
      </w:r>
    </w:p>
    <w:p>
      <w:pPr>
        <w:spacing w:after="0" w:line="229" w:lineRule="auto"/>
        <w:rPr>
          <w:sz w:val="20"/>
          <w:szCs w:val="20"/>
          <w:color w:val="auto"/>
        </w:rPr>
      </w:pPr>
      <w:r>
        <w:rPr>
          <w:rFonts w:ascii="Arial" w:cs="Arial" w:eastAsia="Arial" w:hAnsi="Arial"/>
          <w:sz w:val="16"/>
          <w:szCs w:val="16"/>
          <w:color w:val="auto"/>
        </w:rPr>
        <w:t>that the submitted prior art establishes a substantial and new question of patentability. If the USPTO determines there is a</w:t>
      </w:r>
    </w:p>
    <w:p>
      <w:pPr>
        <w:spacing w:after="0" w:line="176" w:lineRule="exact"/>
        <w:rPr>
          <w:sz w:val="20"/>
          <w:szCs w:val="20"/>
          <w:color w:val="auto"/>
        </w:rPr>
      </w:pPr>
      <w:r>
        <w:rPr>
          <w:rFonts w:ascii="Arial" w:cs="Arial" w:eastAsia="Arial" w:hAnsi="Arial"/>
          <w:sz w:val="16"/>
          <w:szCs w:val="16"/>
          <w:color w:val="auto"/>
        </w:rPr>
        <w:t>substantial and new question of patentability, it grants the re</w:t>
      </w:r>
      <w:r>
        <w:rPr>
          <w:rFonts w:ascii="MS PGothic" w:cs="MS PGothic" w:eastAsia="MS PGothic" w:hAnsi="MS PGothic"/>
          <w:sz w:val="16"/>
          <w:szCs w:val="16"/>
          <w:color w:val="auto"/>
        </w:rPr>
        <w:t>‑</w:t>
      </w:r>
      <w:r>
        <w:rPr>
          <w:rFonts w:ascii="Arial" w:cs="Arial" w:eastAsia="Arial" w:hAnsi="Arial"/>
          <w:sz w:val="16"/>
          <w:szCs w:val="16"/>
          <w:color w:val="auto"/>
        </w:rPr>
        <w:t>examination request and re</w:t>
      </w:r>
      <w:r>
        <w:rPr>
          <w:rFonts w:ascii="MS PGothic" w:cs="MS PGothic" w:eastAsia="MS PGothic" w:hAnsi="MS PGothic"/>
          <w:sz w:val="16"/>
          <w:szCs w:val="16"/>
          <w:color w:val="auto"/>
        </w:rPr>
        <w:t>‑</w:t>
      </w:r>
      <w:r>
        <w:rPr>
          <w:rFonts w:ascii="Arial" w:cs="Arial" w:eastAsia="Arial" w:hAnsi="Arial"/>
          <w:sz w:val="16"/>
          <w:szCs w:val="16"/>
          <w:color w:val="auto"/>
        </w:rPr>
        <w:t>examines the patent after giving the</w:t>
      </w:r>
    </w:p>
    <w:p>
      <w:pPr>
        <w:spacing w:after="0" w:line="176" w:lineRule="exact"/>
        <w:rPr>
          <w:sz w:val="20"/>
          <w:szCs w:val="20"/>
          <w:color w:val="auto"/>
        </w:rPr>
      </w:pPr>
      <w:r>
        <w:rPr>
          <w:rFonts w:ascii="Arial" w:cs="Arial" w:eastAsia="Arial" w:hAnsi="Arial"/>
          <w:sz w:val="16"/>
          <w:szCs w:val="16"/>
          <w:color w:val="auto"/>
        </w:rPr>
        <w:t xml:space="preserve">patent owner the option of filing an initial statement. The request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w:t>
      </w:r>
      <w:r>
        <w:rPr>
          <w:rFonts w:ascii="MS PGothic" w:cs="MS PGothic" w:eastAsia="MS PGothic" w:hAnsi="MS PGothic"/>
          <w:sz w:val="16"/>
          <w:szCs w:val="16"/>
          <w:color w:val="auto"/>
        </w:rPr>
        <w:t>‑</w:t>
      </w:r>
      <w:r>
        <w:rPr>
          <w:rFonts w:ascii="Arial" w:cs="Arial" w:eastAsia="Arial" w:hAnsi="Arial"/>
          <w:sz w:val="16"/>
          <w:szCs w:val="16"/>
          <w:color w:val="auto"/>
        </w:rPr>
        <w:t>examination of U.S. Patent No. 8,771,945</w:t>
      </w:r>
    </w:p>
    <w:p>
      <w:pPr>
        <w:spacing w:after="0" w:line="176" w:lineRule="exact"/>
        <w:rPr>
          <w:sz w:val="20"/>
          <w:szCs w:val="20"/>
          <w:color w:val="auto"/>
        </w:rPr>
      </w:pPr>
      <w:r>
        <w:rPr>
          <w:rFonts w:ascii="Arial" w:cs="Arial" w:eastAsia="Arial" w:hAnsi="Arial"/>
          <w:sz w:val="16"/>
          <w:szCs w:val="16"/>
          <w:color w:val="auto"/>
        </w:rPr>
        <w:t>was granted on May 9, 2016 thereby initiating a re</w:t>
      </w:r>
      <w:r>
        <w:rPr>
          <w:rFonts w:ascii="MS PGothic" w:cs="MS PGothic" w:eastAsia="MS PGothic" w:hAnsi="MS PGothic"/>
          <w:sz w:val="16"/>
          <w:szCs w:val="16"/>
          <w:color w:val="auto"/>
        </w:rPr>
        <w:t>‑</w:t>
      </w:r>
      <w:r>
        <w:rPr>
          <w:rFonts w:ascii="Arial" w:cs="Arial" w:eastAsia="Arial" w:hAnsi="Arial"/>
          <w:sz w:val="16"/>
          <w:szCs w:val="16"/>
          <w:color w:val="auto"/>
        </w:rPr>
        <w:t>examination procedure between the USPTO and Broad, acting on behalf</w:t>
      </w:r>
    </w:p>
    <w:p>
      <w:pPr>
        <w:spacing w:after="0" w:line="176" w:lineRule="exact"/>
        <w:rPr>
          <w:sz w:val="20"/>
          <w:szCs w:val="20"/>
          <w:color w:val="auto"/>
        </w:rPr>
      </w:pPr>
      <w:r>
        <w:rPr>
          <w:rFonts w:ascii="Arial" w:cs="Arial" w:eastAsia="Arial" w:hAnsi="Arial"/>
          <w:sz w:val="17"/>
          <w:szCs w:val="17"/>
          <w:color w:val="auto"/>
        </w:rPr>
        <w:t>of itself and MIT. The third party requestor does not participate in the re</w:t>
      </w:r>
      <w:r>
        <w:rPr>
          <w:rFonts w:ascii="MS PGothic" w:cs="MS PGothic" w:eastAsia="MS PGothic" w:hAnsi="MS PGothic"/>
          <w:sz w:val="17"/>
          <w:szCs w:val="17"/>
          <w:color w:val="auto"/>
        </w:rPr>
        <w:t>‑</w:t>
      </w:r>
      <w:r>
        <w:rPr>
          <w:rFonts w:ascii="Arial" w:cs="Arial" w:eastAsia="Arial" w:hAnsi="Arial"/>
          <w:sz w:val="17"/>
          <w:szCs w:val="17"/>
          <w:color w:val="auto"/>
        </w:rPr>
        <w:t>examination procedure after filing the request</w:t>
      </w:r>
    </w:p>
    <w:p>
      <w:pPr>
        <w:spacing w:after="0" w:line="216" w:lineRule="auto"/>
        <w:rPr>
          <w:sz w:val="20"/>
          <w:szCs w:val="20"/>
          <w:color w:val="auto"/>
        </w:rPr>
      </w:pPr>
      <w:r>
        <w:rPr>
          <w:rFonts w:ascii="Arial" w:cs="Arial" w:eastAsia="Arial" w:hAnsi="Arial"/>
          <w:sz w:val="17"/>
          <w:szCs w:val="17"/>
          <w:color w:val="auto"/>
        </w:rPr>
        <w:t>except that it has the option of responding if the patent owner chooses to file an initial statement. On May 12, 2016, the</w:t>
      </w:r>
    </w:p>
    <w:p>
      <w:pPr>
        <w:spacing w:after="0" w:line="176" w:lineRule="exact"/>
        <w:rPr>
          <w:sz w:val="20"/>
          <w:szCs w:val="20"/>
          <w:color w:val="auto"/>
        </w:rPr>
      </w:pPr>
      <w:r>
        <w:rPr>
          <w:rFonts w:ascii="Arial" w:cs="Arial" w:eastAsia="Arial" w:hAnsi="Arial"/>
          <w:sz w:val="16"/>
          <w:szCs w:val="16"/>
          <w:color w:val="auto"/>
        </w:rPr>
        <w:t>PTAB suspended the re</w:t>
      </w:r>
      <w:r>
        <w:rPr>
          <w:rFonts w:ascii="MS PGothic" w:cs="MS PGothic" w:eastAsia="MS PGothic" w:hAnsi="MS PGothic"/>
          <w:sz w:val="16"/>
          <w:szCs w:val="16"/>
          <w:color w:val="auto"/>
        </w:rPr>
        <w:t>‑</w:t>
      </w:r>
      <w:r>
        <w:rPr>
          <w:rFonts w:ascii="Arial" w:cs="Arial" w:eastAsia="Arial" w:hAnsi="Arial"/>
          <w:sz w:val="16"/>
          <w:szCs w:val="16"/>
          <w:color w:val="auto"/>
        </w:rPr>
        <w:t>examination of U.S. Patent No. 8,771,945 noting that it has jurisdiction over any file that involves a</w:t>
      </w:r>
    </w:p>
    <w:p>
      <w:pPr>
        <w:spacing w:after="0" w:line="229" w:lineRule="auto"/>
        <w:rPr>
          <w:sz w:val="20"/>
          <w:szCs w:val="20"/>
          <w:color w:val="auto"/>
        </w:rPr>
      </w:pPr>
      <w:r>
        <w:rPr>
          <w:rFonts w:ascii="Arial" w:cs="Arial" w:eastAsia="Arial" w:hAnsi="Arial"/>
          <w:sz w:val="16"/>
          <w:szCs w:val="16"/>
          <w:color w:val="auto"/>
        </w:rPr>
        <w:t>patent involved in the interference. It is uncertain when the PTAB will lift the suspension, however the PTAB may do so in</w:t>
      </w:r>
    </w:p>
    <w:p>
      <w:pPr>
        <w:spacing w:after="0" w:line="207" w:lineRule="exact"/>
        <w:rPr>
          <w:sz w:val="20"/>
          <w:szCs w:val="20"/>
          <w:color w:val="auto"/>
        </w:rPr>
      </w:pPr>
      <w:r>
        <w:rPr>
          <w:rFonts w:ascii="Arial" w:cs="Arial" w:eastAsia="Arial" w:hAnsi="Arial"/>
          <w:sz w:val="18"/>
          <w:szCs w:val="18"/>
          <w:color w:val="auto"/>
        </w:rPr>
        <w:t>light of the PTAB’s no interference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holding. If Broad is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03" w:lineRule="exact"/>
        <w:rPr>
          <w:sz w:val="20"/>
          <w:szCs w:val="20"/>
          <w:color w:val="auto"/>
        </w:rPr>
      </w:pPr>
      <w:r>
        <w:rPr>
          <w:rFonts w:ascii="Arial" w:cs="Arial" w:eastAsia="Arial" w:hAnsi="Arial"/>
          <w:sz w:val="18"/>
          <w:szCs w:val="18"/>
          <w:color w:val="auto"/>
        </w:rPr>
        <w:t>unsuccessful during the re</w:t>
      </w:r>
      <w:r>
        <w:rPr>
          <w:rFonts w:ascii="MS PGothic" w:cs="MS PGothic" w:eastAsia="MS PGothic" w:hAnsi="MS PGothic"/>
          <w:sz w:val="18"/>
          <w:szCs w:val="18"/>
          <w:color w:val="auto"/>
        </w:rPr>
        <w:t>‑</w:t>
      </w:r>
      <w:r>
        <w:rPr>
          <w:rFonts w:ascii="Arial" w:cs="Arial" w:eastAsia="Arial" w:hAnsi="Arial"/>
          <w:sz w:val="18"/>
          <w:szCs w:val="18"/>
          <w:color w:val="auto"/>
        </w:rPr>
        <w:t>examination, U.S. Patent No. 8,771,945 may be revoked or narrowed, which could have a material adverse effect on the scope of our rights under such patent.</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The 12 in</w:t>
      </w:r>
      <w:r>
        <w:rPr>
          <w:rFonts w:ascii="MS PGothic" w:cs="MS PGothic" w:eastAsia="MS PGothic" w:hAnsi="MS PGothic"/>
          <w:sz w:val="17"/>
          <w:szCs w:val="17"/>
          <w:color w:val="auto"/>
        </w:rPr>
        <w:t>‑</w:t>
      </w:r>
      <w:r>
        <w:rPr>
          <w:rFonts w:ascii="Arial" w:cs="Arial" w:eastAsia="Arial" w:hAnsi="Arial"/>
          <w:sz w:val="17"/>
          <w:szCs w:val="17"/>
          <w:color w:val="auto"/>
        </w:rPr>
        <w:t>licensed U.S. patents and one in</w:t>
      </w:r>
      <w:r>
        <w:rPr>
          <w:rFonts w:ascii="MS PGothic" w:cs="MS PGothic" w:eastAsia="MS PGothic" w:hAnsi="MS PGothic"/>
          <w:sz w:val="17"/>
          <w:szCs w:val="17"/>
          <w:color w:val="auto"/>
        </w:rPr>
        <w:t>‑</w:t>
      </w:r>
      <w:r>
        <w:rPr>
          <w:rFonts w:ascii="Arial" w:cs="Arial" w:eastAsia="Arial" w:hAnsi="Arial"/>
          <w:sz w:val="17"/>
          <w:szCs w:val="17"/>
          <w:color w:val="auto"/>
        </w:rPr>
        <w:t>licensed U.S. patent application that were the subject of the interference with the pending U.S. patent application (U.S. Serial No. 13/842,859) that is owned by the University of California, the University of Vienna, and Emmanuelle Charpentier (which includes the five in</w:t>
      </w:r>
      <w:r>
        <w:rPr>
          <w:rFonts w:ascii="MS PGothic" w:cs="MS PGothic" w:eastAsia="MS PGothic" w:hAnsi="MS PGothic"/>
          <w:sz w:val="17"/>
          <w:szCs w:val="17"/>
          <w:color w:val="auto"/>
        </w:rPr>
        <w:t>‑</w:t>
      </w:r>
      <w:r>
        <w:rPr>
          <w:rFonts w:ascii="Arial" w:cs="Arial" w:eastAsia="Arial" w:hAnsi="Arial"/>
          <w:sz w:val="17"/>
          <w:szCs w:val="17"/>
          <w:color w:val="auto"/>
        </w:rPr>
        <w:t>licensed U.S. patents that are the subject of the Suggestions of Interference filed by ToolGen and the one in</w:t>
      </w:r>
      <w:r>
        <w:rPr>
          <w:rFonts w:ascii="MS PGothic" w:cs="MS PGothic" w:eastAsia="MS PGothic" w:hAnsi="MS PGothic"/>
          <w:sz w:val="17"/>
          <w:szCs w:val="17"/>
          <w:color w:val="auto"/>
        </w:rPr>
        <w:t>‑</w:t>
      </w:r>
      <w:r>
        <w:rPr>
          <w:rFonts w:ascii="Arial" w:cs="Arial" w:eastAsia="Arial" w:hAnsi="Arial"/>
          <w:sz w:val="17"/>
          <w:szCs w:val="17"/>
          <w:color w:val="auto"/>
        </w:rPr>
        <w:t>licensed U.S. patent that is the subject of the re</w:t>
      </w:r>
      <w:r>
        <w:rPr>
          <w:rFonts w:ascii="MS PGothic" w:cs="MS PGothic" w:eastAsia="MS PGothic" w:hAnsi="MS PGothic"/>
          <w:sz w:val="17"/>
          <w:szCs w:val="17"/>
          <w:color w:val="auto"/>
        </w:rPr>
        <w:t>‑</w:t>
      </w:r>
      <w:r>
        <w:rPr>
          <w:rFonts w:ascii="Arial" w:cs="Arial" w:eastAsia="Arial" w:hAnsi="Arial"/>
          <w:sz w:val="17"/>
          <w:szCs w:val="17"/>
          <w:color w:val="auto"/>
        </w:rPr>
        <w:t>examination) relate generally to the CRISPR/Cas9 system and its use in eukaryotic cells. The claims of the 12 in</w:t>
      </w:r>
      <w:r>
        <w:rPr>
          <w:rFonts w:ascii="MS PGothic" w:cs="MS PGothic" w:eastAsia="MS PGothic" w:hAnsi="MS PGothic"/>
          <w:sz w:val="17"/>
          <w:szCs w:val="17"/>
          <w:color w:val="auto"/>
        </w:rPr>
        <w:t>‑</w:t>
      </w:r>
      <w:r>
        <w:rPr>
          <w:rFonts w:ascii="Arial" w:cs="Arial" w:eastAsia="Arial" w:hAnsi="Arial"/>
          <w:sz w:val="17"/>
          <w:szCs w:val="17"/>
          <w:color w:val="auto"/>
        </w:rPr>
        <w:t>licensed U.S. patents and one in</w:t>
      </w:r>
      <w:r>
        <w:rPr>
          <w:rFonts w:ascii="MS PGothic" w:cs="MS PGothic" w:eastAsia="MS PGothic" w:hAnsi="MS PGothic"/>
          <w:sz w:val="17"/>
          <w:szCs w:val="17"/>
          <w:color w:val="auto"/>
        </w:rPr>
        <w:t>‑</w:t>
      </w:r>
      <w:r>
        <w:rPr>
          <w:rFonts w:ascii="Arial" w:cs="Arial" w:eastAsia="Arial" w:hAnsi="Arial"/>
          <w:sz w:val="17"/>
          <w:szCs w:val="17"/>
          <w:color w:val="auto"/>
        </w:rPr>
        <w:t xml:space="preserve">licensed U.S. patent application vary in scope and coverage and include claims that are directed to CRISPR/Cas9 systems that employ viral vectors for delivery, single guide RNAs, modified guide RNAs,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Cas9, or a Cas9 nickase and are relevant to our genome editing platform technology. The loss or narrowing in scope of one or more of these in</w:t>
      </w:r>
      <w:r>
        <w:rPr>
          <w:rFonts w:ascii="MS PGothic" w:cs="MS PGothic" w:eastAsia="MS PGothic" w:hAnsi="MS PGothic"/>
          <w:sz w:val="17"/>
          <w:szCs w:val="17"/>
          <w:color w:val="auto"/>
        </w:rPr>
        <w:t>‑</w:t>
      </w:r>
      <w:r>
        <w:rPr>
          <w:rFonts w:ascii="Arial" w:cs="Arial" w:eastAsia="Arial" w:hAnsi="Arial"/>
          <w:sz w:val="17"/>
          <w:szCs w:val="17"/>
          <w:color w:val="auto"/>
        </w:rPr>
        <w:t>licensed patents could have a material adverse effect on the conduct of our business, financial condition, results of operations, and prospects. The loss or narrowing in scope of one or more of these in-licensed patents could have a material adverse effect on the conduct of our business.</w:t>
      </w:r>
    </w:p>
    <w:p>
      <w:pPr>
        <w:spacing w:after="0" w:line="167" w:lineRule="exact"/>
        <w:rPr>
          <w:sz w:val="20"/>
          <w:szCs w:val="20"/>
          <w:color w:val="auto"/>
        </w:rPr>
      </w:pPr>
    </w:p>
    <w:p>
      <w:pPr>
        <w:ind w:right="80" w:firstLine="648"/>
        <w:spacing w:after="0" w:line="184" w:lineRule="exact"/>
        <w:rPr>
          <w:sz w:val="20"/>
          <w:szCs w:val="20"/>
          <w:color w:val="auto"/>
        </w:rPr>
      </w:pPr>
      <w:r>
        <w:rPr>
          <w:rFonts w:ascii="Arial" w:cs="Arial" w:eastAsia="Arial" w:hAnsi="Arial"/>
          <w:sz w:val="16"/>
          <w:szCs w:val="16"/>
          <w:color w:val="auto"/>
        </w:rPr>
        <w:t>In addition, we or our licensors may be subject to claims that former employees, collaborators, or other third parties have an interest in our owned or in</w:t>
      </w:r>
      <w:r>
        <w:rPr>
          <w:rFonts w:ascii="MS PGothic" w:cs="MS PGothic" w:eastAsia="MS PGothic" w:hAnsi="MS PGothic"/>
          <w:sz w:val="16"/>
          <w:szCs w:val="16"/>
          <w:color w:val="auto"/>
        </w:rPr>
        <w:t>‑</w:t>
      </w:r>
      <w:r>
        <w:rPr>
          <w:rFonts w:ascii="Arial" w:cs="Arial" w:eastAsia="Arial" w:hAnsi="Arial"/>
          <w:sz w:val="16"/>
          <w:szCs w:val="16"/>
          <w:color w:val="auto"/>
        </w:rPr>
        <w:t>licensed patents or patent applications, or other intellectual property as an inventor or co</w:t>
      </w:r>
      <w:r>
        <w:rPr>
          <w:rFonts w:ascii="MS PGothic" w:cs="MS PGothic" w:eastAsia="MS PGothic" w:hAnsi="MS PGothic"/>
          <w:sz w:val="16"/>
          <w:szCs w:val="16"/>
          <w:color w:val="auto"/>
        </w:rPr>
        <w:t>‑</w:t>
      </w:r>
      <w:r>
        <w:rPr>
          <w:rFonts w:ascii="Arial" w:cs="Arial" w:eastAsia="Arial" w:hAnsi="Arial"/>
          <w:sz w:val="16"/>
          <w:szCs w:val="16"/>
          <w:color w:val="auto"/>
        </w:rPr>
        <w:t>inventor. If we are unable to obtain an exclusive license to any such third party co</w:t>
      </w:r>
      <w:r>
        <w:rPr>
          <w:rFonts w:ascii="MS PGothic" w:cs="MS PGothic" w:eastAsia="MS PGothic" w:hAnsi="MS PGothic"/>
          <w:sz w:val="16"/>
          <w:szCs w:val="16"/>
          <w:color w:val="auto"/>
        </w:rPr>
        <w:t>‑</w:t>
      </w:r>
      <w:r>
        <w:rPr>
          <w:rFonts w:ascii="Arial" w:cs="Arial" w:eastAsia="Arial" w:hAnsi="Arial"/>
          <w:sz w:val="16"/>
          <w:szCs w:val="16"/>
          <w:color w:val="auto"/>
        </w:rPr>
        <w:t>owners’ interest in such patents or patent applications, such co</w:t>
      </w:r>
      <w:r>
        <w:rPr>
          <w:rFonts w:ascii="MS PGothic" w:cs="MS PGothic" w:eastAsia="MS PGothic" w:hAnsi="MS PGothic"/>
          <w:sz w:val="16"/>
          <w:szCs w:val="16"/>
          <w:color w:val="auto"/>
        </w:rPr>
        <w:t>‑</w:t>
      </w:r>
      <w:r>
        <w:rPr>
          <w:rFonts w:ascii="Arial" w:cs="Arial" w:eastAsia="Arial" w:hAnsi="Arial"/>
          <w:sz w:val="16"/>
          <w:szCs w:val="16"/>
          <w:color w:val="auto"/>
        </w:rPr>
        <w:t>owners may be able to license their rights to other third parties, including our competitors. In addition, we may need the cooperation of any such co</w:t>
      </w:r>
      <w:r>
        <w:rPr>
          <w:rFonts w:ascii="MS PGothic" w:cs="MS PGothic" w:eastAsia="MS PGothic" w:hAnsi="MS PGothic"/>
          <w:sz w:val="16"/>
          <w:szCs w:val="16"/>
          <w:color w:val="auto"/>
        </w:rPr>
        <w:t>‑</w:t>
      </w:r>
      <w:r>
        <w:rPr>
          <w:rFonts w:ascii="Arial" w:cs="Arial" w:eastAsia="Arial" w:hAnsi="Arial"/>
          <w:sz w:val="16"/>
          <w:szCs w:val="16"/>
          <w:color w:val="auto"/>
        </w:rPr>
        <w:t>owners to enforce any patents, including any patents that issue from such patent applications, against third parties, and such cooperation may not be provided to us. Any of the foregoing could have a material adverse effect on the conduct of our business, financial condition, results of operations, and prospects.</w:t>
      </w:r>
    </w:p>
    <w:p>
      <w:pPr>
        <w:spacing w:after="0" w:line="163"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We or our licensors are subject to and may in the future become a party to similar proceedings or priority disputes in Europe or other foreign jurisdictions. On January 17, 2018, the European Patent Office Opposition Division (the “Opposition Division”) revoked in the European Patent Office (“EPO”) a European patent that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MIT and Harvard (European Patent No. EP 2,771,468 B1). On January 18, 2018, Broad, acting on behalf of itself, MIT and Harvard filed a notice of appeal to the Boards of Appeal of the EPO for review of the Opposition Division’s decision to revoke this patent. It is uncertain when or in what manner the Boards of Appeal will act on this appeal. The Opposition Division has also initiated opposition proceedings against six other European patents that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MIT and Harvard (European Patent Nos. EP 2,784,162 B1, EP 2,896,697 B1, EP 2,898,075 B1, EP 2,921,557 B1,EP 2,931,898 B1, and EP 3,009,511 B1), one European patent that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and MIT (European Patent No. EP 2,764,103 B1), and two European patents that we have in-licensed from Broad, acting on behalf of itself, MIT, Harvard and The Rockefeller University (“Rockefeller”) (European Patent Nos. EP 2,825,654 B1 and EP 2,840,140 B1). The EPO opposition proceedings may involve issues including, but not limited to, procedural formalities related to filing the European patent application, priority, and the patentability of the involved claims. One or more of the third parties that have filed oppositions against European Patent Nos. EP 2,771,468 B1, EP 2,784,162 B1, EP 2,764,103 B1, EP 2,825,654 B1, EP 2,840,140 B1, EP 2,896,697 B1, EP 2,898,075 B1, EP 2,921,557 B1, EP 2,931,898 B1, and/or EP 3,009,511 B1 or other third parties may file future oppositions against other European patents that we in</w:t>
      </w:r>
      <w:r>
        <w:rPr>
          <w:rFonts w:ascii="MS PGothic" w:cs="MS PGothic" w:eastAsia="MS PGothic" w:hAnsi="MS PGothic"/>
          <w:sz w:val="16"/>
          <w:szCs w:val="16"/>
          <w:color w:val="auto"/>
        </w:rPr>
        <w:t>‑</w:t>
      </w:r>
      <w:r>
        <w:rPr>
          <w:rFonts w:ascii="Arial" w:cs="Arial" w:eastAsia="Arial" w:hAnsi="Arial"/>
          <w:sz w:val="16"/>
          <w:szCs w:val="16"/>
          <w:color w:val="auto"/>
        </w:rPr>
        <w:t>license or own. For example, we are aware that notices of opposition have been filed against one other European patent that we in-license from Broad, acting on behalf of itself, MIT and Harvard (European Patent No. EP 2,931,897 B1). The deadline for filing oppositions against this European patent is August 1, 2018. There may be other oppositions against this European patent that have not yet been filed or that have not yet been made available to the public. In addition, we are aware that Intellia Therapeutics filed petitions in two actions in United States District Court seeking discovery of information, including inventorship information, related to issues in these pending EPO opposition proceedings. Both of these petitions were denied by the respective District Court and, in one of these two actions, Intellia Therapeutics has filed a notice of appeal to the United States Court of Appeals. After fully briefing the appeal, on December 5, 2017, an oral argument was held before the First Circuit Court of Appeals regarding Intellia’s appeal. It is uncertain when or in what manner the First Circuit will issue a decision. Disclosure of any such information may result in additional validity challenges to our in</w:t>
      </w:r>
      <w:r>
        <w:rPr>
          <w:rFonts w:ascii="MS PGothic" w:cs="MS PGothic" w:eastAsia="MS PGothic" w:hAnsi="MS PGothic"/>
          <w:sz w:val="16"/>
          <w:szCs w:val="16"/>
          <w:color w:val="auto"/>
        </w:rPr>
        <w:t>‑</w:t>
      </w:r>
      <w:r>
        <w:rPr>
          <w:rFonts w:ascii="Arial" w:cs="Arial" w:eastAsia="Arial" w:hAnsi="Arial"/>
          <w:sz w:val="16"/>
          <w:szCs w:val="16"/>
          <w:color w:val="auto"/>
        </w:rPr>
        <w:t>licensed European patents and patent applications. The loss of priority for, or the loss of, these European patents could have a material adverse effect on the conduct of our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179" w:lineRule="exact"/>
        <w:rPr>
          <w:sz w:val="20"/>
          <w:szCs w:val="20"/>
          <w:color w:val="auto"/>
        </w:rPr>
      </w:pPr>
      <w:r>
        <w:rPr>
          <w:rFonts w:ascii="Arial" w:cs="Arial" w:eastAsia="Arial" w:hAnsi="Arial"/>
          <w:sz w:val="17"/>
          <w:szCs w:val="17"/>
          <w:color w:val="auto"/>
        </w:rPr>
        <w:t>If we or our licensors are unsuccessful in any patent related disputes, including interference proceedings, patent oppositions, re-examinations, or other priority, inventorship, or validity disputes to which we or they are subject (including any of the proceedings discussed above), we may lose valuable intellectual property rights through the loss of one or more patents owned or licensed or our owned or licensed patent claims may be narrowed, invalidated, or held unenforceable. In addition, if we or our licensors are unsuccessful in any inventorship disputes to which we or they are subject, we may lose valuable intellectual property rights, such as exclusive ownership of, or the exclusive right to use, our owned or in</w:t>
      </w:r>
      <w:r>
        <w:rPr>
          <w:rFonts w:ascii="MS PGothic" w:cs="MS PGothic" w:eastAsia="MS PGothic" w:hAnsi="MS PGothic"/>
          <w:sz w:val="17"/>
          <w:szCs w:val="17"/>
          <w:color w:val="auto"/>
        </w:rPr>
        <w:t>‑</w:t>
      </w:r>
      <w:r>
        <w:rPr>
          <w:rFonts w:ascii="Arial" w:cs="Arial" w:eastAsia="Arial" w:hAnsi="Arial"/>
          <w:sz w:val="17"/>
          <w:szCs w:val="17"/>
          <w:color w:val="auto"/>
        </w:rPr>
        <w:t>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w:t>
      </w:r>
      <w:r>
        <w:rPr>
          <w:rFonts w:ascii="MS PGothic" w:cs="MS PGothic" w:eastAsia="MS PGothic" w:hAnsi="MS PGothic"/>
          <w:sz w:val="17"/>
          <w:szCs w:val="17"/>
          <w:color w:val="auto"/>
        </w:rPr>
        <w:t>‑</w:t>
      </w:r>
      <w:r>
        <w:rPr>
          <w:rFonts w:ascii="Arial" w:cs="Arial" w:eastAsia="Arial" w:hAnsi="Arial"/>
          <w:sz w:val="17"/>
          <w:szCs w:val="17"/>
          <w:color w:val="auto"/>
        </w:rPr>
        <w:t>exclusive.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any interference proceeding or other priority, inventorship, or validity disputes, it could result in substantial costs and be a distraction to our management and other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85"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our intellectual property license agreements may not always include worldwide rights. For example, certain U.S. patent applications licensed to us by Broad include The University of Tokyo (“Tokyo”) and NIH as joint applicants. Broad has only granted a license to us with respect to its interests and to Tokyo’s interests in these U.S. patent applications but not to any foreign equivalents thereof.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63" w:lineRule="exact"/>
        <w:rPr>
          <w:sz w:val="20"/>
          <w:szCs w:val="20"/>
          <w:color w:val="auto"/>
        </w:rPr>
      </w:pPr>
    </w:p>
    <w:p>
      <w:pPr>
        <w:ind w:right="160" w:firstLine="648"/>
        <w:spacing w:after="0" w:line="235"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6"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60"/>
        <w:spacing w:after="0" w:line="194" w:lineRule="exact"/>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 with these requirements.</w:t>
      </w:r>
    </w:p>
    <w:p>
      <w:pPr>
        <w:spacing w:after="0" w:line="163"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w:t>
      </w:r>
      <w:r>
        <w:rPr>
          <w:rFonts w:ascii="MS PGothic" w:cs="MS PGothic" w:eastAsia="MS PGothic" w:hAnsi="MS PGothic"/>
          <w:sz w:val="17"/>
          <w:szCs w:val="17"/>
          <w:color w:val="auto"/>
        </w:rPr>
        <w:t>‑</w:t>
      </w:r>
      <w:r>
        <w:rPr>
          <w:rFonts w:ascii="Arial" w:cs="Arial" w:eastAsia="Arial" w:hAnsi="Arial"/>
          <w:sz w:val="17"/>
          <w:szCs w:val="17"/>
          <w:color w:val="auto"/>
        </w:rPr>
        <w:t>U.S. patent agencies. The USPTO and various non</w:t>
      </w:r>
      <w:r>
        <w:rPr>
          <w:rFonts w:ascii="MS PGothic" w:cs="MS PGothic" w:eastAsia="MS PGothic" w:hAnsi="MS PGothic"/>
          <w:sz w:val="17"/>
          <w:szCs w:val="17"/>
          <w:color w:val="auto"/>
        </w:rPr>
        <w:t>‑</w:t>
      </w:r>
      <w:r>
        <w:rPr>
          <w:rFonts w:ascii="Arial" w:cs="Arial" w:eastAsia="Arial" w:hAnsi="Arial"/>
          <w:sz w:val="17"/>
          <w:szCs w:val="17"/>
          <w:color w:val="auto"/>
        </w:rPr>
        <w:t>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w:t>
      </w:r>
      <w:r>
        <w:rPr>
          <w:rFonts w:ascii="MS PGothic" w:cs="MS PGothic" w:eastAsia="MS PGothic" w:hAnsi="MS PGothic"/>
          <w:sz w:val="17"/>
          <w:szCs w:val="17"/>
          <w:color w:val="auto"/>
        </w:rPr>
        <w:t>‑</w:t>
      </w:r>
      <w:r>
        <w:rPr>
          <w:rFonts w:ascii="Arial" w:cs="Arial" w:eastAsia="Arial" w:hAnsi="Arial"/>
          <w:sz w:val="17"/>
          <w:szCs w:val="17"/>
          <w:color w:val="auto"/>
        </w:rPr>
        <w:t>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63"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63"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We have entered into license agreements with third parties and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including CRISPR genome editing technology, manufacturing methods, product candidates, or future methods or products resulting in either an injunction prohibiting our manufacture or sales, or, with respect to our sales, an obligation on our part to pay royalties and/or other forms of compensation to third parties, which could be significant.</w:t>
      </w:r>
    </w:p>
    <w:p>
      <w:pPr>
        <w:spacing w:after="0" w:line="166"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In each of our license agreements, and we expect in our future agreements, we are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Disputes may arise regarding intellectual property subject to a licensing agreement, including:</w:t>
      </w:r>
    </w:p>
    <w:p>
      <w:pPr>
        <w:spacing w:after="0" w:line="155" w:lineRule="exact"/>
        <w:rPr>
          <w:sz w:val="20"/>
          <w:szCs w:val="20"/>
          <w:color w:val="auto"/>
        </w:rPr>
      </w:pPr>
    </w:p>
    <w:p>
      <w:pPr>
        <w:ind w:left="980" w:hanging="329"/>
        <w:spacing w:after="0" w:line="207" w:lineRule="exact"/>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w:t>
      </w:r>
      <w:r>
        <w:rPr>
          <w:rFonts w:ascii="MS PGothic" w:cs="MS PGothic" w:eastAsia="MS PGothic" w:hAnsi="MS PGothic"/>
          <w:sz w:val="18"/>
          <w:szCs w:val="18"/>
          <w:color w:val="auto"/>
        </w:rPr>
        <w:t>‑</w:t>
      </w:r>
      <w:r>
        <w:rPr>
          <w:rFonts w:ascii="Arial" w:cs="Arial" w:eastAsia="Arial" w:hAnsi="Arial"/>
          <w:sz w:val="18"/>
          <w:szCs w:val="18"/>
          <w:color w:val="auto"/>
        </w:rPr>
        <w:t>related issues;</w:t>
      </w:r>
    </w:p>
    <w:p>
      <w:pPr>
        <w:spacing w:after="0" w:line="184" w:lineRule="exact"/>
        <w:rPr>
          <w:rFonts w:ascii="Arial" w:cs="Arial" w:eastAsia="Arial" w:hAnsi="Arial"/>
          <w:sz w:val="18"/>
          <w:szCs w:val="18"/>
          <w:color w:val="auto"/>
        </w:rPr>
      </w:pPr>
    </w:p>
    <w:p>
      <w:pPr>
        <w:ind w:left="980" w:right="380" w:hanging="329"/>
        <w:spacing w:after="0" w:line="235"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700" w:hanging="329"/>
        <w:spacing w:after="0" w:line="203" w:lineRule="exact"/>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w:t>
      </w:r>
      <w:r>
        <w:rPr>
          <w:rFonts w:ascii="MS PGothic" w:cs="MS PGothic" w:eastAsia="MS PGothic" w:hAnsi="MS PGothic"/>
          <w:sz w:val="18"/>
          <w:szCs w:val="18"/>
          <w:color w:val="auto"/>
        </w:rPr>
        <w:t>‑</w:t>
      </w:r>
      <w:r>
        <w:rPr>
          <w:rFonts w:ascii="Arial" w:cs="Arial" w:eastAsia="Arial" w:hAnsi="Arial"/>
          <w:sz w:val="18"/>
          <w:szCs w:val="18"/>
          <w:color w:val="auto"/>
        </w:rPr>
        <w:t>how resulting from the joint creation or use of intellectual property by our licensors and us and our partners; and</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85"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including the amount, if any, that may become due and payable to our licensors in connection with sublicense income. If these events were to occur, they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63" w:lineRule="exact"/>
        <w:rPr>
          <w:sz w:val="20"/>
          <w:szCs w:val="20"/>
          <w:color w:val="auto"/>
        </w:rPr>
      </w:pPr>
    </w:p>
    <w:p>
      <w:pPr>
        <w:ind w:right="240"/>
        <w:spacing w:after="0" w:line="203" w:lineRule="exact"/>
        <w:rPr>
          <w:sz w:val="20"/>
          <w:szCs w:val="20"/>
          <w:color w:val="auto"/>
        </w:rPr>
      </w:pPr>
      <w:r>
        <w:rPr>
          <w:rFonts w:ascii="Arial" w:cs="Arial" w:eastAsia="Arial" w:hAnsi="Arial"/>
          <w:sz w:val="18"/>
          <w:szCs w:val="18"/>
          <w:b w:val="1"/>
          <w:bCs w:val="1"/>
          <w:i w:val="1"/>
          <w:iCs w:val="1"/>
          <w:color w:val="auto"/>
        </w:rPr>
        <w:t>We may not be successful in obtaining necessary rights to any product candidates we may develop through acquisitions and in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licenses.</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We currently have rights to intellectual property, through licenses from third parties, to identify and develop product candidates. Many pharmaceutical companies, biotechnology companies, and academic institutions are competing with us in the field of genome editing technology and filing patent applications potentially relevant to our business. For example, we are aware of third party patents and patent applications that may be construed to cover our CRISPR technology and product candidates. In order to avoid infringing these third party patents, or patents that issue from these third party patent applications, we may find it necessary or prudent to obtain licenses from such third party intellectual property holders. We may also require licenses from third parties for certain non</w:t>
      </w:r>
      <w:r>
        <w:rPr>
          <w:rFonts w:ascii="MS PGothic" w:cs="MS PGothic" w:eastAsia="MS PGothic" w:hAnsi="MS PGothic"/>
          <w:sz w:val="16"/>
          <w:szCs w:val="16"/>
          <w:color w:val="auto"/>
        </w:rPr>
        <w:t>‑</w:t>
      </w:r>
      <w:r>
        <w:rPr>
          <w:rFonts w:ascii="Arial" w:cs="Arial" w:eastAsia="Arial" w:hAnsi="Arial"/>
          <w:sz w:val="16"/>
          <w:szCs w:val="16"/>
          <w:color w:val="auto"/>
        </w:rPr>
        <w:t>CRISPR technologies including certain delivery methods that we are evaluating for use with product candidates we may develop. In addition, with respect to any patents we co</w:t>
      </w:r>
      <w:r>
        <w:rPr>
          <w:rFonts w:ascii="MS PGothic" w:cs="MS PGothic" w:eastAsia="MS PGothic" w:hAnsi="MS PGothic"/>
          <w:sz w:val="16"/>
          <w:szCs w:val="16"/>
          <w:color w:val="auto"/>
        </w:rPr>
        <w:t>‑</w:t>
      </w:r>
      <w:r>
        <w:rPr>
          <w:rFonts w:ascii="Arial" w:cs="Arial" w:eastAsia="Arial" w:hAnsi="Arial"/>
          <w:sz w:val="16"/>
          <w:szCs w:val="16"/>
          <w:color w:val="auto"/>
        </w:rPr>
        <w:t>own with third parties, we may require licenses to such co</w:t>
      </w:r>
      <w:r>
        <w:rPr>
          <w:rFonts w:ascii="MS PGothic" w:cs="MS PGothic" w:eastAsia="MS PGothic" w:hAnsi="MS PGothic"/>
          <w:sz w:val="16"/>
          <w:szCs w:val="16"/>
          <w:color w:val="auto"/>
        </w:rPr>
        <w:t>‑</w:t>
      </w:r>
      <w:r>
        <w:rPr>
          <w:rFonts w:ascii="Arial" w:cs="Arial" w:eastAsia="Arial" w:hAnsi="Arial"/>
          <w:sz w:val="16"/>
          <w:szCs w:val="16"/>
          <w:color w:val="auto"/>
        </w:rPr>
        <w:t>owners’ interest in such patents. However, we may be unable to secure such licenses or otherwise acquire or in</w:t>
      </w:r>
      <w:r>
        <w:rPr>
          <w:rFonts w:ascii="MS PGothic" w:cs="MS PGothic" w:eastAsia="MS PGothic" w:hAnsi="MS PGothic"/>
          <w:sz w:val="16"/>
          <w:szCs w:val="16"/>
          <w:color w:val="auto"/>
        </w:rPr>
        <w:t>‑</w:t>
      </w:r>
      <w:r>
        <w:rPr>
          <w:rFonts w:ascii="Arial" w:cs="Arial" w:eastAsia="Arial" w:hAnsi="Arial"/>
          <w:sz w:val="16"/>
          <w:szCs w:val="16"/>
          <w:color w:val="auto"/>
        </w:rPr>
        <w:t>license any compositions, methods of use, processes, or other intellectual property rights from third parties that we identify as necessary for our CRISPR technology and product candidates we may develop.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For example, certain delivery modes, including certain adeno</w:t>
      </w:r>
      <w:r>
        <w:rPr>
          <w:rFonts w:ascii="MS PGothic" w:cs="MS PGothic" w:eastAsia="MS PGothic" w:hAnsi="MS PGothic"/>
          <w:sz w:val="16"/>
          <w:szCs w:val="16"/>
          <w:color w:val="auto"/>
        </w:rPr>
        <w:t>‑</w:t>
      </w:r>
      <w:r>
        <w:rPr>
          <w:rFonts w:ascii="Arial" w:cs="Arial" w:eastAsia="Arial" w:hAnsi="Arial"/>
          <w:sz w:val="16"/>
          <w:szCs w:val="16"/>
          <w:color w:val="auto"/>
        </w:rPr>
        <w:t>associated virus vectors and lipid nanoparticle technologies, we are evaluating for use are covered by patents held by third parties.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62"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w:t>
      </w:r>
      <w:r>
        <w:rPr>
          <w:rFonts w:ascii="MS PGothic" w:cs="MS PGothic" w:eastAsia="MS PGothic" w:hAnsi="MS PGothic"/>
          <w:sz w:val="17"/>
          <w:szCs w:val="17"/>
          <w:color w:val="auto"/>
        </w:rPr>
        <w:t>‑</w:t>
      </w:r>
      <w:r>
        <w:rPr>
          <w:rFonts w:ascii="Arial" w:cs="Arial" w:eastAsia="Arial" w:hAnsi="Arial"/>
          <w:sz w:val="17"/>
          <w:szCs w:val="17"/>
          <w:color w:val="auto"/>
        </w:rPr>
        <w:t>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99"/>
        <w:spacing w:after="0" w:line="184" w:lineRule="exact"/>
        <w:rPr>
          <w:sz w:val="20"/>
          <w:szCs w:val="20"/>
          <w:color w:val="auto"/>
        </w:rPr>
      </w:pPr>
      <w:r>
        <w:rPr>
          <w:rFonts w:ascii="Arial" w:cs="Arial" w:eastAsia="Arial" w:hAnsi="Arial"/>
          <w:sz w:val="17"/>
          <w:szCs w:val="17"/>
          <w:color w:val="auto"/>
        </w:rPr>
        <w:t>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w:t>
      </w:r>
      <w:r>
        <w:rPr>
          <w:rFonts w:ascii="MS PGothic" w:cs="MS PGothic" w:eastAsia="MS PGothic" w:hAnsi="MS PGothic"/>
          <w:sz w:val="17"/>
          <w:szCs w:val="17"/>
          <w:color w:val="auto"/>
        </w:rPr>
        <w:t>‑</w:t>
      </w:r>
      <w:r>
        <w:rPr>
          <w:rFonts w:ascii="Arial" w:cs="Arial" w:eastAsia="Arial" w:hAnsi="Arial"/>
          <w:sz w:val="17"/>
          <w:szCs w:val="17"/>
          <w:color w:val="auto"/>
        </w:rPr>
        <w:t>grant proceedings, including post</w:t>
      </w:r>
      <w:r>
        <w:rPr>
          <w:rFonts w:ascii="MS PGothic" w:cs="MS PGothic" w:eastAsia="MS PGothic" w:hAnsi="MS PGothic"/>
          <w:sz w:val="17"/>
          <w:szCs w:val="17"/>
          <w:color w:val="auto"/>
        </w:rPr>
        <w:t>‑</w:t>
      </w:r>
      <w:r>
        <w:rPr>
          <w:rFonts w:ascii="Arial" w:cs="Arial" w:eastAsia="Arial" w:hAnsi="Arial"/>
          <w:sz w:val="17"/>
          <w:szCs w:val="17"/>
          <w:color w:val="auto"/>
        </w:rPr>
        <w:t xml:space="preserve">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62" w:lineRule="exact"/>
        <w:rPr>
          <w:sz w:val="20"/>
          <w:szCs w:val="20"/>
          <w:color w:val="auto"/>
        </w:rPr>
      </w:pPr>
    </w:p>
    <w:p>
      <w:pPr>
        <w:ind w:right="59" w:firstLine="648"/>
        <w:spacing w:after="0" w:line="225"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62" w:lineRule="exact"/>
        <w:rPr>
          <w:sz w:val="20"/>
          <w:szCs w:val="20"/>
          <w:color w:val="auto"/>
        </w:rPr>
      </w:pPr>
    </w:p>
    <w:p>
      <w:pPr>
        <w:ind w:right="119"/>
        <w:spacing w:after="0" w:line="235" w:lineRule="auto"/>
        <w:rPr>
          <w:sz w:val="20"/>
          <w:szCs w:val="20"/>
          <w:color w:val="auto"/>
        </w:rPr>
      </w:pPr>
      <w:r>
        <w:rPr>
          <w:rFonts w:ascii="Arial" w:cs="Arial" w:eastAsia="Arial" w:hAnsi="Arial"/>
          <w:sz w:val="18"/>
          <w:szCs w:val="18"/>
          <w:b w:val="1"/>
          <w:bCs w:val="1"/>
          <w:i w:val="1"/>
          <w:iCs w:val="1"/>
          <w:color w:val="auto"/>
        </w:rPr>
        <w:t>Issued patents covering our technology and product candidates could be found invalid or unenforceable if challenged in court or before administrative bodies in the United States or abroad.</w:t>
      </w:r>
    </w:p>
    <w:p>
      <w:pPr>
        <w:spacing w:after="0" w:line="162" w:lineRule="exact"/>
        <w:rPr>
          <w:sz w:val="20"/>
          <w:szCs w:val="20"/>
          <w:color w:val="auto"/>
        </w:rPr>
      </w:pPr>
    </w:p>
    <w:p>
      <w:pPr>
        <w:ind w:right="39" w:firstLine="648"/>
        <w:spacing w:after="0" w:line="184" w:lineRule="exact"/>
        <w:rPr>
          <w:sz w:val="20"/>
          <w:szCs w:val="20"/>
          <w:color w:val="auto"/>
        </w:rPr>
      </w:pPr>
      <w:r>
        <w:rPr>
          <w:rFonts w:ascii="Arial" w:cs="Arial" w:eastAsia="Arial" w:hAnsi="Arial"/>
          <w:sz w:val="16"/>
          <w:szCs w:val="16"/>
          <w:color w:val="auto"/>
        </w:rPr>
        <w:t>If we or one of our licensors were to initiate legal proceedings against a third party to enforce a patent covering a product candidate we may develop or our technology, including CRISPR genome editing technology,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w:t>
      </w:r>
      <w:r>
        <w:rPr>
          <w:rFonts w:ascii="MS PGothic" w:cs="MS PGothic" w:eastAsia="MS PGothic" w:hAnsi="MS PGothic"/>
          <w:sz w:val="16"/>
          <w:szCs w:val="16"/>
          <w:color w:val="auto"/>
        </w:rPr>
        <w:t>‑</w:t>
      </w:r>
      <w:r>
        <w:rPr>
          <w:rFonts w:ascii="Arial" w:cs="Arial" w:eastAsia="Arial" w:hAnsi="Arial"/>
          <w:sz w:val="16"/>
          <w:szCs w:val="16"/>
          <w:color w:val="auto"/>
        </w:rPr>
        <w:t>enablement. Grounds for an unenforceability assertion could be an allegation that someone connected with prosecution of the patent withheld relevant information from the USPTO, or made a misleading statement, during prosecution. Third parties have raised challenges to the validity of certain of our in</w:t>
      </w:r>
      <w:r>
        <w:rPr>
          <w:rFonts w:ascii="MS PGothic" w:cs="MS PGothic" w:eastAsia="MS PGothic" w:hAnsi="MS PGothic"/>
          <w:sz w:val="16"/>
          <w:szCs w:val="16"/>
          <w:color w:val="auto"/>
        </w:rPr>
        <w:t>‑</w:t>
      </w:r>
      <w:r>
        <w:rPr>
          <w:rFonts w:ascii="Arial" w:cs="Arial" w:eastAsia="Arial" w:hAnsi="Arial"/>
          <w:sz w:val="16"/>
          <w:szCs w:val="16"/>
          <w:color w:val="auto"/>
        </w:rPr>
        <w:t>licensed patent claims and may in the future raise similar claims before administrative bodies in the United States or abroad, even outside the context of litigation. Such mechanisms include re</w:t>
      </w:r>
      <w:r>
        <w:rPr>
          <w:rFonts w:ascii="MS PGothic" w:cs="MS PGothic" w:eastAsia="MS PGothic" w:hAnsi="MS PGothic"/>
          <w:sz w:val="16"/>
          <w:szCs w:val="16"/>
          <w:color w:val="auto"/>
        </w:rPr>
        <w:t>‑</w:t>
      </w:r>
      <w:r>
        <w:rPr>
          <w:rFonts w:ascii="Arial" w:cs="Arial" w:eastAsia="Arial" w:hAnsi="Arial"/>
          <w:sz w:val="16"/>
          <w:szCs w:val="16"/>
          <w:color w:val="auto"/>
        </w:rPr>
        <w:t>examination, post</w:t>
      </w:r>
      <w:r>
        <w:rPr>
          <w:rFonts w:ascii="MS PGothic" w:cs="MS PGothic" w:eastAsia="MS PGothic" w:hAnsi="MS PGothic"/>
          <w:sz w:val="16"/>
          <w:szCs w:val="16"/>
          <w:color w:val="auto"/>
        </w:rPr>
        <w:t>‑</w:t>
      </w:r>
      <w:r>
        <w:rPr>
          <w:rFonts w:ascii="Arial" w:cs="Arial" w:eastAsia="Arial" w:hAnsi="Arial"/>
          <w:sz w:val="16"/>
          <w:szCs w:val="16"/>
          <w:color w:val="auto"/>
        </w:rPr>
        <w:t xml:space="preserve">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For example, as discussed above, an interference was declared, and multiple Suggestions of Interference have been filed against certain of our in</w:t>
      </w:r>
      <w:r>
        <w:rPr>
          <w:rFonts w:ascii="MS PGothic" w:cs="MS PGothic" w:eastAsia="MS PGothic" w:hAnsi="MS PGothic"/>
          <w:sz w:val="16"/>
          <w:szCs w:val="16"/>
          <w:color w:val="auto"/>
        </w:rPr>
        <w:t>‑</w:t>
      </w:r>
      <w:r>
        <w:rPr>
          <w:rFonts w:ascii="Arial" w:cs="Arial" w:eastAsia="Arial" w:hAnsi="Arial"/>
          <w:sz w:val="16"/>
          <w:szCs w:val="16"/>
          <w:color w:val="auto"/>
        </w:rPr>
        <w:t>licensed U.S. patents and patent applications, one of these U.S. patents is subject to a re</w:t>
      </w:r>
      <w:r>
        <w:rPr>
          <w:rFonts w:ascii="MS PGothic" w:cs="MS PGothic" w:eastAsia="MS PGothic" w:hAnsi="MS PGothic"/>
          <w:sz w:val="16"/>
          <w:szCs w:val="16"/>
          <w:color w:val="auto"/>
        </w:rPr>
        <w:t>‑</w:t>
      </w:r>
      <w:r>
        <w:rPr>
          <w:rFonts w:ascii="Arial" w:cs="Arial" w:eastAsia="Arial" w:hAnsi="Arial"/>
          <w:sz w:val="16"/>
          <w:szCs w:val="16"/>
          <w:color w:val="auto"/>
        </w:rPr>
        <w:t>examination proceeding, opposition proceedings have been initiated against ten of our in</w:t>
      </w:r>
      <w:r>
        <w:rPr>
          <w:rFonts w:ascii="MS PGothic" w:cs="MS PGothic" w:eastAsia="MS PGothic" w:hAnsi="MS PGothic"/>
          <w:sz w:val="16"/>
          <w:szCs w:val="16"/>
          <w:color w:val="auto"/>
        </w:rPr>
        <w:t>‑</w:t>
      </w:r>
      <w:r>
        <w:rPr>
          <w:rFonts w:ascii="Arial" w:cs="Arial" w:eastAsia="Arial" w:hAnsi="Arial"/>
          <w:sz w:val="16"/>
          <w:szCs w:val="16"/>
          <w:color w:val="auto"/>
        </w:rPr>
        <w:t>licensed European patents and additional interference, re</w:t>
      </w:r>
      <w:r>
        <w:rPr>
          <w:rFonts w:ascii="MS PGothic" w:cs="MS PGothic" w:eastAsia="MS PGothic" w:hAnsi="MS PGothic"/>
          <w:sz w:val="16"/>
          <w:szCs w:val="16"/>
          <w:color w:val="auto"/>
        </w:rPr>
        <w:t>‑</w:t>
      </w:r>
      <w:r>
        <w:rPr>
          <w:rFonts w:ascii="Arial" w:cs="Arial" w:eastAsia="Arial" w:hAnsi="Arial"/>
          <w:sz w:val="16"/>
          <w:szCs w:val="16"/>
          <w:color w:val="auto"/>
        </w:rPr>
        <w:t>examination, opposition, and other intellectual property proceedings may be initiated in the future. For more information regarding these proceedings, see “Legal Proceedings” in Part II, Item 1 of this Quarterly Report on Form 10-Q. The opposition proceedings have so far resulted in the revocation of one of our in-licensed European patents. In view of certain arguments made by the third parties against this revoked patent and similar arguments made by the third parties against additional other in-licensed European patents under opposition, the opposition proceedings could potentially lead to the revocation of additional in-licensed European patents. These and other proceedings could result in the revocation or cancellation of, or amendment to our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The intellectual property landscape around genome editing technology, including CRISPR, is highly dynamic, and 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63"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7"/>
          <w:szCs w:val="17"/>
          <w:color w:val="auto"/>
        </w:rPr>
        <w:t>The field of genome editing, especially in the area of CRISPR technology, is still in its infancy, and no such products have reached the market.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our owned and in</w:t>
      </w:r>
      <w:r>
        <w:rPr>
          <w:rFonts w:ascii="MS PGothic" w:cs="MS PGothic" w:eastAsia="MS PGothic" w:hAnsi="MS PGothic"/>
          <w:sz w:val="17"/>
          <w:szCs w:val="17"/>
          <w:color w:val="auto"/>
        </w:rPr>
        <w:t>‑</w:t>
      </w:r>
      <w:r>
        <w:rPr>
          <w:rFonts w:ascii="Arial" w:cs="Arial" w:eastAsia="Arial" w:hAnsi="Arial"/>
          <w:sz w:val="17"/>
          <w:szCs w:val="17"/>
          <w:color w:val="auto"/>
        </w:rPr>
        <w:t>licensed, and other third party, intellectual property and proprietary rights in the future.</w:t>
      </w:r>
    </w:p>
    <w:p>
      <w:pPr>
        <w:spacing w:after="0" w:line="161"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We are subject to and may in the future become party to, or threatened with, adversarial proceedings or litigation regarding intellectual property rights with respect to our technology and any product candidates we may develop, including interference proceedings, post</w:t>
      </w:r>
      <w:r>
        <w:rPr>
          <w:rFonts w:ascii="MS PGothic" w:cs="MS PGothic" w:eastAsia="MS PGothic" w:hAnsi="MS PGothic"/>
          <w:sz w:val="16"/>
          <w:szCs w:val="16"/>
          <w:color w:val="auto"/>
        </w:rPr>
        <w:t>‑</w:t>
      </w:r>
      <w:r>
        <w:rPr>
          <w:rFonts w:ascii="Arial" w:cs="Arial" w:eastAsia="Arial" w:hAnsi="Arial"/>
          <w:sz w:val="16"/>
          <w:szCs w:val="16"/>
          <w:color w:val="auto"/>
        </w:rPr>
        <w:t xml:space="preserve">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before the USPTO and similar proceedings in foreign jurisdictions such as oppositions before the EPO. Third parties may assert infringement claims against us based on existing patents or patents that may be granted in the future, regardless of their merit. We are aware of certain third party patents and patent applications in this landscape that may be asserted to encompass our CRISPR/Cas9 technology. In particular, we are aware of several separate families of U.S. patent applications and foreign counterparts which relate to CRISPR/Cas9 technology, where the earliest priority dates of each family pre</w:t>
      </w:r>
      <w:r>
        <w:rPr>
          <w:rFonts w:ascii="MS PGothic" w:cs="MS PGothic" w:eastAsia="MS PGothic" w:hAnsi="MS PGothic"/>
          <w:sz w:val="16"/>
          <w:szCs w:val="16"/>
          <w:color w:val="auto"/>
        </w:rPr>
        <w:t>‑</w:t>
      </w:r>
      <w:r>
        <w:rPr>
          <w:rFonts w:ascii="Arial" w:cs="Arial" w:eastAsia="Arial" w:hAnsi="Arial"/>
          <w:sz w:val="16"/>
          <w:szCs w:val="16"/>
          <w:color w:val="auto"/>
        </w:rPr>
        <w:t>date the priority dates of our in</w:t>
      </w:r>
      <w:r>
        <w:rPr>
          <w:rFonts w:ascii="MS PGothic" w:cs="MS PGothic" w:eastAsia="MS PGothic" w:hAnsi="MS PGothic"/>
          <w:sz w:val="16"/>
          <w:szCs w:val="16"/>
          <w:color w:val="auto"/>
        </w:rPr>
        <w:t>‑</w:t>
      </w:r>
      <w:r>
        <w:rPr>
          <w:rFonts w:ascii="Arial" w:cs="Arial" w:eastAsia="Arial" w:hAnsi="Arial"/>
          <w:sz w:val="16"/>
          <w:szCs w:val="16"/>
          <w:color w:val="auto"/>
        </w:rPr>
        <w:t>licensed patents and patent applications, including PCT Publication No. WO 2013/141680 (and its related U.S. Patent No. 9,637,739 and other related U.S. patent applications and foreign counterparts) filed by Vilnius University (which is reported to have exclusively licensed its rights to DuPont Pioneer, which is reported to have licensed certain rights to Caribou Biosciences, which is reported to have non-exclusively licensed certain rights to Intellia Therapeutics and CRISPR Therapeutics), WO 2013/176772 (and its related U.S. patent applications and foreign counterparts including European Patent No. EP 2,800,811 B1, which is being opposed by several parties, and European Patent No. EP 3,241,902 B1) filed by the University of California, the University of Vienna (both of which are reported to have exclusively licensed their rights to Caribou Biosciences, which is reported to have exclusively licensed certain rights to Intellia Therapeutics), and Emmanuelle Charpentier (who is reported to have exclusively licensed her rights to CRISPR Therapeutics, ERS Genomics and TRACR Hematology), WO 2014/065596 (and its related U.S. patent applications and foreign counterparts) filed by ToolGen, and WO 2014/089290 (and its related U.S. patent applications and foreign counterparts including European Patent No. EP 3,138,910 B1, which is being opposed by several parties) filed by Sigma-Aldrich Co. LLC. We are also aware of U.S. Patent No. 9,738,908 filed by System Biosciences, LLC which is currently under re-examination. Each of these patent families are owned by a different third party and contain claims that may be construed to cover components and uses of CRISPR/Cas9 technology. If we are not able to obtain or maintain a license on commercially reasonable terms to any third</w:t>
      </w:r>
      <w:r>
        <w:rPr>
          <w:rFonts w:ascii="MS PGothic" w:cs="MS PGothic" w:eastAsia="MS PGothic" w:hAnsi="MS PGothic"/>
          <w:sz w:val="16"/>
          <w:szCs w:val="16"/>
          <w:color w:val="auto"/>
        </w:rPr>
        <w:t>‑</w:t>
      </w:r>
      <w:r>
        <w:rPr>
          <w:rFonts w:ascii="Arial" w:cs="Arial" w:eastAsia="Arial" w:hAnsi="Arial"/>
          <w:sz w:val="16"/>
          <w:szCs w:val="16"/>
          <w:color w:val="auto"/>
        </w:rPr>
        <w:t>party patents that cover our product candidates or activities, such third parties could potentially assert infringement claims against us, which could have a material adverse effect on the conduct of our business.</w:t>
      </w:r>
    </w:p>
    <w:p>
      <w:pPr>
        <w:spacing w:after="0" w:line="177"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Even if we believe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claims are without merit, there is no assurance that a court would find in our favor on questions of infringement, validity, enforceability, or priority. A court of competent jurisdiction could hold that these third party patents are valid, enforceable, and infringed, which could materially and adversely affect our ability to commercialize any product candidates we may develop and any other product candidates or technologies covered by the asserted third 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183"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165"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63"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Many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w:t>
      </w:r>
      <w:r>
        <w:rPr>
          <w:rFonts w:ascii="MS PGothic" w:cs="MS PGothic" w:eastAsia="MS PGothic" w:hAnsi="MS PGothic"/>
          <w:sz w:val="17"/>
          <w:szCs w:val="17"/>
          <w:color w:val="auto"/>
        </w:rPr>
        <w:t>‑</w:t>
      </w:r>
      <w:r>
        <w:rPr>
          <w:rFonts w:ascii="Arial" w:cs="Arial" w:eastAsia="Arial" w:hAnsi="Arial"/>
          <w:sz w:val="17"/>
          <w:szCs w:val="17"/>
          <w:color w:val="auto"/>
        </w:rPr>
        <w:t>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68" w:lineRule="exact"/>
        <w:rPr>
          <w:sz w:val="20"/>
          <w:szCs w:val="20"/>
          <w:color w:val="auto"/>
        </w:rPr>
      </w:pPr>
    </w:p>
    <w:p>
      <w:pPr>
        <w:ind w:right="20" w:firstLine="648"/>
        <w:spacing w:after="0" w:line="184" w:lineRule="exact"/>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w:t>
      </w:r>
      <w:r>
        <w:rPr>
          <w:rFonts w:ascii="MS PGothic" w:cs="MS PGothic" w:eastAsia="MS PGothic" w:hAnsi="MS PGothic"/>
          <w:sz w:val="17"/>
          <w:szCs w:val="17"/>
          <w:color w:val="auto"/>
        </w:rPr>
        <w:t>‑</w:t>
      </w:r>
      <w:r>
        <w:rPr>
          <w:rFonts w:ascii="Arial" w:cs="Arial" w:eastAsia="Arial" w:hAnsi="Arial"/>
          <w:sz w:val="17"/>
          <w:szCs w:val="17"/>
          <w:color w:val="auto"/>
        </w:rPr>
        <w:t>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62" w:lineRule="exact"/>
        <w:rPr>
          <w:sz w:val="20"/>
          <w:szCs w:val="20"/>
          <w:color w:val="auto"/>
        </w:rPr>
      </w:pPr>
    </w:p>
    <w:p>
      <w:pPr>
        <w:ind w:right="60" w:firstLine="648"/>
        <w:spacing w:after="0" w:line="181" w:lineRule="exact"/>
        <w:rPr>
          <w:sz w:val="20"/>
          <w:szCs w:val="20"/>
          <w:color w:val="auto"/>
        </w:rPr>
      </w:pPr>
      <w:r>
        <w:rPr>
          <w:rFonts w:ascii="Arial" w:cs="Arial" w:eastAsia="Arial" w:hAnsi="Arial"/>
          <w:sz w:val="16"/>
          <w:szCs w:val="16"/>
          <w:color w:val="auto"/>
        </w:rPr>
        <w:t>Competitors may infringe our patents or the patents of our licensing partners, or we may be required to defend against claims of infringement. In addition, our patents or the patents of our licensing partners also are, and may in the future become, involved in inventorship, priority, or validity disputes. To counter or defend against such claims can be expensive and time consuming. In an infringement proceeding, a court may decide that a patent owned or in</w:t>
      </w:r>
      <w:r>
        <w:rPr>
          <w:rFonts w:ascii="MS PGothic" w:cs="MS PGothic" w:eastAsia="MS PGothic" w:hAnsi="MS PGothic"/>
          <w:sz w:val="16"/>
          <w:szCs w:val="16"/>
          <w:color w:val="auto"/>
        </w:rPr>
        <w:t>‑</w:t>
      </w:r>
      <w:r>
        <w:rPr>
          <w:rFonts w:ascii="Arial" w:cs="Arial" w:eastAsia="Arial" w:hAnsi="Arial"/>
          <w:sz w:val="16"/>
          <w:szCs w:val="16"/>
          <w:color w:val="auto"/>
        </w:rPr>
        <w:t>licensed by us is invalid or unenforceable, or may refuse to stop the other party from using the technology at issue on the grounds that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patents do not cover the technology in question. An adverse result in any litigation proceeding could put one or more of our owned or in</w:t>
      </w:r>
      <w:r>
        <w:rPr>
          <w:rFonts w:ascii="MS PGothic" w:cs="MS PGothic" w:eastAsia="MS PGothic" w:hAnsi="MS PGothic"/>
          <w:sz w:val="16"/>
          <w:szCs w:val="16"/>
          <w:color w:val="auto"/>
        </w:rPr>
        <w:t>‑</w:t>
      </w:r>
      <w:r>
        <w:rPr>
          <w:rFonts w:ascii="Arial" w:cs="Arial" w:eastAsia="Arial" w:hAnsi="Arial"/>
          <w:sz w:val="16"/>
          <w:szCs w:val="16"/>
          <w:color w:val="auto"/>
        </w:rPr>
        <w:t>licensed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8"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would be harmed.</w:t>
      </w:r>
    </w:p>
    <w:p>
      <w:pPr>
        <w:spacing w:after="0" w:line="219"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In addition to seeking patents for some of our technology and product candidates, we also rely on trade secrets and confidentiality agreements to protect our unpatented know</w:t>
      </w:r>
      <w:r>
        <w:rPr>
          <w:rFonts w:ascii="MS PGothic" w:cs="MS PGothic" w:eastAsia="MS PGothic" w:hAnsi="MS PGothic"/>
          <w:sz w:val="17"/>
          <w:szCs w:val="17"/>
          <w:color w:val="auto"/>
        </w:rPr>
        <w:t>‑</w:t>
      </w:r>
      <w:r>
        <w:rPr>
          <w:rFonts w:ascii="Arial" w:cs="Arial" w:eastAsia="Arial" w:hAnsi="Arial"/>
          <w:sz w:val="17"/>
          <w:szCs w:val="17"/>
          <w:color w:val="auto"/>
        </w:rPr>
        <w:t>how, technology, and other proprietary information and to maintain our competitive position. With respect to our technology platform, we consider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to be one of our primary sources of intellectual property.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can be difficult to protect. In particular, we anticipate that with respect to our technology platform, these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will over time be disseminated within the industry through independent development, the publication of journal articles describing the methodology, and the movement of personnel from academic to industry scientific positions.</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We seek to protect these trade secrets and other proprietary technology, in part, by entering into non</w:t>
      </w:r>
      <w:r>
        <w:rPr>
          <w:rFonts w:ascii="MS PGothic" w:cs="MS PGothic" w:eastAsia="MS PGothic" w:hAnsi="MS PGothic"/>
          <w:sz w:val="16"/>
          <w:szCs w:val="16"/>
          <w:color w:val="auto"/>
        </w:rPr>
        <w:t>‑</w:t>
      </w:r>
      <w:r>
        <w:rPr>
          <w:rFonts w:ascii="Arial" w:cs="Arial" w:eastAsia="Arial" w:hAnsi="Arial"/>
          <w:sz w:val="16"/>
          <w:szCs w:val="16"/>
          <w:color w:val="auto"/>
        </w:rPr>
        <w:t>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66"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product candidates we may develop, our business may be materially harmed.</w:t>
      </w:r>
    </w:p>
    <w:p>
      <w:pPr>
        <w:spacing w:after="0" w:line="162" w:lineRule="exact"/>
        <w:rPr>
          <w:sz w:val="20"/>
          <w:szCs w:val="20"/>
          <w:color w:val="auto"/>
        </w:rPr>
      </w:pPr>
    </w:p>
    <w:p>
      <w:pPr>
        <w:ind w:right="200" w:firstLine="648"/>
        <w:spacing w:after="0" w:line="180" w:lineRule="exact"/>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85"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3" w:lineRule="exact"/>
        <w:rPr>
          <w:sz w:val="20"/>
          <w:szCs w:val="20"/>
          <w:color w:val="auto"/>
        </w:rPr>
      </w:pPr>
    </w:p>
    <w:p>
      <w:pPr>
        <w:ind w:left="980" w:right="40" w:hanging="329"/>
        <w:spacing w:after="0" w:line="22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any product candidates we may develop or utilize similar gene therapy technology but that are not covered by the claims of the patents that we license or may own in the future;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80" w:hanging="329"/>
        <w:spacing w:after="0" w:line="289"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or pending patent application that we license or may own in the future;</w:t>
      </w:r>
    </w:p>
    <w:p>
      <w:pPr>
        <w:spacing w:after="0" w:line="124" w:lineRule="exact"/>
        <w:rPr>
          <w:rFonts w:ascii="Arial" w:cs="Arial" w:eastAsia="Arial" w:hAnsi="Arial"/>
          <w:sz w:val="16"/>
          <w:szCs w:val="16"/>
          <w:color w:val="auto"/>
        </w:rPr>
      </w:pPr>
    </w:p>
    <w:p>
      <w:pPr>
        <w:ind w:left="980" w:right="640" w:hanging="329"/>
        <w:spacing w:after="0" w:line="235"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61" w:lineRule="exact"/>
        <w:rPr>
          <w:rFonts w:ascii="Arial" w:cs="Arial" w:eastAsia="Arial" w:hAnsi="Arial"/>
          <w:sz w:val="18"/>
          <w:szCs w:val="18"/>
          <w:color w:val="auto"/>
        </w:rPr>
      </w:pPr>
    </w:p>
    <w:p>
      <w:pPr>
        <w:ind w:left="980" w:right="460" w:hanging="329"/>
        <w:spacing w:after="0" w:line="235"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61" w:lineRule="exact"/>
        <w:rPr>
          <w:rFonts w:ascii="Arial" w:cs="Arial" w:eastAsia="Arial" w:hAnsi="Arial"/>
          <w:sz w:val="18"/>
          <w:szCs w:val="18"/>
          <w:color w:val="auto"/>
        </w:rPr>
      </w:pPr>
    </w:p>
    <w:p>
      <w:pPr>
        <w:ind w:left="980" w:right="140" w:hanging="329"/>
        <w:spacing w:after="0" w:line="235"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61" w:lineRule="exact"/>
        <w:rPr>
          <w:rFonts w:ascii="Arial" w:cs="Arial" w:eastAsia="Arial" w:hAnsi="Arial"/>
          <w:sz w:val="18"/>
          <w:szCs w:val="18"/>
          <w:color w:val="auto"/>
        </w:rPr>
      </w:pPr>
    </w:p>
    <w:p>
      <w:pPr>
        <w:ind w:left="980" w:right="640" w:hanging="329"/>
        <w:spacing w:after="0" w:line="235"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61" w:lineRule="exact"/>
        <w:rPr>
          <w:rFonts w:ascii="Arial" w:cs="Arial" w:eastAsia="Arial" w:hAnsi="Arial"/>
          <w:sz w:val="18"/>
          <w:szCs w:val="18"/>
          <w:color w:val="auto"/>
        </w:rPr>
      </w:pPr>
    </w:p>
    <w:p>
      <w:pPr>
        <w:ind w:left="980" w:right="100" w:hanging="329"/>
        <w:spacing w:after="0" w:line="22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3"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84" w:lineRule="exact"/>
        <w:rPr>
          <w:rFonts w:ascii="Arial" w:cs="Arial" w:eastAsia="Arial" w:hAnsi="Arial"/>
          <w:sz w:val="18"/>
          <w:szCs w:val="18"/>
          <w:color w:val="auto"/>
        </w:rPr>
      </w:pPr>
    </w:p>
    <w:p>
      <w:pPr>
        <w:ind w:left="980" w:right="20" w:hanging="329"/>
        <w:spacing w:after="0" w:line="203" w:lineRule="exact"/>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w:t>
      </w:r>
      <w:r>
        <w:rPr>
          <w:rFonts w:ascii="MS PGothic" w:cs="MS PGothic" w:eastAsia="MS PGothic" w:hAnsi="MS PGothic"/>
          <w:sz w:val="18"/>
          <w:szCs w:val="18"/>
          <w:color w:val="auto"/>
        </w:rPr>
        <w:t>‑</w:t>
      </w:r>
      <w:r>
        <w:rPr>
          <w:rFonts w:ascii="Arial" w:cs="Arial" w:eastAsia="Arial" w:hAnsi="Arial"/>
          <w:sz w:val="18"/>
          <w:szCs w:val="18"/>
          <w:color w:val="auto"/>
        </w:rPr>
        <w:t>how, and a third party may subsequently file a patent covering such intellectual property.</w:t>
      </w:r>
    </w:p>
    <w:p>
      <w:pPr>
        <w:spacing w:after="0" w:line="162"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89" w:lineRule="exact"/>
        <w:rPr>
          <w:sz w:val="20"/>
          <w:szCs w:val="20"/>
          <w:color w:val="auto"/>
        </w:rPr>
      </w:pPr>
    </w:p>
    <w:p>
      <w:pPr>
        <w:ind w:right="40"/>
        <w:spacing w:after="0" w:line="187" w:lineRule="exact"/>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marketing approval process is expensive, time</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We have only limited experience in filing and supporting the applications necessary to gain marketing approvals and expect to rely on third</w:t>
      </w:r>
      <w:r>
        <w:rPr>
          <w:rFonts w:ascii="MS PGothic" w:cs="MS PGothic" w:eastAsia="MS PGothic" w:hAnsi="MS PGothic"/>
          <w:sz w:val="17"/>
          <w:szCs w:val="17"/>
          <w:color w:val="auto"/>
        </w:rPr>
        <w:t>‑</w:t>
      </w:r>
      <w:r>
        <w:rPr>
          <w:rFonts w:ascii="Arial" w:cs="Arial" w:eastAsia="Arial" w:hAnsi="Arial"/>
          <w:sz w:val="17"/>
          <w:szCs w:val="17"/>
          <w:color w:val="auto"/>
        </w:rPr>
        <w:t>party CROs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181" w:lineRule="exact"/>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w:t>
      </w:r>
      <w:r>
        <w:rPr>
          <w:rFonts w:ascii="MS PGothic" w:cs="MS PGothic" w:eastAsia="MS PGothic" w:hAnsi="MS PGothic"/>
          <w:sz w:val="16"/>
          <w:szCs w:val="16"/>
          <w:color w:val="auto"/>
        </w:rPr>
        <w:t>‑</w:t>
      </w:r>
      <w:r>
        <w:rPr>
          <w:rFonts w:ascii="Arial" w:cs="Arial" w:eastAsia="Arial" w:hAnsi="Arial"/>
          <w:sz w:val="16"/>
          <w:szCs w:val="16"/>
          <w:color w:val="auto"/>
        </w:rPr>
        <w:t>approval commitments that render the approved medicine not commercially viable.</w:t>
      </w:r>
    </w:p>
    <w:p>
      <w:pPr>
        <w:spacing w:after="0" w:line="163"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6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any product candidates we may develop from being marketed in such jurisdictions, which, in turn, would materially impair our ability to generate revenue.</w:t>
      </w:r>
    </w:p>
    <w:p>
      <w:pPr>
        <w:spacing w:after="0" w:line="124"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In order to market and sell any product candidates we may develop in the European Union and many other foreign jurisdictions, we or our third</w:t>
      </w:r>
      <w:r>
        <w:rPr>
          <w:rFonts w:ascii="MS PGothic" w:cs="MS PGothic" w:eastAsia="MS PGothic" w:hAnsi="MS PGothic"/>
          <w:sz w:val="17"/>
          <w:szCs w:val="17"/>
          <w:color w:val="auto"/>
        </w:rPr>
        <w:t>‑</w:t>
      </w:r>
      <w:r>
        <w:rPr>
          <w:rFonts w:ascii="Arial" w:cs="Arial" w:eastAsia="Arial" w:hAnsi="Arial"/>
          <w:sz w:val="17"/>
          <w:szCs w:val="17"/>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163"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64"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b w:val="1"/>
          <w:bCs w:val="1"/>
          <w:i w:val="1"/>
          <w:iCs w:val="1"/>
          <w:color w:val="auto"/>
        </w:rPr>
        <w:t>Even if we, or any collaborators we may have, obtain marketing approvals for any product candidates we develop, the terms of approvals and ongoing regulation of our products could require the substantial expenditure of resources and may limit how we, or they, manufacture and market our products, which could materially impair our ability to generate revenue.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product candidate for which we obtain marketing approval, along with the manufacturing processes,</w:t>
      </w:r>
    </w:p>
    <w:p>
      <w:pPr>
        <w:spacing w:after="0" w:line="176" w:lineRule="exact"/>
        <w:rPr>
          <w:sz w:val="20"/>
          <w:szCs w:val="20"/>
          <w:color w:val="auto"/>
        </w:rPr>
      </w:pPr>
      <w:r>
        <w:rPr>
          <w:rFonts w:ascii="Arial" w:cs="Arial" w:eastAsia="Arial" w:hAnsi="Arial"/>
          <w:sz w:val="17"/>
          <w:szCs w:val="17"/>
          <w:color w:val="auto"/>
        </w:rPr>
        <w:t>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advertising, and promotional activities for such medicine, will be subject to continual</w:t>
      </w:r>
    </w:p>
    <w:p>
      <w:pPr>
        <w:spacing w:after="0" w:line="229" w:lineRule="auto"/>
        <w:rPr>
          <w:sz w:val="20"/>
          <w:szCs w:val="20"/>
          <w:color w:val="auto"/>
        </w:rPr>
      </w:pPr>
      <w:r>
        <w:rPr>
          <w:rFonts w:ascii="Arial" w:cs="Arial" w:eastAsia="Arial" w:hAnsi="Arial"/>
          <w:sz w:val="16"/>
          <w:szCs w:val="16"/>
          <w:color w:val="auto"/>
        </w:rPr>
        <w:t>requirements of and review by the FDA and other regulatory authorities. These requirements include submissions of safety</w:t>
      </w:r>
    </w:p>
    <w:p>
      <w:pPr>
        <w:spacing w:after="0" w:line="176" w:lineRule="exact"/>
        <w:rPr>
          <w:sz w:val="20"/>
          <w:szCs w:val="20"/>
          <w:color w:val="auto"/>
        </w:rPr>
      </w:pPr>
      <w:r>
        <w:rPr>
          <w:rFonts w:ascii="Arial" w:cs="Arial" w:eastAsia="Arial" w:hAnsi="Arial"/>
          <w:sz w:val="17"/>
          <w:szCs w:val="17"/>
          <w:color w:val="auto"/>
        </w:rPr>
        <w:t>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and listing requirements, cGMP requirements relating to</w:t>
      </w:r>
    </w:p>
    <w:p>
      <w:pPr>
        <w:spacing w:after="0"/>
        <w:rPr>
          <w:sz w:val="20"/>
          <w:szCs w:val="20"/>
          <w:color w:val="auto"/>
        </w:rPr>
      </w:pPr>
      <w:r>
        <w:rPr>
          <w:rFonts w:ascii="Arial" w:cs="Arial" w:eastAsia="Arial" w:hAnsi="Arial"/>
          <w:sz w:val="18"/>
          <w:szCs w:val="18"/>
          <w:color w:val="auto"/>
        </w:rPr>
        <w:t>quality control, quality assurance and corresponding maintenance of records and documents,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9"/>
        <w:spacing w:after="0" w:line="189" w:lineRule="exact"/>
        <w:rPr>
          <w:sz w:val="20"/>
          <w:szCs w:val="20"/>
          <w:color w:val="auto"/>
        </w:rPr>
      </w:pPr>
      <w:r>
        <w:rPr>
          <w:rFonts w:ascii="Arial" w:cs="Arial" w:eastAsia="Arial" w:hAnsi="Arial"/>
          <w:sz w:val="18"/>
          <w:szCs w:val="18"/>
          <w:color w:val="auto"/>
        </w:rPr>
        <w:t>and requirements regarding the distribution of samples to physicians and recordkeeping. Even if marketing approval of a product candidate is granted, the approval may be subject to limitations on the indicated uses for which the medicine may be marketed or to the conditions of approval, or contain requirements for costly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to monitor the safety or efficacy of the medicine.</w:t>
      </w:r>
    </w:p>
    <w:p>
      <w:pPr>
        <w:spacing w:after="0" w:line="163" w:lineRule="exact"/>
        <w:rPr>
          <w:sz w:val="20"/>
          <w:szCs w:val="20"/>
          <w:color w:val="auto"/>
        </w:rPr>
      </w:pPr>
    </w:p>
    <w:p>
      <w:pPr>
        <w:ind w:right="39" w:firstLine="648"/>
        <w:spacing w:after="0" w:line="182" w:lineRule="exact"/>
        <w:rPr>
          <w:sz w:val="20"/>
          <w:szCs w:val="20"/>
          <w:color w:val="auto"/>
        </w:rPr>
      </w:pPr>
      <w:r>
        <w:rPr>
          <w:rFonts w:ascii="Arial" w:cs="Arial" w:eastAsia="Arial" w:hAnsi="Arial"/>
          <w:sz w:val="17"/>
          <w:szCs w:val="17"/>
          <w:color w:val="auto"/>
        </w:rPr>
        <w:t>Accordingly, assuming we, or any collaborators we may have, receive marketing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w:t>
      </w:r>
      <w:r>
        <w:rPr>
          <w:rFonts w:ascii="MS PGothic" w:cs="MS PGothic" w:eastAsia="MS PGothic" w:hAnsi="MS PGothic"/>
          <w:sz w:val="17"/>
          <w:szCs w:val="17"/>
          <w:color w:val="auto"/>
        </w:rPr>
        <w:t>‑</w:t>
      </w:r>
      <w:r>
        <w:rPr>
          <w:rFonts w:ascii="Arial" w:cs="Arial" w:eastAsia="Arial" w:hAnsi="Arial"/>
          <w:sz w:val="17"/>
          <w:szCs w:val="17"/>
          <w:color w:val="auto"/>
        </w:rPr>
        <w:t>approval regulatory requirements, we and such collaborators could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w:t>
      </w:r>
      <w:r>
        <w:rPr>
          <w:rFonts w:ascii="MS PGothic" w:cs="MS PGothic" w:eastAsia="MS PGothic" w:hAnsi="MS PGothic"/>
          <w:sz w:val="17"/>
          <w:szCs w:val="17"/>
          <w:color w:val="auto"/>
        </w:rPr>
        <w:t>‑</w:t>
      </w:r>
      <w:r>
        <w:rPr>
          <w:rFonts w:ascii="Arial" w:cs="Arial" w:eastAsia="Arial" w:hAnsi="Arial"/>
          <w:sz w:val="17"/>
          <w:szCs w:val="17"/>
          <w:color w:val="auto"/>
        </w:rPr>
        <w:t>approval regulations may have a negative effect on our business, operating results, financial condition, and prospects.</w:t>
      </w:r>
    </w:p>
    <w:p>
      <w:pPr>
        <w:spacing w:after="0" w:line="168" w:lineRule="exact"/>
        <w:rPr>
          <w:sz w:val="20"/>
          <w:szCs w:val="20"/>
          <w:color w:val="auto"/>
        </w:rPr>
      </w:pPr>
    </w:p>
    <w:p>
      <w:pPr>
        <w:ind w:right="279"/>
        <w:spacing w:after="0" w:line="259" w:lineRule="auto"/>
        <w:rPr>
          <w:sz w:val="20"/>
          <w:szCs w:val="20"/>
          <w:color w:val="auto"/>
        </w:rPr>
      </w:pPr>
      <w:r>
        <w:rPr>
          <w:rFonts w:ascii="Arial" w:cs="Arial" w:eastAsia="Arial" w:hAnsi="Arial"/>
          <w:sz w:val="16"/>
          <w:szCs w:val="16"/>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p>
    <w:p>
      <w:pPr>
        <w:spacing w:after="0" w:line="147" w:lineRule="exact"/>
        <w:rPr>
          <w:sz w:val="20"/>
          <w:szCs w:val="20"/>
          <w:color w:val="auto"/>
        </w:rPr>
      </w:pPr>
    </w:p>
    <w:p>
      <w:pPr>
        <w:ind w:right="19" w:firstLine="648"/>
        <w:spacing w:after="0" w:line="182" w:lineRule="exact"/>
        <w:rPr>
          <w:sz w:val="20"/>
          <w:szCs w:val="20"/>
          <w:color w:val="auto"/>
        </w:rPr>
      </w:pPr>
      <w:r>
        <w:rPr>
          <w:rFonts w:ascii="Arial" w:cs="Arial" w:eastAsia="Arial" w:hAnsi="Arial"/>
          <w:sz w:val="16"/>
          <w:szCs w:val="16"/>
          <w:color w:val="auto"/>
        </w:rPr>
        <w:t>The FDA and other regulatory agencies closely regulate the post</w:t>
      </w:r>
      <w:r>
        <w:rPr>
          <w:rFonts w:ascii="MS PGothic" w:cs="MS PGothic" w:eastAsia="MS PGothic" w:hAnsi="MS PGothic"/>
          <w:sz w:val="16"/>
          <w:szCs w:val="16"/>
          <w:color w:val="auto"/>
        </w:rPr>
        <w:t>‑</w:t>
      </w:r>
      <w:r>
        <w:rPr>
          <w:rFonts w:ascii="Arial" w:cs="Arial" w:eastAsia="Arial" w:hAnsi="Arial"/>
          <w:sz w:val="16"/>
          <w:szCs w:val="16"/>
          <w:color w:val="auto"/>
        </w:rPr>
        <w: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w:t>
      </w:r>
      <w:r>
        <w:rPr>
          <w:rFonts w:ascii="MS PGothic" w:cs="MS PGothic" w:eastAsia="MS PGothic" w:hAnsi="MS PGothic"/>
          <w:sz w:val="16"/>
          <w:szCs w:val="16"/>
          <w:color w:val="auto"/>
        </w:rPr>
        <w:t>‑</w:t>
      </w:r>
      <w:r>
        <w:rPr>
          <w:rFonts w:ascii="Arial" w:cs="Arial" w:eastAsia="Arial" w:hAnsi="Arial"/>
          <w:sz w:val="16"/>
          <w:szCs w:val="16"/>
          <w:color w:val="auto"/>
        </w:rPr>
        <w:t>label use, and if we do not market our medicines for their approved indications, we may be subject to enforcement action for off</w:t>
      </w:r>
      <w:r>
        <w:rPr>
          <w:rFonts w:ascii="MS PGothic" w:cs="MS PGothic" w:eastAsia="MS PGothic" w:hAnsi="MS PGothic"/>
          <w:sz w:val="16"/>
          <w:szCs w:val="16"/>
          <w:color w:val="auto"/>
        </w:rPr>
        <w:t>‑</w:t>
      </w:r>
      <w:r>
        <w:rPr>
          <w:rFonts w:ascii="Arial" w:cs="Arial" w:eastAsia="Arial" w:hAnsi="Arial"/>
          <w:sz w:val="16"/>
          <w:szCs w:val="16"/>
          <w:color w:val="auto"/>
        </w:rPr>
        <w:t>label marketing by the FDA and other federal and state enforcement agencies, including the Department of Justice. Violation of the Federal Food, Product, and Cosmetic Act and other statutes, including the False Claims Act, relating to the promotion and advertising of prescription products may also lead to investigations or allegations of violations of federal and state health care fraud and abuse laws and state consumer protection laws.</w:t>
      </w:r>
    </w:p>
    <w:p>
      <w:pPr>
        <w:spacing w:after="0" w:line="167" w:lineRule="exact"/>
        <w:rPr>
          <w:sz w:val="20"/>
          <w:szCs w:val="20"/>
          <w:color w:val="auto"/>
        </w:rPr>
      </w:pPr>
    </w:p>
    <w:p>
      <w:pPr>
        <w:ind w:right="139" w:firstLine="648"/>
        <w:spacing w:after="0" w:line="235" w:lineRule="auto"/>
        <w:rPr>
          <w:sz w:val="20"/>
          <w:szCs w:val="20"/>
          <w:color w:val="auto"/>
        </w:rPr>
      </w:pPr>
      <w:r>
        <w:rPr>
          <w:rFonts w:ascii="Arial" w:cs="Arial" w:eastAsia="Arial" w:hAnsi="Arial"/>
          <w:sz w:val="18"/>
          <w:szCs w:val="18"/>
          <w:color w:val="auto"/>
        </w:rPr>
        <w:t>In addition, later discovery of previously unknown problems with our medicines, manufacturers, or manufacturing processes, or failure to comply with regulatory requirements, may yield various results, including:</w:t>
      </w:r>
    </w:p>
    <w:p>
      <w:pPr>
        <w:spacing w:after="0" w:line="162" w:lineRule="exact"/>
        <w:rPr>
          <w:sz w:val="20"/>
          <w:szCs w:val="20"/>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such medicines, manufacturers, or manufacturing processes;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labeling or marketing of a medicine;</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distribution or use of a medicine;</w:t>
      </w:r>
    </w:p>
    <w:p>
      <w:pPr>
        <w:spacing w:after="0" w:line="18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receipt of warning or untitled letters;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the medicines from the market;</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recall of medicines;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permit the import or export of our medicines;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may develop and adversely affect our business, financial condition, results of operations, and prospects.</w:t>
      </w:r>
    </w:p>
    <w:p>
      <w:pPr>
        <w:spacing w:after="0" w:line="163" w:lineRule="exact"/>
        <w:rPr>
          <w:sz w:val="20"/>
          <w:szCs w:val="20"/>
          <w:color w:val="auto"/>
        </w:rPr>
      </w:pPr>
    </w:p>
    <w:p>
      <w:pPr>
        <w:ind w:right="20"/>
        <w:spacing w:after="0" w:line="194" w:lineRule="exact"/>
        <w:rPr>
          <w:sz w:val="20"/>
          <w:szCs w:val="20"/>
          <w:color w:val="auto"/>
        </w:rPr>
      </w:pPr>
      <w:r>
        <w:rPr>
          <w:rFonts w:ascii="Arial" w:cs="Arial" w:eastAsia="Arial" w:hAnsi="Arial"/>
          <w:sz w:val="17"/>
          <w:szCs w:val="17"/>
          <w:b w:val="1"/>
          <w:bCs w:val="1"/>
          <w:i w:val="1"/>
          <w:iCs w:val="1"/>
          <w:color w:val="auto"/>
        </w:rPr>
        <w:t>Our relationships with healthcare providers, physicians, and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payors will be subject to applicable anti</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kickback, fraud and abuse, and other healthcare laws and regulations, which could expose us to criminal sanctions, civil penalties, contractual damages, reputational harm, and diminished profits and future earnings.</w:t>
      </w:r>
    </w:p>
    <w:p>
      <w:pPr>
        <w:spacing w:after="0" w:line="161" w:lineRule="exact"/>
        <w:rPr>
          <w:sz w:val="20"/>
          <w:szCs w:val="20"/>
          <w:color w:val="auto"/>
        </w:rPr>
      </w:pPr>
    </w:p>
    <w:p>
      <w:pPr>
        <w:ind w:right="40" w:firstLine="648"/>
        <w:spacing w:after="0" w:line="185" w:lineRule="exact"/>
        <w:rPr>
          <w:sz w:val="20"/>
          <w:szCs w:val="20"/>
          <w:color w:val="auto"/>
        </w:rPr>
      </w:pPr>
      <w:r>
        <w:rPr>
          <w:rFonts w:ascii="Arial" w:cs="Arial" w:eastAsia="Arial" w:hAnsi="Arial"/>
          <w:sz w:val="18"/>
          <w:szCs w:val="18"/>
          <w:color w:val="auto"/>
        </w:rPr>
        <w:t>Healthcare providers, physicians, and third</w:t>
      </w:r>
      <w:r>
        <w:rPr>
          <w:rFonts w:ascii="MS PGothic" w:cs="MS PGothic" w:eastAsia="MS PGothic" w:hAnsi="MS PGothic"/>
          <w:sz w:val="18"/>
          <w:szCs w:val="18"/>
          <w:color w:val="auto"/>
        </w:rPr>
        <w:t>‑</w:t>
      </w:r>
      <w:r>
        <w:rPr>
          <w:rFonts w:ascii="Arial" w:cs="Arial" w:eastAsia="Arial" w:hAnsi="Arial"/>
          <w:sz w:val="18"/>
          <w:szCs w:val="18"/>
          <w:color w:val="auto"/>
        </w:rPr>
        <w:t>party payors play a primary role in the recommendation and prescription of any product candidates that we may develop for which we obtain marketing approval. Our future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include the following:</w:t>
      </w:r>
    </w:p>
    <w:p>
      <w:pPr>
        <w:spacing w:after="0" w:line="162" w:lineRule="exact"/>
        <w:rPr>
          <w:sz w:val="20"/>
          <w:szCs w:val="20"/>
          <w:color w:val="auto"/>
        </w:rPr>
      </w:pPr>
    </w:p>
    <w:p>
      <w:pPr>
        <w:ind w:left="980" w:right="20" w:hanging="329"/>
        <w:spacing w:after="0" w:line="187" w:lineRule="exact"/>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healthcare anti</w:t>
      </w:r>
      <w:r>
        <w:rPr>
          <w:rFonts w:ascii="MS PGothic" w:cs="MS PGothic" w:eastAsia="MS PGothic" w:hAnsi="MS PGothic"/>
          <w:sz w:val="18"/>
          <w:szCs w:val="18"/>
          <w:color w:val="auto"/>
        </w:rPr>
        <w:t>‑</w:t>
      </w:r>
      <w:r>
        <w:rPr>
          <w:rFonts w:ascii="Arial" w:cs="Arial" w:eastAsia="Arial" w:hAnsi="Arial"/>
          <w:sz w:val="18"/>
          <w:szCs w:val="18"/>
          <w:color w:val="auto"/>
        </w:rPr>
        <w:t>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62" w:lineRule="exact"/>
        <w:rPr>
          <w:rFonts w:ascii="Arial" w:cs="Arial" w:eastAsia="Arial" w:hAnsi="Arial"/>
          <w:sz w:val="18"/>
          <w:szCs w:val="18"/>
          <w:color w:val="auto"/>
        </w:rPr>
      </w:pPr>
    </w:p>
    <w:p>
      <w:pPr>
        <w:ind w:left="980" w:right="100" w:hanging="329"/>
        <w:spacing w:after="0" w:line="185" w:lineRule="exact"/>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including civil whistleblower or qui tam actions, against individuals or entities for knowingly presenting, or causing to be presented, to the federal government, claims for payment or approval from Medicare, Medicaid, or other government payors that are false or fraudulent or making a false statement to avoid, decrease, or conceal an obligation to pay money to the federal government, with potential liability including mandatory treble damages and significant per</w:t>
      </w:r>
      <w:r>
        <w:rPr>
          <w:rFonts w:ascii="MS PGothic" w:cs="MS PGothic" w:eastAsia="MS PGothic" w:hAnsi="MS PGothic"/>
          <w:sz w:val="17"/>
          <w:szCs w:val="17"/>
          <w:color w:val="auto"/>
        </w:rPr>
        <w:t>‑</w:t>
      </w:r>
      <w:r>
        <w:rPr>
          <w:rFonts w:ascii="Arial" w:cs="Arial" w:eastAsia="Arial" w:hAnsi="Arial"/>
          <w:sz w:val="17"/>
          <w:szCs w:val="17"/>
          <w:color w:val="auto"/>
        </w:rPr>
        <w:t>claim penalties, currently set at $5,500 to $11,000 per false claim;</w:t>
      </w:r>
    </w:p>
    <w:p>
      <w:pPr>
        <w:spacing w:after="0" w:line="165" w:lineRule="exact"/>
        <w:rPr>
          <w:rFonts w:ascii="Arial" w:cs="Arial" w:eastAsia="Arial" w:hAnsi="Arial"/>
          <w:sz w:val="17"/>
          <w:szCs w:val="17"/>
          <w:color w:val="auto"/>
        </w:rPr>
      </w:pPr>
    </w:p>
    <w:p>
      <w:pPr>
        <w:ind w:left="980" w:hanging="329"/>
        <w:spacing w:after="0" w:line="229"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as further amended by the Health Information Technology for Economic and Clinical Health Act, which imposes certain requirements, including mandatory contractual terms, with respect to safeguarding the privacy, security, and transmission of individually identifiable health information without appropriate authorization by entities subject to the rule, such as health plans, health care clearinghouses, and health care providers;</w:t>
      </w:r>
    </w:p>
    <w:p>
      <w:pPr>
        <w:spacing w:after="0" w:line="161" w:lineRule="exact"/>
        <w:rPr>
          <w:rFonts w:ascii="Arial" w:cs="Arial" w:eastAsia="Arial" w:hAnsi="Arial"/>
          <w:sz w:val="17"/>
          <w:szCs w:val="17"/>
          <w:color w:val="auto"/>
        </w:rPr>
      </w:pPr>
    </w:p>
    <w:p>
      <w:pPr>
        <w:ind w:left="980" w:right="100" w:hanging="329"/>
        <w:spacing w:after="0" w:line="22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63" w:lineRule="exact"/>
        <w:rPr>
          <w:rFonts w:ascii="Arial" w:cs="Arial" w:eastAsia="Arial" w:hAnsi="Arial"/>
          <w:sz w:val="18"/>
          <w:szCs w:val="18"/>
          <w:color w:val="auto"/>
        </w:rPr>
      </w:pPr>
    </w:p>
    <w:p>
      <w:pPr>
        <w:ind w:left="980" w:right="220" w:hanging="329"/>
        <w:spacing w:after="0" w:line="229"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transparency requirements under the federal Physician Payment Sunshine Act, which requires manufacturers of drugs, devices, biologics, and medical supplies to report to the Department of Health and Human Services information related to payments and other transfers of value to physicians and teaching hospitals, and ownership and investment interests held by physicians and other healthcare providers and their immediate family members and applicable group purchasing organizations; and</w:t>
      </w:r>
    </w:p>
    <w:p>
      <w:pPr>
        <w:spacing w:after="0" w:line="161" w:lineRule="exact"/>
        <w:rPr>
          <w:rFonts w:ascii="Arial" w:cs="Arial" w:eastAsia="Arial" w:hAnsi="Arial"/>
          <w:sz w:val="17"/>
          <w:szCs w:val="17"/>
          <w:color w:val="auto"/>
        </w:rPr>
      </w:pPr>
    </w:p>
    <w:p>
      <w:pPr>
        <w:ind w:left="980" w:right="340" w:hanging="329"/>
        <w:spacing w:after="0" w:line="203" w:lineRule="exact"/>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w:t>
      </w:r>
      <w:r>
        <w:rPr>
          <w:rFonts w:ascii="MS PGothic" w:cs="MS PGothic" w:eastAsia="MS PGothic" w:hAnsi="MS PGothic"/>
          <w:sz w:val="16"/>
          <w:szCs w:val="16"/>
          <w:color w:val="auto"/>
        </w:rPr>
        <w:t>‑</w:t>
      </w:r>
      <w:r>
        <w:rPr>
          <w:rFonts w:ascii="Arial" w:cs="Arial" w:eastAsia="Arial" w:hAnsi="Arial"/>
          <w:sz w:val="16"/>
          <w:szCs w:val="16"/>
          <w:color w:val="auto"/>
        </w:rPr>
        <w:t>kickback and false claims laws, which may apply to sales or marketing arrangements and claims involving healthcare items or services reimbursed by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160"/>
        <w:spacing w:after="0" w:line="18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governmental third</w:t>
      </w:r>
      <w:r>
        <w:rPr>
          <w:rFonts w:ascii="MS PGothic" w:cs="MS PGothic" w:eastAsia="MS PGothic" w:hAnsi="MS PGothic"/>
          <w:sz w:val="18"/>
          <w:szCs w:val="18"/>
          <w:color w:val="auto"/>
        </w:rPr>
        <w:t>‑</w:t>
      </w:r>
      <w:r>
        <w:rPr>
          <w:rFonts w:ascii="Arial" w:cs="Arial" w:eastAsia="Arial" w:hAnsi="Arial"/>
          <w:sz w:val="18"/>
          <w:szCs w:val="18"/>
          <w:color w:val="auto"/>
        </w:rPr>
        <w:t>party payors, including private insurers, and certain state laws that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w:t>
      </w:r>
    </w:p>
    <w:p>
      <w:pPr>
        <w:spacing w:after="0" w:line="162"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161" w:lineRule="exact"/>
        <w:rPr>
          <w:sz w:val="20"/>
          <w:szCs w:val="20"/>
          <w:color w:val="auto"/>
        </w:rPr>
      </w:pPr>
    </w:p>
    <w:p>
      <w:pPr>
        <w:jc w:val="both"/>
        <w:ind w:right="240" w:firstLine="648"/>
        <w:spacing w:after="0" w:line="189" w:lineRule="exact"/>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w:t>
      </w:r>
      <w:r>
        <w:rPr>
          <w:rFonts w:ascii="MS PGothic" w:cs="MS PGothic" w:eastAsia="MS PGothic" w:hAnsi="MS PGothic"/>
          <w:sz w:val="16"/>
          <w:szCs w:val="16"/>
          <w:color w:val="auto"/>
        </w:rPr>
        <w:t>‑</w:t>
      </w:r>
      <w:r>
        <w:rPr>
          <w:rFonts w:ascii="Arial" w:cs="Arial" w:eastAsia="Arial" w:hAnsi="Arial"/>
          <w:sz w:val="16"/>
          <w:szCs w:val="16"/>
          <w:color w:val="auto"/>
        </w:rPr>
        <w:t>bribery laws of European Union Member States, such as the UK Bribery Act 2010. Infringement of these laws could result in substantial fines and imprisonment.</w:t>
      </w:r>
    </w:p>
    <w:p>
      <w:pPr>
        <w:spacing w:after="0" w:line="164"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6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167" w:lineRule="exact"/>
        <w:rPr>
          <w:sz w:val="20"/>
          <w:szCs w:val="20"/>
          <w:color w:val="auto"/>
        </w:rPr>
      </w:pPr>
    </w:p>
    <w:p>
      <w:pPr>
        <w:ind w:right="440"/>
        <w:spacing w:after="0" w:line="289" w:lineRule="auto"/>
        <w:rPr>
          <w:sz w:val="20"/>
          <w:szCs w:val="20"/>
          <w:color w:val="auto"/>
        </w:rPr>
      </w:pPr>
      <w:r>
        <w:rPr>
          <w:rFonts w:ascii="Arial" w:cs="Arial" w:eastAsia="Arial" w:hAnsi="Arial"/>
          <w:sz w:val="16"/>
          <w:szCs w:val="16"/>
          <w:b w:val="1"/>
          <w:bCs w:val="1"/>
          <w:i w:val="1"/>
          <w:iCs w:val="1"/>
          <w:color w:val="auto"/>
        </w:rPr>
        <w:t>The efforts of the Administration to pursue regulatory reform may limit the FDA’s ability to engage in oversight and implementation activities in the normal course, and that could negatively impact our business.</w:t>
      </w:r>
    </w:p>
    <w:p>
      <w:pPr>
        <w:spacing w:after="0" w:line="84"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administration indicates that the “two-for-one” provisions may apply not only to agency regulations, but also to significant agency guidance documents. It is difficult to predict how these requirements will be implemented,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60"/>
        <w:spacing w:after="0" w:line="224" w:lineRule="auto"/>
        <w:rPr>
          <w:sz w:val="20"/>
          <w:szCs w:val="20"/>
          <w:color w:val="auto"/>
        </w:rPr>
      </w:pPr>
      <w:r>
        <w:rPr>
          <w:rFonts w:ascii="Arial" w:cs="Arial" w:eastAsia="Arial" w:hAnsi="Arial"/>
          <w:sz w:val="18"/>
          <w:szCs w:val="18"/>
          <w:color w:val="auto"/>
        </w:rPr>
        <w:t>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3" w:lineRule="exact"/>
        <w:rPr>
          <w:sz w:val="20"/>
          <w:szCs w:val="20"/>
          <w:color w:val="auto"/>
        </w:rPr>
      </w:pPr>
    </w:p>
    <w:p>
      <w:pPr>
        <w:jc w:val="both"/>
        <w:ind w:right="140"/>
        <w:spacing w:after="0" w:line="324" w:lineRule="auto"/>
        <w:rPr>
          <w:sz w:val="20"/>
          <w:szCs w:val="20"/>
          <w:color w:val="auto"/>
        </w:rPr>
      </w:pPr>
      <w:r>
        <w:rPr>
          <w:rFonts w:ascii="Arial" w:cs="Arial" w:eastAsia="Arial" w:hAnsi="Arial"/>
          <w:sz w:val="15"/>
          <w:szCs w:val="15"/>
          <w:b w:val="1"/>
          <w:bCs w:val="1"/>
          <w:i w:val="1"/>
          <w:iCs w:val="1"/>
          <w:color w:val="auto"/>
        </w:rPr>
        <w:t>Recently enacted and future legislation may increase the difficulty and cost for us and any future collaborators to obtain marketing approval of and commercialize our product candidates and affect the prices we, or they, may obtain.</w:t>
      </w:r>
    </w:p>
    <w:p>
      <w:pPr>
        <w:spacing w:after="0" w:line="10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65"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In the United States, the Medicare Prescription Drug, Improvement, and Modernization Act of 2003 (the “Medicare Modernization Act”), changed the way Medicare covers and pays for pharmaceutical products. The legislation expanded Medicare coverage for drug purchases by the elderly and introduced a new reimbursement methodology based on average sales prices for physician 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8"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Act (the “PPACA”), which became law in 2010, contains provisions of importance to our business, including, without limitation, our ability to commercialize and the prices we may obtain for any of our product candidates and that are approved for sale, the following:</w:t>
      </w:r>
    </w:p>
    <w:p>
      <w:pPr>
        <w:spacing w:after="0" w:line="163" w:lineRule="exact"/>
        <w:rPr>
          <w:sz w:val="20"/>
          <w:szCs w:val="20"/>
          <w:color w:val="auto"/>
        </w:rPr>
      </w:pPr>
    </w:p>
    <w:p>
      <w:pPr>
        <w:ind w:left="1300" w:right="300" w:hanging="649"/>
        <w:spacing w:after="0" w:line="235"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61" w:lineRule="exact"/>
        <w:rPr>
          <w:rFonts w:ascii="Arial" w:cs="Arial" w:eastAsia="Arial" w:hAnsi="Arial"/>
          <w:sz w:val="18"/>
          <w:szCs w:val="18"/>
          <w:color w:val="auto"/>
        </w:rPr>
      </w:pPr>
    </w:p>
    <w:p>
      <w:pPr>
        <w:ind w:left="1300" w:right="300" w:hanging="649"/>
        <w:spacing w:after="0" w:line="235"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61" w:lineRule="exact"/>
        <w:rPr>
          <w:rFonts w:ascii="Arial" w:cs="Arial" w:eastAsia="Arial" w:hAnsi="Arial"/>
          <w:sz w:val="18"/>
          <w:szCs w:val="18"/>
          <w:color w:val="auto"/>
        </w:rPr>
      </w:pPr>
    </w:p>
    <w:p>
      <w:pPr>
        <w:ind w:left="1300" w:right="540" w:hanging="649"/>
        <w:spacing w:after="0" w:line="289"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expansion of federal healthcare fraud and abuse laws, including the False Claims Act and the Anti-Kickback Statute, new government investigative powers and enhanced penalties for noncompliance;</w:t>
      </w:r>
    </w:p>
    <w:p>
      <w:pPr>
        <w:spacing w:after="0" w:line="124" w:lineRule="exact"/>
        <w:rPr>
          <w:rFonts w:ascii="Arial" w:cs="Arial" w:eastAsia="Arial" w:hAnsi="Arial"/>
          <w:sz w:val="16"/>
          <w:szCs w:val="16"/>
          <w:color w:val="auto"/>
        </w:rPr>
      </w:pPr>
    </w:p>
    <w:p>
      <w:pPr>
        <w:ind w:left="1300" w:right="220" w:hanging="649"/>
        <w:spacing w:after="0" w:line="235"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161" w:lineRule="exact"/>
        <w:rPr>
          <w:rFonts w:ascii="Arial" w:cs="Arial" w:eastAsia="Arial" w:hAnsi="Arial"/>
          <w:sz w:val="18"/>
          <w:szCs w:val="18"/>
          <w:color w:val="auto"/>
        </w:rPr>
      </w:pPr>
    </w:p>
    <w:p>
      <w:pPr>
        <w:ind w:left="1300" w:hanging="64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84" w:lineRule="exact"/>
        <w:rPr>
          <w:rFonts w:ascii="Arial" w:cs="Arial" w:eastAsia="Arial" w:hAnsi="Arial"/>
          <w:sz w:val="18"/>
          <w:szCs w:val="18"/>
          <w:color w:val="auto"/>
        </w:rPr>
      </w:pPr>
    </w:p>
    <w:p>
      <w:pPr>
        <w:ind w:left="1300" w:hanging="64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84" w:lineRule="exact"/>
        <w:rPr>
          <w:rFonts w:ascii="Arial" w:cs="Arial" w:eastAsia="Arial" w:hAnsi="Arial"/>
          <w:sz w:val="18"/>
          <w:szCs w:val="18"/>
          <w:color w:val="auto"/>
        </w:rPr>
      </w:pPr>
    </w:p>
    <w:p>
      <w:pPr>
        <w:ind w:left="1300" w:right="400" w:hanging="649"/>
        <w:spacing w:after="0" w:line="289"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expansion of the entities eligible for discounts under the Public Health Service pharmaceutical pricing program new requirements to report financial arrangements with physicians and teaching hospitals;</w:t>
      </w:r>
    </w:p>
    <w:p>
      <w:pPr>
        <w:spacing w:after="0" w:line="124" w:lineRule="exact"/>
        <w:rPr>
          <w:rFonts w:ascii="Arial" w:cs="Arial" w:eastAsia="Arial" w:hAnsi="Arial"/>
          <w:sz w:val="16"/>
          <w:szCs w:val="16"/>
          <w:color w:val="auto"/>
        </w:rPr>
      </w:pPr>
    </w:p>
    <w:p>
      <w:pPr>
        <w:ind w:left="1300" w:right="760" w:hanging="649"/>
        <w:spacing w:after="0" w:line="235"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700" w:hanging="649"/>
        <w:spacing w:after="0" w:line="258" w:lineRule="auto"/>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47"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color w:val="auto"/>
        </w:rPr>
        <w:t>In addition,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2024 unless additional Congressional action is taken.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66" w:lineRule="exact"/>
        <w:rPr>
          <w:sz w:val="20"/>
          <w:szCs w:val="20"/>
          <w:color w:val="auto"/>
        </w:rPr>
      </w:pPr>
    </w:p>
    <w:p>
      <w:pPr>
        <w:ind w:right="140" w:firstLine="648"/>
        <w:spacing w:after="0" w:line="225" w:lineRule="auto"/>
        <w:rPr>
          <w:sz w:val="20"/>
          <w:szCs w:val="20"/>
          <w:color w:val="auto"/>
        </w:rPr>
      </w:pPr>
      <w:r>
        <w:rPr>
          <w:rFonts w:ascii="Arial" w:cs="Arial" w:eastAsia="Arial" w:hAnsi="Arial"/>
          <w:sz w:val="17"/>
          <w:szCs w:val="17"/>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potential products are prescribed or administered. Any reduction in reimbursement from Medicare or other government programs may result in a similar reduction in payments from private payors.</w:t>
      </w:r>
    </w:p>
    <w:p>
      <w:pPr>
        <w:spacing w:after="0" w:line="162" w:lineRule="exact"/>
        <w:rPr>
          <w:sz w:val="20"/>
          <w:szCs w:val="20"/>
          <w:color w:val="auto"/>
        </w:rPr>
      </w:pPr>
    </w:p>
    <w:p>
      <w:pPr>
        <w:ind w:right="60" w:firstLine="648"/>
        <w:spacing w:after="0" w:line="222" w:lineRule="auto"/>
        <w:rPr>
          <w:sz w:val="20"/>
          <w:szCs w:val="20"/>
          <w:color w:val="auto"/>
        </w:rPr>
      </w:pPr>
      <w:r>
        <w:rPr>
          <w:rFonts w:ascii="Arial" w:cs="Arial" w:eastAsia="Arial" w:hAnsi="Arial"/>
          <w:sz w:val="17"/>
          <w:szCs w:val="17"/>
          <w:color w:val="auto"/>
        </w:rPr>
        <w:t>With the new Trump Administration and Congress, there may be additional legislative changes, including potentially repeal and replacement of certain provisions of the PPACA. For example, with enactment of the Tax Cuts and Jobs Act of 2017, which was signed by the President on December 22, 2017, Congress repealed the “individual mandate” of the PPACA.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Further, each chamber of the Congress has put forth multiple bills designed to repeal or repeal and replace portions of the PPACA. Although none of these measures has been enacted by Congress to date, Congress may consider other legislation to repeal and replace elements of the PPACA. The Congress will likely consider other legislation to replace elements of the PPACA, during the next Congressional session.</w:t>
      </w:r>
    </w:p>
    <w:p>
      <w:pPr>
        <w:spacing w:after="0" w:line="164"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PPACA. In January 2017, President Trump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Administration announced that it will discontinue the payment of cost-sharing reduction (“CSR”) payments to insurance companies until Congress approves the appropriation of funds for such CSR payments. The loss of the CSR payments is expected to increase premiums on certain policies issued by qualified health plans under the PPACA. A bipartisan bill to appropriate funds for CSR payments was introduced in the Senate, but the future of that bill is uncertain.</w:t>
      </w:r>
    </w:p>
    <w:p>
      <w:pPr>
        <w:spacing w:after="0" w:line="167"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To date,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The pricing of prescription pharmaceuticals is also subject to governmental control outside the United States. In these countries, pricing negotiations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Fast track designation by the FDA may not actually lead to a faster development or regulatory review or approval process, and does not assure FDA approval of our product candidates.</w:t>
      </w:r>
    </w:p>
    <w:p>
      <w:pPr>
        <w:spacing w:after="0" w:line="162"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If a product candidate is intended for the treatment of a serious or life threatening condition and the product candidate demonstrates the potential to address unmet medical need for this condition, the sponsor may apply for FDA fast track designation. However, a fast track designation does not ensure that the product candidate will receive marketing approval or that approval will be granted within any particular timeframe. As a result, while we may seek and receive fast track designation for our product candidates, we may not experience a faster development process, review or approval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Priority review designation by the FDA may not lead to a faster regulatory review or approval process and, in any event, does not assure FDA approval of our product candidates.</w:t>
      </w:r>
    </w:p>
    <w:p>
      <w:pPr>
        <w:spacing w:after="0" w:line="162"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If the FDA determines that a product candidate offers major advances in treatment or provides a treatment where no adequate therapy exists, the FDA may designate the product candidate for priority review. A priority review designation means that the goal for the FDA to review an application is six months, rather than the standard review period of ten months. We may request priority review for certain of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w:t>
      </w:r>
      <w:r>
        <w:rPr>
          <w:rFonts w:ascii="MS PGothic" w:cs="MS PGothic" w:eastAsia="MS PGothic" w:hAnsi="MS PGothic"/>
          <w:sz w:val="17"/>
          <w:szCs w:val="17"/>
          <w:color w:val="auto"/>
        </w:rPr>
        <w:t>‑</w:t>
      </w:r>
      <w:r>
        <w:rPr>
          <w:rFonts w:ascii="Arial" w:cs="Arial" w:eastAsia="Arial" w:hAnsi="Arial"/>
          <w:sz w:val="17"/>
          <w:szCs w:val="17"/>
          <w:color w:val="auto"/>
        </w:rPr>
        <w:t>month review cycle or thereafter.</w:t>
      </w:r>
    </w:p>
    <w:p>
      <w:pPr>
        <w:spacing w:after="0" w:line="162"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147" w:lineRule="exact"/>
        <w:rPr>
          <w:sz w:val="20"/>
          <w:szCs w:val="20"/>
          <w:color w:val="auto"/>
        </w:rPr>
      </w:pPr>
    </w:p>
    <w:p>
      <w:pPr>
        <w:ind w:right="40" w:firstLine="648"/>
        <w:spacing w:after="0" w:line="210" w:lineRule="auto"/>
        <w:rPr>
          <w:sz w:val="20"/>
          <w:szCs w:val="20"/>
          <w:color w:val="auto"/>
        </w:rPr>
      </w:pPr>
      <w:r>
        <w:rPr>
          <w:rFonts w:ascii="Arial" w:cs="Arial" w:eastAsia="Arial" w:hAnsi="Arial"/>
          <w:sz w:val="18"/>
          <w:szCs w:val="18"/>
          <w:color w:val="auto"/>
        </w:rPr>
        <w:t>Under the Orphan Drug Act, the FDA may designate a product as an orphan drug if it is a drug or biologic intended to treat a rare disease or condition. A similar regulatory scheme governs approval of orphan products by the 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166"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order for the FDA to grant orphan drug exclusivity to one of our products, the agency must find that the product is indicated for the treatment of a condition or disease with a patient population of fewer than 200,000 individuals annually in the United States. The FDA may conclude that the condition or disease for which we seek orphan drug exclusivity does not meet this standard. Even if we obtain orphan drug exclusivity for a product, that exclusivity may not effectively protect the product from competition because different products can be approved for the same condition.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On August 3, 2017, the Congress passed the FDA Reauthorization Act of 2017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2" w:lineRule="exact"/>
        <w:rPr>
          <w:sz w:val="20"/>
          <w:szCs w:val="20"/>
          <w:color w:val="auto"/>
        </w:rPr>
      </w:pPr>
    </w:p>
    <w:p>
      <w:pPr>
        <w:ind w:right="660"/>
        <w:spacing w:after="0" w:line="203" w:lineRule="exact"/>
        <w:rPr>
          <w:sz w:val="20"/>
          <w:szCs w:val="20"/>
          <w:color w:val="auto"/>
        </w:rPr>
      </w:pPr>
      <w:r>
        <w:rPr>
          <w:rFonts w:ascii="Arial" w:cs="Arial" w:eastAsia="Arial" w:hAnsi="Arial"/>
          <w:sz w:val="15"/>
          <w:szCs w:val="15"/>
          <w:b w:val="1"/>
          <w:bCs w:val="1"/>
          <w:i w:val="1"/>
          <w:iCs w:val="1"/>
          <w:color w:val="auto"/>
        </w:rPr>
        <w:t>Our employees, principal investigators, consultants, and commercial partners may engage in misconduct or other improper activities, including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compliance with regulatory standards and requirements and insider trading.</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w:t>
      </w:r>
      <w:r>
        <w:rPr>
          <w:rFonts w:ascii="MS PGothic" w:cs="MS PGothic" w:eastAsia="MS PGothic" w:hAnsi="MS PGothic"/>
          <w:sz w:val="16"/>
          <w:szCs w:val="16"/>
          <w:color w:val="auto"/>
        </w:rPr>
        <w:t>‑</w:t>
      </w:r>
      <w:r>
        <w:rPr>
          <w:rFonts w:ascii="Arial" w:cs="Arial" w:eastAsia="Arial" w:hAnsi="Arial"/>
          <w:sz w:val="16"/>
          <w:szCs w:val="16"/>
          <w:color w:val="auto"/>
        </w:rPr>
        <w:t>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64"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63"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The Foreign Corrupt Practices Act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w:t>
      </w:r>
      <w:r>
        <w:rPr>
          <w:rFonts w:ascii="MS PGothic" w:cs="MS PGothic" w:eastAsia="MS PGothic" w:hAnsi="MS PGothic"/>
          <w:sz w:val="16"/>
          <w:szCs w:val="16"/>
          <w:color w:val="auto"/>
        </w:rPr>
        <w:t>‑</w:t>
      </w:r>
      <w:r>
        <w:rPr>
          <w:rFonts w:ascii="Arial" w:cs="Arial" w:eastAsia="Arial" w:hAnsi="Arial"/>
          <w:sz w:val="16"/>
          <w:szCs w:val="16"/>
          <w:color w:val="auto"/>
        </w:rPr>
        <w:t>bribery provisions of the FCPA are enforced primarily by the Department of Justice. The SEC is involved with enforcement of the books and records provisions of the FCPA.</w:t>
      </w:r>
    </w:p>
    <w:p>
      <w:pPr>
        <w:spacing w:after="0" w:line="167" w:lineRule="exact"/>
        <w:rPr>
          <w:sz w:val="20"/>
          <w:szCs w:val="20"/>
          <w:color w:val="auto"/>
        </w:rPr>
      </w:pPr>
    </w:p>
    <w:p>
      <w:pPr>
        <w:ind w:right="180" w:firstLine="648"/>
        <w:spacing w:after="0" w:line="238"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foreign officials. Certain payments to hospitals in connection with clinical trials and other work have been deemed to be improper payments to government officials and have led to FCPA enforcement actions.</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Various laws, regulations and executive orders also restrict the use and dissemination outside of the United States, or the sharing with certain non</w:t>
      </w:r>
      <w:r>
        <w:rPr>
          <w:rFonts w:ascii="MS PGothic" w:cs="MS PGothic" w:eastAsia="MS PGothic" w:hAnsi="MS PGothic"/>
          <w:sz w:val="16"/>
          <w:szCs w:val="16"/>
          <w:color w:val="auto"/>
        </w:rPr>
        <w:t>‑</w:t>
      </w:r>
      <w:r>
        <w:rPr>
          <w:rFonts w:ascii="Arial" w:cs="Arial" w:eastAsia="Arial" w:hAnsi="Arial"/>
          <w:sz w:val="16"/>
          <w:szCs w:val="16"/>
          <w:color w:val="auto"/>
        </w:rPr>
        <w:t>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w:t>
      </w:r>
      <w:r>
        <w:rPr>
          <w:rFonts w:ascii="MS PGothic" w:cs="MS PGothic" w:eastAsia="MS PGothic" w:hAnsi="MS PGothic"/>
          <w:sz w:val="16"/>
          <w:szCs w:val="16"/>
          <w:color w:val="auto"/>
        </w:rPr>
        <w:t>‑</w:t>
      </w:r>
      <w:r>
        <w:rPr>
          <w:rFonts w:ascii="Arial" w:cs="Arial" w:eastAsia="Arial" w:hAnsi="Arial"/>
          <w:sz w:val="16"/>
          <w:szCs w:val="16"/>
          <w:color w:val="auto"/>
        </w:rPr>
        <w:t>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Information Technology</w:t>
      </w:r>
    </w:p>
    <w:p>
      <w:pPr>
        <w:spacing w:after="0" w:line="189"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Our future success depends on our ability to retain our Chief Executive Officer and other key executives and to attract, retain, and motivate qualified personnel.</w:t>
      </w:r>
    </w:p>
    <w:p>
      <w:pPr>
        <w:spacing w:after="0" w:line="16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We are highly dependent on Katrine S. Bosley, our Chief Executive Officer, as well as the other principal members of our management and scientific teams. Ms. Bosley is employed “at will,” meaning we or she may terminate the employment relationship at any time. We do not maintain “key person” insurance for any of our executives or other employees. The loss of the services of any of these persons could impede the achievement of our research, development, and commercialization objectives.</w:t>
      </w:r>
    </w:p>
    <w:p>
      <w:pPr>
        <w:spacing w:after="0" w:line="162"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164" w:lineRule="exact"/>
        <w:rPr>
          <w:sz w:val="20"/>
          <w:szCs w:val="20"/>
          <w:color w:val="auto"/>
        </w:rPr>
      </w:pPr>
    </w:p>
    <w:p>
      <w:pPr>
        <w:jc w:val="both"/>
        <w:ind w:right="220"/>
        <w:spacing w:after="0" w:line="224" w:lineRule="auto"/>
        <w:rPr>
          <w:sz w:val="20"/>
          <w:szCs w:val="20"/>
          <w:color w:val="auto"/>
        </w:rPr>
      </w:pPr>
      <w:r>
        <w:rPr>
          <w:rFonts w:ascii="Arial" w:cs="Arial" w:eastAsia="Arial" w:hAnsi="Arial"/>
          <w:sz w:val="18"/>
          <w:szCs w:val="18"/>
          <w:b w:val="1"/>
          <w:bCs w:val="1"/>
          <w:i w:val="1"/>
          <w:iCs w:val="1"/>
          <w:color w:val="auto"/>
        </w:rPr>
        <w:t>We have expanded and expect to further expand our development, regulatory, clinical, manufacturing and future sales and marketing capabilities, and as a result, we may encounter difficulties in managing our growth, which could disrupt our operations.</w:t>
      </w:r>
    </w:p>
    <w:p>
      <w:pPr>
        <w:spacing w:after="0" w:line="163"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regulatory affairs, clinical development, manufacturing, and sales and marketing. For example, our total number of employees grew from 55 as of December 31, 2015 to 112 as of January 1, 2018.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20"/>
        <w:spacing w:after="0" w:line="324" w:lineRule="auto"/>
        <w:rPr>
          <w:sz w:val="20"/>
          <w:szCs w:val="20"/>
          <w:color w:val="auto"/>
        </w:rPr>
      </w:pPr>
      <w:r>
        <w:rPr>
          <w:rFonts w:ascii="Arial" w:cs="Arial" w:eastAsia="Arial" w:hAnsi="Arial"/>
          <w:sz w:val="15"/>
          <w:szCs w:val="15"/>
          <w:b w:val="1"/>
          <w:bCs w:val="1"/>
          <w:i w:val="1"/>
          <w:iCs w:val="1"/>
          <w:color w:val="auto"/>
        </w:rPr>
        <w:t>Security breaches and other disruptions to our information technology structure could compromise our information, disrupt our business and expose us to liability, which would cause our business and reputation to suffer.</w:t>
      </w:r>
    </w:p>
    <w:p>
      <w:pPr>
        <w:spacing w:after="0" w:line="61"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In the ordinary course of our business, we collect, process and store sensitive data, including intellectual property, as well as our proprietary business information and that of our suppliers and business partners, employee data, and we expect to collect personally identifiable information of clinical trial participants when we begin clinical trials. We also rely to a large extent on information technology systems to operate our business. We have outsourced elements of our confidential information processing and information technology structure, and as a result, we are managing independent vendor relationships with third parties who may or could have access to our confidential information. Similarly, our business partners and other third-party providers possess certain of our sensitive data. The secure maintenance of this information is important to our operations and business strategy. Despite our security measures, our information technology infrastructure (and those of our partners, vendors and third-party providers) may be vulnerable to attacks by hackers or breached due to employee error, malfeasance or other disruptions. We, our partners, vendors, and other third-party providers could be susceptible to third party attacks on our, and their, information security systems, which attacks are of ever-increasing levels of sophistication and are made by groups and individuals with a wide range of motives and expertise, including organized criminal groups, hacktivists, nation states and others. While we have invested in information technology security measures and the protection of confidential information, there can be no assurance that our efforts will prevent service interruptions or security breaches. Any such interruptions or breach may substantially impair our ability to operate our business and would compromise our, and their, networks and the information stored could be accessed, publicly disclosed, lost, or stolen. Any such access, disclosure, or other loss of information could result in legal claims or proceedings, liability under laws that protect the privacy of personal information, disrupt our operations, and damage our reputation, any of which could adversely affect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85"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Our shares of common stock began trading on The Nasdaq Global Select Market in February 2016.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volatile, which could result in substantial losses for our stockholders.</w:t>
      </w:r>
    </w:p>
    <w:p>
      <w:pPr>
        <w:spacing w:after="0" w:line="208"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Our stock price has been, and is likely to remain, volatile. Some of the factors that may cause the market price of our common stock to fluctuate include:</w:t>
      </w:r>
    </w:p>
    <w:p>
      <w:pPr>
        <w:spacing w:after="0" w:line="162" w:lineRule="exact"/>
        <w:rPr>
          <w:sz w:val="20"/>
          <w:szCs w:val="20"/>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84"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and results of preclinical and clinical studies for our LCA10 program and any product candidates that we may develop;</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development and research programs;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or discontinuation of any of our product development and research programs;</w:t>
      </w:r>
    </w:p>
    <w:p>
      <w:pPr>
        <w:spacing w:after="0" w:line="184" w:lineRule="exact"/>
        <w:rPr>
          <w:rFonts w:ascii="Arial" w:cs="Arial" w:eastAsia="Arial" w:hAnsi="Arial"/>
          <w:sz w:val="18"/>
          <w:szCs w:val="18"/>
          <w:color w:val="auto"/>
        </w:rPr>
      </w:pPr>
    </w:p>
    <w:p>
      <w:pPr>
        <w:ind w:left="980" w:right="60" w:hanging="329"/>
        <w:spacing w:after="0" w:line="258"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results of preclinical studies, clinical trials, or regulatory approvals of product candidates of our competitors, or announcements about new research programs or product candidates of our competitors;</w:t>
      </w:r>
    </w:p>
    <w:p>
      <w:pPr>
        <w:spacing w:after="0" w:line="146" w:lineRule="exact"/>
        <w:rPr>
          <w:rFonts w:ascii="Arial" w:cs="Arial" w:eastAsia="Arial" w:hAnsi="Arial"/>
          <w:sz w:val="17"/>
          <w:szCs w:val="17"/>
          <w:color w:val="auto"/>
        </w:rPr>
      </w:pPr>
    </w:p>
    <w:p>
      <w:pPr>
        <w:ind w:left="980" w:right="100" w:hanging="329"/>
        <w:spacing w:after="0" w:line="235"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genomic medicines, including those that involve genome editing;</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84" w:lineRule="exact"/>
        <w:rPr>
          <w:rFonts w:ascii="Arial" w:cs="Arial" w:eastAsia="Arial" w:hAnsi="Arial"/>
          <w:sz w:val="18"/>
          <w:szCs w:val="18"/>
          <w:color w:val="auto"/>
        </w:rPr>
      </w:pPr>
    </w:p>
    <w:p>
      <w:pPr>
        <w:ind w:left="980" w:right="540" w:hanging="329"/>
        <w:spacing w:after="0" w:line="235"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clinical development programs, or product candidates that we may develop;</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84"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8"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and trading volume could decline.</w:t>
      </w:r>
    </w:p>
    <w:p>
      <w:pPr>
        <w:spacing w:after="0" w:line="16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 trading market for our common stock depends,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or fail to regularly publish reports on us, we could lose visibility in the market for our stock, which in turn could cause our stock price to decline.</w:t>
      </w:r>
    </w:p>
    <w:p>
      <w:pPr>
        <w:spacing w:after="0" w:line="162"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b w:val="1"/>
          <w:bCs w:val="1"/>
          <w:i w:val="1"/>
          <w:iCs w:val="1"/>
          <w:color w:val="auto"/>
        </w:rPr>
        <w:t>A portion of our total outstanding shares may be sold into the market in the near future, which could cause the market price of our common stock to decline significantly, even if our business is doing well.</w:t>
      </w:r>
    </w:p>
    <w:p>
      <w:pPr>
        <w:spacing w:after="0" w:line="147"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Sales of a significant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We have registered substantially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under the terms of certain of our license agreements and certain promissory notes that we may issue in the future in connection with these license agreements, we may elect to issue shares of our common stock in satisfaction of specified payment obligations of ours, which shares may be subject to rights requiring us to register such shares under the Securities Act of 1933, as amended (the “Securities Act”). Such an election by us could result in the issuance of a substantial number of shares and upon registration under the Securities Act these shares would be able to be freely sold in the public market, subject to volume limitations applicable to affiliates. If any of the additional shares described above are sold, or if it is perceived that they will be sold, in the public market, the market price of our common stock could decline.</w:t>
      </w:r>
    </w:p>
    <w:p>
      <w:pPr>
        <w:spacing w:after="0" w:line="164"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In addition, certain of our employees, executive officers, directors, and affiliated stockholders have entered or may enter into Rule 10b5</w:t>
      </w:r>
      <w:r>
        <w:rPr>
          <w:rFonts w:ascii="MS PGothic" w:cs="MS PGothic" w:eastAsia="MS PGothic" w:hAnsi="MS PGothic"/>
          <w:sz w:val="16"/>
          <w:szCs w:val="16"/>
          <w:color w:val="auto"/>
        </w:rPr>
        <w:t>‑</w:t>
      </w:r>
      <w:r>
        <w:rPr>
          <w:rFonts w:ascii="Arial" w:cs="Arial" w:eastAsia="Arial" w:hAnsi="Arial"/>
          <w:sz w:val="16"/>
          <w:szCs w:val="16"/>
          <w:color w:val="auto"/>
        </w:rPr>
        <w:t>1 plans providing for sales of shares of our common stock from time to time. Under a Rule 10b5</w:t>
      </w:r>
      <w:r>
        <w:rPr>
          <w:rFonts w:ascii="MS PGothic" w:cs="MS PGothic" w:eastAsia="MS PGothic" w:hAnsi="MS PGothic"/>
          <w:sz w:val="16"/>
          <w:szCs w:val="16"/>
          <w:color w:val="auto"/>
        </w:rPr>
        <w:t>‑</w:t>
      </w:r>
      <w:r>
        <w:rPr>
          <w:rFonts w:ascii="Arial" w:cs="Arial" w:eastAsia="Arial" w:hAnsi="Arial"/>
          <w:sz w:val="16"/>
          <w:szCs w:val="16"/>
          <w:color w:val="auto"/>
        </w:rPr>
        <w:t>1 plan, a broker executes trades pursuant to parameters established by the employee, director or officer when entering into the plan, without further direction from the employee, officer, director, or affiliated stockholder. A Rule 10b5</w:t>
      </w:r>
      <w:r>
        <w:rPr>
          <w:rFonts w:ascii="MS PGothic" w:cs="MS PGothic" w:eastAsia="MS PGothic" w:hAnsi="MS PGothic"/>
          <w:sz w:val="16"/>
          <w:szCs w:val="16"/>
          <w:color w:val="auto"/>
        </w:rPr>
        <w:t>‑</w:t>
      </w:r>
      <w:r>
        <w:rPr>
          <w:rFonts w:ascii="Arial" w:cs="Arial" w:eastAsia="Arial" w:hAnsi="Arial"/>
          <w:sz w:val="16"/>
          <w:szCs w:val="16"/>
          <w:color w:val="auto"/>
        </w:rPr>
        <w:t>1 plan may be amended or terminated in some circumstances. Our employees, executive officers, directors, and affiliated stockholders also may buy or sell additional shares outside of a Rule 10b5</w:t>
      </w:r>
      <w:r>
        <w:rPr>
          <w:rFonts w:ascii="MS PGothic" w:cs="MS PGothic" w:eastAsia="MS PGothic" w:hAnsi="MS PGothic"/>
          <w:sz w:val="16"/>
          <w:szCs w:val="16"/>
          <w:color w:val="auto"/>
        </w:rPr>
        <w:t>‑</w:t>
      </w:r>
      <w:r>
        <w:rPr>
          <w:rFonts w:ascii="Arial" w:cs="Arial" w:eastAsia="Arial" w:hAnsi="Arial"/>
          <w:sz w:val="16"/>
          <w:szCs w:val="16"/>
          <w:color w:val="auto"/>
        </w:rPr>
        <w:t>1 plan when they are not in possession of material, nonpublic information.</w:t>
      </w:r>
    </w:p>
    <w:p>
      <w:pPr>
        <w:spacing w:after="0" w:line="166"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62"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We are an “emerging growth company,” as defined in the Jumpstart Our Business Startups Act of 2012 (the “JOBS Act”) and may remain an emerging growth company until December 31, 2021.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(“SOX Section 404”) not being required to comply with any requirement that may be adopted by the Public Company Accounting Oversight Board regarding mandatory audit firm rotation or a supplement to the auditor’s report providing additional information about the audit and the consolidated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our proxy statement for our 2018 Annual Meeting of Stockholders that we filed with the SEC on April 27, 2018, we did not include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0" w:lineRule="exact"/>
        <w:rPr>
          <w:sz w:val="20"/>
          <w:szCs w:val="20"/>
          <w:color w:val="auto"/>
        </w:rPr>
      </w:pPr>
    </w:p>
    <w:p>
      <w:pPr>
        <w:ind w:right="700"/>
        <w:spacing w:after="0" w:line="258" w:lineRule="auto"/>
        <w:rPr>
          <w:sz w:val="20"/>
          <w:szCs w:val="20"/>
          <w:color w:val="auto"/>
        </w:rPr>
      </w:pPr>
      <w:r>
        <w:rPr>
          <w:rFonts w:ascii="Arial" w:cs="Arial" w:eastAsia="Arial" w:hAnsi="Arial"/>
          <w:sz w:val="17"/>
          <w:szCs w:val="17"/>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147"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the Dodd</w:t>
      </w:r>
      <w:r>
        <w:rPr>
          <w:rFonts w:ascii="MS PGothic" w:cs="MS PGothic" w:eastAsia="MS PGothic" w:hAnsi="MS PGothic"/>
          <w:sz w:val="16"/>
          <w:szCs w:val="16"/>
          <w:color w:val="auto"/>
        </w:rPr>
        <w:t>‑</w:t>
      </w:r>
      <w:r>
        <w:rPr>
          <w:rFonts w:ascii="Arial" w:cs="Arial" w:eastAsia="Arial" w:hAnsi="Arial"/>
          <w:sz w:val="16"/>
          <w:szCs w:val="16"/>
          <w:color w:val="auto"/>
        </w:rPr>
        <w:t>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had to hire additional accounting, finance, and other personnel in connection with our becoming, and our efforts to comply with the requirements of being, a public company, and our management and other personnel devote a substantial amount of time towards maintaining compliance with these requirements. These requirements increase our legal and financial compliance costs and make some activities more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These rules and regulations are often subject to varying interpretations, in many cases due to their lack of specificity, and, as a result, their application in practice may evolve over time as new guidance is provided by regulatory and governing bodies. This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79"/>
        <w:spacing w:after="0" w:line="235" w:lineRule="auto"/>
        <w:rPr>
          <w:sz w:val="20"/>
          <w:szCs w:val="20"/>
          <w:color w:val="auto"/>
        </w:rPr>
      </w:pPr>
      <w:r>
        <w:rPr>
          <w:rFonts w:ascii="Arial" w:cs="Arial" w:eastAsia="Arial" w:hAnsi="Arial"/>
          <w:sz w:val="18"/>
          <w:szCs w:val="18"/>
          <w:color w:val="auto"/>
        </w:rPr>
        <w:t>could result in continuing uncertainty regarding compliance matters and higher costs necessitated by ongoing revisions to disclosure and governance practices.</w:t>
      </w:r>
    </w:p>
    <w:p>
      <w:pPr>
        <w:spacing w:after="0" w:line="162" w:lineRule="exact"/>
        <w:rPr>
          <w:sz w:val="20"/>
          <w:szCs w:val="20"/>
          <w:color w:val="auto"/>
        </w:rPr>
      </w:pPr>
    </w:p>
    <w:p>
      <w:pPr>
        <w:ind w:right="59" w:firstLine="648"/>
        <w:spacing w:after="0" w:line="220" w:lineRule="auto"/>
        <w:rPr>
          <w:sz w:val="20"/>
          <w:szCs w:val="20"/>
          <w:color w:val="auto"/>
        </w:rPr>
      </w:pPr>
      <w:r>
        <w:rPr>
          <w:rFonts w:ascii="Arial" w:cs="Arial" w:eastAsia="Arial" w:hAnsi="Arial"/>
          <w:sz w:val="17"/>
          <w:szCs w:val="17"/>
          <w:color w:val="auto"/>
        </w:rPr>
        <w:t>Pursuant to SOX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reserves and may not use them effectively.</w:t>
      </w:r>
    </w:p>
    <w:p>
      <w:pPr>
        <w:spacing w:after="0" w:line="185" w:lineRule="exact"/>
        <w:rPr>
          <w:sz w:val="20"/>
          <w:szCs w:val="20"/>
          <w:color w:val="auto"/>
        </w:rPr>
      </w:pPr>
    </w:p>
    <w:p>
      <w:pPr>
        <w:ind w:right="139" w:firstLine="648"/>
        <w:spacing w:after="0" w:line="244" w:lineRule="auto"/>
        <w:rPr>
          <w:sz w:val="20"/>
          <w:szCs w:val="20"/>
          <w:color w:val="auto"/>
        </w:rPr>
      </w:pPr>
      <w:r>
        <w:rPr>
          <w:rFonts w:ascii="Arial" w:cs="Arial" w:eastAsia="Arial" w:hAnsi="Arial"/>
          <w:sz w:val="16"/>
          <w:szCs w:val="16"/>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cash reserves in a manner that does not produce income or that loses value.</w:t>
      </w:r>
    </w:p>
    <w:p>
      <w:pPr>
        <w:spacing w:after="0" w:line="159" w:lineRule="exact"/>
        <w:rPr>
          <w:sz w:val="20"/>
          <w:szCs w:val="20"/>
          <w:color w:val="auto"/>
        </w:rPr>
      </w:pPr>
    </w:p>
    <w:p>
      <w:pPr>
        <w:ind w:right="799"/>
        <w:spacing w:after="0" w:line="235" w:lineRule="auto"/>
        <w:rPr>
          <w:sz w:val="20"/>
          <w:szCs w:val="20"/>
          <w:color w:val="auto"/>
        </w:rPr>
      </w:pPr>
      <w:r>
        <w:rPr>
          <w:rFonts w:ascii="Arial" w:cs="Arial" w:eastAsia="Arial" w:hAnsi="Arial"/>
          <w:sz w:val="18"/>
          <w:szCs w:val="18"/>
          <w:b w:val="1"/>
          <w:bCs w:val="1"/>
          <w:i w:val="1"/>
          <w:iCs w:val="1"/>
          <w:color w:val="auto"/>
        </w:rPr>
        <w:t>We do not expect to pay any dividends for the foreseeable future. Accordingly, stockholders must rely on capital appreciation, if any, for any return on their investments.</w:t>
      </w:r>
    </w:p>
    <w:p>
      <w:pPr>
        <w:spacing w:after="0" w:line="162" w:lineRule="exact"/>
        <w:rPr>
          <w:sz w:val="20"/>
          <w:szCs w:val="20"/>
          <w:color w:val="auto"/>
        </w:rPr>
      </w:pPr>
    </w:p>
    <w:p>
      <w:pPr>
        <w:jc w:val="both"/>
        <w:ind w:right="59" w:firstLine="648"/>
        <w:spacing w:after="0" w:line="219"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stockholders’ sole source of gain for the foreseeable future.</w:t>
      </w:r>
    </w:p>
    <w:p>
      <w:pPr>
        <w:spacing w:after="0" w:line="163" w:lineRule="exact"/>
        <w:rPr>
          <w:sz w:val="20"/>
          <w:szCs w:val="20"/>
          <w:color w:val="auto"/>
        </w:rPr>
      </w:pPr>
    </w:p>
    <w:p>
      <w:pPr>
        <w:ind w:right="99"/>
        <w:spacing w:after="0" w:line="224"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amended and restated bylaws or Delaware law might discourage, delay, or prevent a change in control of our company or changes in our management and, therefore, depress the trading price of our common stock.</w:t>
      </w:r>
    </w:p>
    <w:p>
      <w:pPr>
        <w:spacing w:after="0" w:line="163" w:lineRule="exact"/>
        <w:rPr>
          <w:sz w:val="20"/>
          <w:szCs w:val="20"/>
          <w:color w:val="auto"/>
        </w:rPr>
      </w:pPr>
    </w:p>
    <w:p>
      <w:pPr>
        <w:ind w:right="419" w:firstLine="648"/>
        <w:spacing w:after="0" w:line="216" w:lineRule="auto"/>
        <w:rPr>
          <w:sz w:val="20"/>
          <w:szCs w:val="20"/>
          <w:color w:val="auto"/>
        </w:rPr>
      </w:pPr>
      <w:r>
        <w:rPr>
          <w:rFonts w:ascii="Arial" w:cs="Arial" w:eastAsia="Arial" w:hAnsi="Arial"/>
          <w:sz w:val="18"/>
          <w:szCs w:val="18"/>
          <w:color w:val="auto"/>
        </w:rPr>
        <w:t>Provisions in our restated certificate of incorporation and amended and restated bylaws or Delaware law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These provisions include:</w:t>
      </w:r>
    </w:p>
    <w:p>
      <w:pPr>
        <w:spacing w:after="0" w:line="162" w:lineRule="exact"/>
        <w:rPr>
          <w:sz w:val="20"/>
          <w:szCs w:val="20"/>
          <w:color w:val="auto"/>
        </w:rPr>
      </w:pPr>
    </w:p>
    <w:p>
      <w:pPr>
        <w:ind w:left="980" w:hanging="329"/>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classified board of directors so that not all members of our board of directors are elected at one time;</w:t>
      </w:r>
    </w:p>
    <w:p>
      <w:pPr>
        <w:spacing w:after="0" w:line="196" w:lineRule="exact"/>
        <w:rPr>
          <w:rFonts w:ascii="Arial" w:cs="Arial" w:eastAsia="Arial" w:hAnsi="Arial"/>
          <w:sz w:val="17"/>
          <w:szCs w:val="17"/>
          <w:color w:val="auto"/>
        </w:rPr>
      </w:pPr>
    </w:p>
    <w:p>
      <w:pPr>
        <w:ind w:left="980" w:hanging="329"/>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w:t>
      </w:r>
    </w:p>
    <w:p>
      <w:pPr>
        <w:spacing w:after="0" w:line="184" w:lineRule="exact"/>
        <w:rPr>
          <w:rFonts w:ascii="Arial" w:cs="Arial" w:eastAsia="Arial" w:hAnsi="Arial"/>
          <w:sz w:val="18"/>
          <w:szCs w:val="18"/>
          <w:color w:val="auto"/>
        </w:rPr>
      </w:pPr>
    </w:p>
    <w:p>
      <w:pPr>
        <w:ind w:left="980" w:right="139" w:hanging="329"/>
        <w:spacing w:after="0" w:line="258"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requirement that at least 75% of the votes cast by all our stockholders approve the amendment or repeal of certain provisions of our amended and restated bylaws or restated certificate of incorporation;</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board of directors to make, alter, or repeal our amended and restated bylaws; and</w:t>
      </w:r>
    </w:p>
    <w:p>
      <w:pPr>
        <w:spacing w:after="0" w:line="184" w:lineRule="exact"/>
        <w:rPr>
          <w:rFonts w:ascii="Arial" w:cs="Arial" w:eastAsia="Arial" w:hAnsi="Arial"/>
          <w:sz w:val="18"/>
          <w:szCs w:val="18"/>
          <w:color w:val="auto"/>
        </w:rPr>
      </w:pPr>
    </w:p>
    <w:p>
      <w:pPr>
        <w:ind w:left="980" w:right="180" w:hanging="329"/>
        <w:spacing w:after="0" w:line="21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w:t>
      </w:r>
    </w:p>
    <w:p>
      <w:pPr>
        <w:spacing w:after="0" w:line="16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In addition, Section 203 of the General Corporation Law of the State of Delaware prohibits a publicly 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62" w:lineRule="exact"/>
        <w:rPr>
          <w:sz w:val="20"/>
          <w:szCs w:val="20"/>
          <w:color w:val="auto"/>
        </w:rPr>
      </w:pPr>
    </w:p>
    <w:p>
      <w:pPr>
        <w:ind w:right="440" w:firstLine="648"/>
        <w:spacing w:after="0" w:line="289" w:lineRule="auto"/>
        <w:rPr>
          <w:sz w:val="20"/>
          <w:szCs w:val="20"/>
          <w:color w:val="auto"/>
        </w:rPr>
      </w:pPr>
      <w:r>
        <w:rPr>
          <w:rFonts w:ascii="Arial" w:cs="Arial" w:eastAsia="Arial" w:hAnsi="Arial"/>
          <w:sz w:val="16"/>
          <w:szCs w:val="16"/>
          <w:color w:val="auto"/>
        </w:rPr>
        <w:t>The existence of the foregoing provisions could deter potential acquirers of our company, thereby reducing the likelihood that our stockholders could receive a premium for their shares of common stock in an acquisition.</w:t>
      </w:r>
    </w:p>
    <w:p>
      <w:pPr>
        <w:spacing w:after="0" w:line="124" w:lineRule="exact"/>
        <w:rPr>
          <w:sz w:val="20"/>
          <w:szCs w:val="20"/>
          <w:color w:val="auto"/>
        </w:rPr>
      </w:pPr>
    </w:p>
    <w:p>
      <w:pPr>
        <w:ind w:right="240"/>
        <w:spacing w:after="0" w:line="232" w:lineRule="auto"/>
        <w:rPr>
          <w:sz w:val="20"/>
          <w:szCs w:val="20"/>
          <w:color w:val="auto"/>
        </w:rPr>
      </w:pPr>
      <w:r>
        <w:rPr>
          <w:rFonts w:ascii="Arial" w:cs="Arial" w:eastAsia="Arial" w:hAnsi="Arial"/>
          <w:sz w:val="17"/>
          <w:szCs w:val="17"/>
          <w:b w:val="1"/>
          <w:bCs w:val="1"/>
          <w:i w:val="1"/>
          <w:iCs w:val="1"/>
          <w:color w:val="auto"/>
        </w:rPr>
        <w:t>Our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the company and our directors and officers.</w:t>
      </w:r>
    </w:p>
    <w:p>
      <w:pPr>
        <w:spacing w:after="0" w:line="163"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Our restated certificate of incorporation provides that, unless our board of directors otherwise determines, the state courts in the State of Delaware or, if no state court located within the State of Delaware has jurisdiction, the federal court for the District of Delaware, will be the sole and exclusive forum for any derivative action or proceeding brought on our behalf, any action asserting a claim of breach of a fiduciary duty owed by any of our directors or officers to our company or our stockholders, any action asserting a claim against us or any of our directors or officers arising pursuant to any provision of the General Corporation Law of the State of Delaware or our restated certificate of incorporation or amended and restated bylaws, or any action asserting a claim against us or any of our directors or officers governed by the internal affairs doctrine. This exclusive forum provision may limit the ability of our stockholders to bring a claim in a judicial forum that such stockholders find favorable for disputes with us or our directors or officers, which may discourage such lawsuits against us and our directors and officers.</w:t>
      </w:r>
    </w:p>
    <w:p>
      <w:pPr>
        <w:spacing w:after="0" w:line="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On January 4, 2018, we issued 225,909 shares of our common stock to the Broad Institute, Inc. (“Broad’) in full payment of the $7.5 million of aggregate outstanding principal and interest under certain promissory notes held by Broad (the “Notes”), the issuance of which were previously reported, in accordance with the rights of the Company under the Notes. On January 12, 2018, we issued 80,000 shares of our common stock to The General Hospital Corporation, d/b/a Massachusetts General Hospital (“MGH”), in full satisfaction of a $2.0 million success payment owed to MGH pursuant to our license agreement with MGH. On January 22, 2018, we issued 56,099 shares of our common stock to i2 Pharmaceuticals, Inc. (“i2”) pursuant to the terms of an asset purchase agreement and as partial consideration for our acquisition of certain assets from i2 and certain of its affiliated companies.</w:t>
      </w:r>
    </w:p>
    <w:p>
      <w:pPr>
        <w:spacing w:after="0" w:line="127" w:lineRule="exact"/>
        <w:rPr>
          <w:sz w:val="20"/>
          <w:szCs w:val="20"/>
          <w:color w:val="auto"/>
        </w:rPr>
      </w:pPr>
    </w:p>
    <w:p>
      <w:pPr>
        <w:ind w:right="140" w:firstLine="648"/>
        <w:spacing w:after="0" w:line="225" w:lineRule="auto"/>
        <w:rPr>
          <w:sz w:val="20"/>
          <w:szCs w:val="20"/>
          <w:color w:val="auto"/>
        </w:rPr>
      </w:pPr>
      <w:r>
        <w:rPr>
          <w:rFonts w:ascii="Arial" w:cs="Arial" w:eastAsia="Arial" w:hAnsi="Arial"/>
          <w:sz w:val="17"/>
          <w:szCs w:val="17"/>
          <w:color w:val="auto"/>
        </w:rPr>
        <w:t>No underwriters were involved in the foregoing issuances of securities. The securities were issued pursuant to Section 4(a)(2) under the Securities Act, relating to transactions by an issuer not involving any public offering. Prior to receiving the Notes or the shares, each of Broad, MGH and i2 represented to us that it was acquiring the Notes or the shares for its own account for investment purposes, that it had received from us and our management all of the information that it considered appropriate to evaluate whether to accept the Notes or the shares, that it was capable of evaluating and understanding the risks of the investment, and that it was an accredited investor as such term is defined in Rule 501 of Regulation D promulgated under the Securities Act.</w:t>
      </w:r>
    </w:p>
    <w:p>
      <w:pPr>
        <w:spacing w:after="0" w:line="11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3, 2018, we entered into amendment and restatement of the our Collaboration and License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with Juno Therapeutics, Inc., a Celgene company that is a wholly-owned subsidiary of Celgene Corporation (“Juno Therapeutics”), dated as of May 26, 2015 (as amended and restated, the “Amended Agreement”), for the research and development of engineered T cells with chimeric antigen receptors (“CARs”) and T cell receptors (“TCRs”) that have been genetically modified to recognize and kill other cells. Under the original agreement, we and Juno Therapeutics agreed to research and develop CAR and TCR engineered T cell products across three research programs over a five year period, ending on May 26, 2020, and Juno Therapeutics had the option to extend the research period through May 26, 2022, upon payment of one year extension fees in the mid-single digit millions of dollars per year (such five to seven year period, the “Research Program Term”). Under the Amended Agreement, we and Juno Therapeutics agreed to a fourth research program. The Research Program Term and the optional extensions remain unchanged from the original agreement.</w:t>
      </w:r>
    </w:p>
    <w:p>
      <w:pPr>
        <w:spacing w:after="0" w:line="168" w:lineRule="exact"/>
        <w:rPr>
          <w:sz w:val="20"/>
          <w:szCs w:val="20"/>
          <w:color w:val="auto"/>
        </w:rPr>
      </w:pPr>
    </w:p>
    <w:p>
      <w:pPr>
        <w:ind w:right="160" w:firstLine="648"/>
        <w:spacing w:after="0" w:line="239" w:lineRule="auto"/>
        <w:rPr>
          <w:sz w:val="20"/>
          <w:szCs w:val="20"/>
          <w:color w:val="auto"/>
        </w:rPr>
      </w:pPr>
      <w:r>
        <w:rPr>
          <w:rFonts w:ascii="Arial" w:cs="Arial" w:eastAsia="Arial" w:hAnsi="Arial"/>
          <w:sz w:val="16"/>
          <w:szCs w:val="16"/>
          <w:color w:val="auto"/>
        </w:rPr>
        <w:t>During the Research Program Term, we are responsible for generating genome editing reagents that modify gene targets selected by Juno Therapeutics. Juno Therapeutics is responsible for evaluating and selecting for further research and development CAR and TCR engineered T cell products modified with our genome editing reagents. Except for our obligations under the mutually agreed research plan as of the date of the Amended Agreement, Juno Therapeutics has sole responsibility, at its own cost, for the worldwide development, manufacturing, and commercialization of the selected CAR and TCR engineered T cell products for the diagnosis, treatment, or prevention of any cancer in humans, excluding the diagnosis, treatment, or prevention of medullary cystic kidney disease 1 (the “Exclusive Field”).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Amended Agreement, we granted to Juno Therapeutics:</w:t>
      </w:r>
    </w:p>
    <w:p>
      <w:pPr>
        <w:spacing w:after="0" w:line="185" w:lineRule="exact"/>
        <w:rPr>
          <w:sz w:val="20"/>
          <w:szCs w:val="20"/>
          <w:color w:val="auto"/>
        </w:rPr>
      </w:pPr>
    </w:p>
    <w:p>
      <w:pPr>
        <w:jc w:val="both"/>
        <w:ind w:left="980" w:right="200" w:hanging="329"/>
        <w:spacing w:after="0" w:line="238"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 exclusive (even as to us), worldwide, milestone and royalty bearing, sublicensable license to certain of our owned and in licensed patent rights to research, develop, make, have made, use, offer for sale, sell and import selected CAR and TCR engineered T cell products in the Exclusive Field;</w:t>
      </w:r>
    </w:p>
    <w:p>
      <w:pPr>
        <w:spacing w:after="0" w:line="161" w:lineRule="exact"/>
        <w:rPr>
          <w:rFonts w:ascii="Arial" w:cs="Arial" w:eastAsia="Arial" w:hAnsi="Arial"/>
          <w:sz w:val="17"/>
          <w:szCs w:val="17"/>
          <w:color w:val="auto"/>
        </w:rPr>
      </w:pPr>
    </w:p>
    <w:p>
      <w:pPr>
        <w:ind w:left="980" w:right="20" w:hanging="329"/>
        <w:spacing w:after="0" w:line="241"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non-exclusive, worldwide, milestone and royalty bearing, sublicensable license to certain of our owned and in licensed patent rights to use genome editing reagents that are used in the creation of a CAR or TCR engineered T cell product on which Juno Therapeutics has filed an investigational new drug application for the treatment or prevention of a cancer in humans for researching, developing, making, having made, using, offering for sale, selling, and importing such CAR or TCR engineered T cell product in all fields outside of the Exclusive Field, excluding the diagnosis, treatment, or prevention of medullary cystic kidney disease 1;</w:t>
      </w:r>
    </w:p>
    <w:p>
      <w:pPr>
        <w:spacing w:after="0" w:line="160" w:lineRule="exact"/>
        <w:rPr>
          <w:rFonts w:ascii="Arial" w:cs="Arial" w:eastAsia="Arial" w:hAnsi="Arial"/>
          <w:sz w:val="16"/>
          <w:szCs w:val="16"/>
          <w:color w:val="auto"/>
        </w:rPr>
      </w:pPr>
    </w:p>
    <w:p>
      <w:pPr>
        <w:ind w:left="980" w:right="140" w:hanging="329"/>
        <w:spacing w:after="0" w:line="219"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non-exclusive, worldwide, non-sublicensable license to certain of our owned and in licensed patent rights to, among other things, conduct the activities assigned to Juno Therapeutics under the mutually agreed research plan and to our genome editing reagents for further research and development of CAR and TCR engineered T cell products; and</w:t>
      </w:r>
    </w:p>
    <w:p>
      <w:pPr>
        <w:spacing w:after="0" w:line="162" w:lineRule="exact"/>
        <w:rPr>
          <w:rFonts w:ascii="Arial" w:cs="Arial" w:eastAsia="Arial" w:hAnsi="Arial"/>
          <w:sz w:val="18"/>
          <w:szCs w:val="18"/>
          <w:color w:val="auto"/>
        </w:rPr>
      </w:pPr>
    </w:p>
    <w:p>
      <w:pPr>
        <w:ind w:left="980" w:right="560" w:hanging="329"/>
        <w:spacing w:after="0" w:line="289"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non-exclusive, worldwide, non-sublicensable license to certain of our patent applications related to our proprietary genome editing detection method for Juno Therapeutics’ internal research purposes.</w:t>
      </w:r>
    </w:p>
    <w:p>
      <w:pPr>
        <w:spacing w:after="0" w:line="124"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Juno Therapeutics granted us a non-exclusive, worldwide, royalty free, and non-sublicensable license to certain Juno Therapeutics patents solely for the purpose of us conducting the research activities assigned to us under the mutually agreed research plan.</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Under the Amended Agreement, each party must use diligent efforts to perform all activities for which such party is responsible under the Amended Agreement. Juno Therapeutics also is required to achieve certain regulatory objectives with respect to the engineered T cells in each of the four research programs by specified dates. Under the Amended Agreement, if Juno Therapeutics does not meet its initial regulatory objective by the required date with respect to an engineered T cell in a specified program, then we can, as our exclusive remedy to Juno Therapeutics’ failure, convert the exclusive license we granted to Juno Therapeutics to a non-exclusive license to Juno Therapeutics with respect to the particular program to which Juno Therapeutics’ failure relates. If Juno Therapeutics does not meet a subsequent regulatory objective with respect to an engineered T cell within a program, then we can, as our exclusive remedy to Juno Therapeutics’ failure, convert the exclusive license we granted to Juno Therapeutics to a non-exclusive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license to Juno Therapeutics with respect to the particular engineered T cell to which Juno Therapeutics’ failure relates.</w:t>
      </w:r>
    </w:p>
    <w:p>
      <w:pPr>
        <w:spacing w:after="0" w:line="196"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In connection with the entry into the Amended Agreement, Juno Therapeutics will pay us an amendment fee of $5.0 million, as well as two $2.5 million milestone payments for technical progress in one of the research programs. In addition, we have the potential to receive up to $22.0 million in research support over a five-year term (commencing on the date of the original agreement) across the four programs under our collaboration, subject to adjustment in accordance with the terms of the Amended Agreement, of which we have received $8.6 million as of March 31, 2018. We are eligible to receive future research and regulatory milestones of approximately $160.0 million for each of the first products developed in each of the four research programs, of which we have achieved four milestone payments of $2.5 million each, including the two milestone payments we are entitled to receive upon execution of the Amended Agreement. We are also eligible to receive future commercial sales milestones of $75.0 million based on certain specified thresholds of aggregate, worldwide net sales of all engineered T cell products within each of the four research programs. Further, we are eligible to receive tiered royalties of low double digit percentages of Juno Therapeutics’ net sales of products licensed under the Amended Agreement. Juno Therapeutics’ obligation to pay royalties on a licensed product will expire on a licensed product by licensed product and country by country basis upon the later of the tenth anniversary of the first commercial sale of such licensed product and the expiration of the last to expire valid claim within the licensed patents covering such licensed product. If Juno Therapeutics is required to pay royalties on net sales of a licensed product to a third party because the licensed product is covered under the third party’s patent, then Juno Therapeutics can credit a certain percentage of its payments to the third party against the royalties it owes us, subject to certain maximum deduction limits.</w:t>
      </w:r>
    </w:p>
    <w:p>
      <w:pPr>
        <w:spacing w:after="0" w:line="164" w:lineRule="exact"/>
        <w:rPr>
          <w:sz w:val="20"/>
          <w:szCs w:val="20"/>
          <w:color w:val="auto"/>
        </w:rPr>
      </w:pPr>
    </w:p>
    <w:p>
      <w:pPr>
        <w:ind w:right="140" w:firstLine="648"/>
        <w:spacing w:after="0" w:line="244" w:lineRule="auto"/>
        <w:rPr>
          <w:sz w:val="20"/>
          <w:szCs w:val="20"/>
          <w:color w:val="auto"/>
        </w:rPr>
      </w:pPr>
      <w:r>
        <w:rPr>
          <w:rFonts w:ascii="Arial" w:cs="Arial" w:eastAsia="Arial" w:hAnsi="Arial"/>
          <w:sz w:val="16"/>
          <w:szCs w:val="16"/>
          <w:color w:val="auto"/>
        </w:rPr>
        <w:t>The Amended Agreement does not alter the provisions in the original agreement relating to the joint research committee, termination, exclusivity, ownership of inventions developed under the collaboration and control of patent prosecution and maintenance, each of which such terms is described in our Annual Report on Form 10-K for the year ended December 31, 2017, which was filed with the Securities and Exchange Commission on March 8, 2018, under “Item 1. Business – Our Collaborations and Licensing Strategy – Juno Therapeutics Collaboration and License Agreement.”</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920" w:type="dxa"/>
            <w:vAlign w:val="bottom"/>
          </w:tcPr>
          <w:p>
            <w:pPr>
              <w:spacing w:after="0"/>
              <w:rPr>
                <w:sz w:val="14"/>
                <w:szCs w:val="14"/>
                <w:color w:val="auto"/>
              </w:rPr>
            </w:pPr>
          </w:p>
        </w:tc>
        <w:tc>
          <w:tcPr>
            <w:tcW w:w="5820" w:type="dxa"/>
            <w:vAlign w:val="bottom"/>
            <w:gridSpan w:val="6"/>
            <w:vMerge w:val="restart"/>
          </w:tcPr>
          <w:p>
            <w:pPr>
              <w:ind w:left="1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2"/>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920" w:type="dxa"/>
            <w:vAlign w:val="bottom"/>
          </w:tcPr>
          <w:p>
            <w:pPr>
              <w:spacing w:after="0"/>
              <w:rPr>
                <w:sz w:val="14"/>
                <w:szCs w:val="14"/>
                <w:color w:val="auto"/>
              </w:rPr>
            </w:pPr>
          </w:p>
        </w:tc>
        <w:tc>
          <w:tcPr>
            <w:tcW w:w="58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3"/>
                <w:szCs w:val="13"/>
                <w:color w:val="auto"/>
              </w:rPr>
            </w:pPr>
          </w:p>
        </w:tc>
        <w:tc>
          <w:tcPr>
            <w:tcW w:w="7740" w:type="dxa"/>
            <w:vAlign w:val="bottom"/>
            <w:tcBorders>
              <w:top w:val="single" w:sz="8" w:color="auto"/>
            </w:tcBorders>
            <w:gridSpan w:val="7"/>
          </w:tcPr>
          <w:p>
            <w:pPr>
              <w:spacing w:after="0" w:line="15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Common Stock Sales Agreement, dated March 12, 2018, by and between the Registrant and Cowen and</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500" w:type="dxa"/>
            <w:vAlign w:val="bottom"/>
            <w:tcBorders>
              <w:top w:val="single" w:sz="8" w:color="0000EE"/>
              <w:bottom w:val="single" w:sz="8" w:color="0000EE"/>
            </w:tcBorders>
            <w:gridSpan w:val="4"/>
          </w:tcPr>
          <w:p>
            <w:pPr>
              <w:spacing w:after="0" w:line="170"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Company, LLC (incorporated by reference to Exhibit 1.2 to Registrant’s Registration Statement on Form</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540" w:type="dxa"/>
            <w:vAlign w:val="bottom"/>
            <w:gridSpan w:val="6"/>
          </w:tcPr>
          <w:p>
            <w:pPr>
              <w:spacing w:after="0" w:line="170" w:lineRule="exact"/>
              <w:rPr>
                <w:rFonts w:ascii="Arial" w:cs="Arial" w:eastAsia="Arial" w:hAnsi="Arial"/>
                <w:sz w:val="18"/>
                <w:szCs w:val="18"/>
                <w:color w:val="0000EE"/>
              </w:rPr>
            </w:pPr>
            <w:hyperlink r:id="rId114">
              <w:r>
                <w:rPr>
                  <w:rFonts w:ascii="Arial" w:cs="Arial" w:eastAsia="Arial" w:hAnsi="Arial"/>
                  <w:sz w:val="18"/>
                  <w:szCs w:val="18"/>
                  <w:color w:val="0000EE"/>
                </w:rPr>
                <w:t>S-3 (File No. 333-223596)</w:t>
              </w:r>
            </w:hyperlink>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line="170"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4"/>
                <w:szCs w:val="14"/>
                <w:color w:val="auto"/>
              </w:rPr>
            </w:pPr>
          </w:p>
        </w:tc>
        <w:tc>
          <w:tcPr>
            <w:tcW w:w="1920" w:type="dxa"/>
            <w:vAlign w:val="bottom"/>
            <w:tcBorders>
              <w:top w:val="single" w:sz="8" w:color="0000EE"/>
            </w:tcBorders>
          </w:tcPr>
          <w:p>
            <w:pPr>
              <w:spacing w:after="0" w:line="170"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Rule 13a-14(a) Certification</w:t>
              </w:r>
            </w:hyperlink>
          </w:p>
        </w:tc>
        <w:tc>
          <w:tcPr>
            <w:tcW w:w="5820" w:type="dxa"/>
            <w:vAlign w:val="bottom"/>
            <w:gridSpan w:val="6"/>
          </w:tcPr>
          <w:p>
            <w:pPr>
              <w:ind w:left="180"/>
              <w:spacing w:after="0" w:line="170" w:lineRule="exact"/>
              <w:rPr>
                <w:rFonts w:ascii="Arial" w:cs="Arial" w:eastAsia="Arial" w:hAnsi="Arial"/>
                <w:sz w:val="18"/>
                <w:szCs w:val="18"/>
                <w:color w:val="0000EE"/>
              </w:rPr>
            </w:pPr>
            <w:hyperlink w:anchor="page102">
              <w:r>
                <w:rPr>
                  <w:rFonts w:ascii="Arial" w:cs="Arial" w:eastAsia="Arial" w:hAnsi="Arial"/>
                  <w:sz w:val="18"/>
                  <w:szCs w:val="18"/>
                  <w:color w:val="0000EE"/>
                </w:rPr>
                <w:t>of Principal Executive Officer</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line="170"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4"/>
                <w:szCs w:val="14"/>
                <w:color w:val="auto"/>
              </w:rPr>
            </w:pPr>
          </w:p>
        </w:tc>
        <w:tc>
          <w:tcPr>
            <w:tcW w:w="4260" w:type="dxa"/>
            <w:vAlign w:val="bottom"/>
            <w:tcBorders>
              <w:top w:val="single" w:sz="8" w:color="0000EE"/>
            </w:tcBorders>
            <w:gridSpan w:val="3"/>
          </w:tcPr>
          <w:p>
            <w:pPr>
              <w:spacing w:after="0" w:line="170" w:lineRule="exact"/>
              <w:rPr>
                <w:rFonts w:ascii="Arial" w:cs="Arial" w:eastAsia="Arial" w:hAnsi="Arial"/>
                <w:sz w:val="18"/>
                <w:szCs w:val="18"/>
                <w:color w:val="0000EE"/>
                <w:w w:val="94"/>
              </w:rPr>
            </w:pPr>
            <w:hyperlink w:anchor="page103">
              <w:r>
                <w:rPr>
                  <w:rFonts w:ascii="Arial" w:cs="Arial" w:eastAsia="Arial" w:hAnsi="Arial"/>
                  <w:sz w:val="18"/>
                  <w:szCs w:val="18"/>
                  <w:color w:val="0000EE"/>
                  <w:w w:val="94"/>
                </w:rPr>
                <w:t>Rule 13a-14(a) Certification of Principal Financial Officer</w:t>
              </w:r>
            </w:hyperlink>
          </w:p>
        </w:tc>
        <w:tc>
          <w:tcPr>
            <w:tcW w:w="326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line="170" w:lineRule="exact"/>
              <w:rPr>
                <w:sz w:val="20"/>
                <w:szCs w:val="20"/>
                <w:color w:val="auto"/>
              </w:rPr>
            </w:pPr>
            <w:r>
              <w:rPr>
                <w:rFonts w:ascii="Arial" w:cs="Arial" w:eastAsia="Arial" w:hAnsi="Arial"/>
                <w:sz w:val="18"/>
                <w:szCs w:val="18"/>
                <w:color w:val="auto"/>
              </w:rPr>
              <w:t>32.1</w:t>
            </w:r>
          </w:p>
        </w:tc>
        <w:tc>
          <w:tcPr>
            <w:tcW w:w="200" w:type="dxa"/>
            <w:vAlign w:val="bottom"/>
          </w:tcPr>
          <w:p>
            <w:pPr>
              <w:spacing w:after="0"/>
              <w:rPr>
                <w:sz w:val="14"/>
                <w:szCs w:val="14"/>
                <w:color w:val="auto"/>
              </w:rPr>
            </w:pPr>
          </w:p>
        </w:tc>
        <w:tc>
          <w:tcPr>
            <w:tcW w:w="4220" w:type="dxa"/>
            <w:vAlign w:val="bottom"/>
            <w:tcBorders>
              <w:top w:val="single" w:sz="8" w:color="0000EE"/>
            </w:tcBorders>
            <w:gridSpan w:val="2"/>
          </w:tcPr>
          <w:p>
            <w:pPr>
              <w:spacing w:after="0" w:line="170" w:lineRule="exact"/>
              <w:rPr>
                <w:rFonts w:ascii="Arial" w:cs="Arial" w:eastAsia="Arial" w:hAnsi="Arial"/>
                <w:sz w:val="18"/>
                <w:szCs w:val="18"/>
                <w:color w:val="0000EE"/>
                <w:w w:val="95"/>
              </w:rPr>
            </w:pPr>
            <w:hyperlink w:anchor="page104">
              <w:r>
                <w:rPr>
                  <w:rFonts w:ascii="Arial" w:cs="Arial" w:eastAsia="Arial" w:hAnsi="Arial"/>
                  <w:sz w:val="18"/>
                  <w:szCs w:val="18"/>
                  <w:color w:val="0000EE"/>
                  <w:w w:val="95"/>
                </w:rPr>
                <w:t>Certification of Principal Executive Officer and Principal</w:t>
              </w:r>
            </w:hyperlink>
          </w:p>
        </w:tc>
        <w:tc>
          <w:tcPr>
            <w:tcW w:w="3520" w:type="dxa"/>
            <w:vAlign w:val="bottom"/>
            <w:gridSpan w:val="5"/>
          </w:tcPr>
          <w:p>
            <w:pPr>
              <w:spacing w:after="0" w:line="170" w:lineRule="exact"/>
              <w:rPr>
                <w:rFonts w:ascii="Arial" w:cs="Arial" w:eastAsia="Arial" w:hAnsi="Arial"/>
                <w:sz w:val="18"/>
                <w:szCs w:val="18"/>
                <w:color w:val="0000EE"/>
                <w:w w:val="96"/>
              </w:rPr>
            </w:pPr>
            <w:hyperlink w:anchor="page104">
              <w:r>
                <w:rPr>
                  <w:rFonts w:ascii="Arial" w:cs="Arial" w:eastAsia="Arial" w:hAnsi="Arial"/>
                  <w:sz w:val="18"/>
                  <w:szCs w:val="18"/>
                  <w:color w:val="0000EE"/>
                  <w:w w:val="96"/>
                </w:rPr>
                <w:t>Financial Officer pursuant to 18 U.S.C. §1350</w:t>
              </w:r>
            </w:hyperlink>
          </w:p>
        </w:tc>
        <w:tc>
          <w:tcPr>
            <w:tcW w:w="0" w:type="dxa"/>
            <w:vAlign w:val="bottom"/>
          </w:tcPr>
          <w:p>
            <w:pPr>
              <w:spacing w:after="0"/>
              <w:rPr>
                <w:sz w:val="1"/>
                <w:szCs w:val="1"/>
                <w:color w:val="auto"/>
              </w:rPr>
            </w:pPr>
          </w:p>
        </w:tc>
      </w:tr>
      <w:tr>
        <w:trPr>
          <w:trHeight w:val="168"/>
        </w:trPr>
        <w:tc>
          <w:tcPr>
            <w:tcW w:w="1320" w:type="dxa"/>
            <w:vAlign w:val="bottom"/>
            <w:gridSpan w:val="2"/>
          </w:tcPr>
          <w:p>
            <w:pPr>
              <w:spacing w:after="0" w:line="169" w:lineRule="exact"/>
              <w:rPr>
                <w:sz w:val="20"/>
                <w:szCs w:val="20"/>
                <w:color w:val="auto"/>
              </w:rPr>
            </w:pPr>
            <w:r>
              <w:rPr>
                <w:rFonts w:ascii="Arial" w:cs="Arial" w:eastAsia="Arial" w:hAnsi="Arial"/>
                <w:sz w:val="18"/>
                <w:szCs w:val="18"/>
                <w:color w:val="auto"/>
              </w:rPr>
              <w:t>101.INS</w:t>
            </w:r>
          </w:p>
        </w:tc>
        <w:tc>
          <w:tcPr>
            <w:tcW w:w="752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8"/>
                <w:szCs w:val="18"/>
                <w:color w:val="auto"/>
              </w:rPr>
              <w:t>XBRL Instance Document</w:t>
            </w: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20" w:type="dxa"/>
            <w:vAlign w:val="bottom"/>
            <w:gridSpan w:val="2"/>
          </w:tcPr>
          <w:p>
            <w:pPr>
              <w:spacing w:after="0" w:line="189" w:lineRule="exact"/>
              <w:rPr>
                <w:sz w:val="20"/>
                <w:szCs w:val="20"/>
                <w:color w:val="auto"/>
              </w:rPr>
            </w:pPr>
            <w:r>
              <w:rPr>
                <w:rFonts w:ascii="Arial" w:cs="Arial" w:eastAsia="Arial" w:hAnsi="Arial"/>
                <w:sz w:val="18"/>
                <w:szCs w:val="18"/>
                <w:color w:val="auto"/>
              </w:rPr>
              <w:t>101.SCH</w:t>
            </w:r>
          </w:p>
        </w:tc>
        <w:tc>
          <w:tcPr>
            <w:tcW w:w="7740" w:type="dxa"/>
            <w:vAlign w:val="bottom"/>
            <w:gridSpan w:val="7"/>
          </w:tcPr>
          <w:p>
            <w:pPr>
              <w:spacing w:after="0" w:line="189"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89"/>
        </w:trPr>
        <w:tc>
          <w:tcPr>
            <w:tcW w:w="1320" w:type="dxa"/>
            <w:vAlign w:val="bottom"/>
            <w:gridSpan w:val="2"/>
          </w:tcPr>
          <w:p>
            <w:pPr>
              <w:spacing w:after="0" w:line="189" w:lineRule="exact"/>
              <w:rPr>
                <w:sz w:val="20"/>
                <w:szCs w:val="20"/>
                <w:color w:val="auto"/>
              </w:rPr>
            </w:pPr>
            <w:r>
              <w:rPr>
                <w:rFonts w:ascii="Arial" w:cs="Arial" w:eastAsia="Arial" w:hAnsi="Arial"/>
                <w:sz w:val="18"/>
                <w:szCs w:val="18"/>
                <w:color w:val="auto"/>
              </w:rPr>
              <w:t>101.CAL</w:t>
            </w:r>
          </w:p>
        </w:tc>
        <w:tc>
          <w:tcPr>
            <w:tcW w:w="7740" w:type="dxa"/>
            <w:vAlign w:val="bottom"/>
            <w:gridSpan w:val="7"/>
          </w:tcPr>
          <w:p>
            <w:pPr>
              <w:spacing w:after="0" w:line="189"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1320" w:type="dxa"/>
            <w:vAlign w:val="bottom"/>
            <w:gridSpan w:val="2"/>
          </w:tcPr>
          <w:p>
            <w:pPr>
              <w:spacing w:after="0" w:line="189" w:lineRule="exact"/>
              <w:rPr>
                <w:sz w:val="20"/>
                <w:szCs w:val="20"/>
                <w:color w:val="auto"/>
              </w:rPr>
            </w:pPr>
            <w:r>
              <w:rPr>
                <w:rFonts w:ascii="Arial" w:cs="Arial" w:eastAsia="Arial" w:hAnsi="Arial"/>
                <w:sz w:val="18"/>
                <w:szCs w:val="18"/>
                <w:color w:val="auto"/>
              </w:rPr>
              <w:t>101.DEF</w:t>
            </w:r>
          </w:p>
        </w:tc>
        <w:tc>
          <w:tcPr>
            <w:tcW w:w="7740" w:type="dxa"/>
            <w:vAlign w:val="bottom"/>
            <w:gridSpan w:val="7"/>
          </w:tcPr>
          <w:p>
            <w:pPr>
              <w:spacing w:after="0" w:line="189"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89"/>
        </w:trPr>
        <w:tc>
          <w:tcPr>
            <w:tcW w:w="1320" w:type="dxa"/>
            <w:vAlign w:val="bottom"/>
            <w:gridSpan w:val="2"/>
          </w:tcPr>
          <w:p>
            <w:pPr>
              <w:spacing w:after="0" w:line="189" w:lineRule="exact"/>
              <w:rPr>
                <w:sz w:val="20"/>
                <w:szCs w:val="20"/>
                <w:color w:val="auto"/>
              </w:rPr>
            </w:pPr>
            <w:r>
              <w:rPr>
                <w:rFonts w:ascii="Arial" w:cs="Arial" w:eastAsia="Arial" w:hAnsi="Arial"/>
                <w:sz w:val="18"/>
                <w:szCs w:val="18"/>
                <w:color w:val="auto"/>
              </w:rPr>
              <w:t>101.LAB</w:t>
            </w:r>
          </w:p>
        </w:tc>
        <w:tc>
          <w:tcPr>
            <w:tcW w:w="7740" w:type="dxa"/>
            <w:vAlign w:val="bottom"/>
            <w:gridSpan w:val="7"/>
          </w:tcPr>
          <w:p>
            <w:pPr>
              <w:spacing w:after="0" w:line="189"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7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EDITAS MEDICINE, INC.</w:t>
      </w:r>
    </w:p>
    <w:p>
      <w:pPr>
        <w:spacing w:after="0" w:line="322"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Dated: May 4, 2018</w:t>
      </w:r>
      <w:r>
        <w:rPr>
          <w:sz w:val="20"/>
          <w:szCs w:val="20"/>
          <w:color w:val="auto"/>
        </w:rPr>
        <w:tab/>
      </w:r>
      <w:r>
        <w:rPr>
          <w:rFonts w:ascii="Arial" w:cs="Arial" w:eastAsia="Arial" w:hAnsi="Arial"/>
          <w:sz w:val="16"/>
          <w:szCs w:val="16"/>
          <w:color w:val="auto"/>
        </w:rPr>
        <w:t>By: /s/ Andrew A. F. Hack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-635</wp:posOffset>
            </wp:positionV>
            <wp:extent cx="2727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ind w:left="4780"/>
        <w:spacing w:after="0" w:line="203" w:lineRule="auto"/>
        <w:rPr>
          <w:sz w:val="20"/>
          <w:szCs w:val="20"/>
          <w:color w:val="auto"/>
        </w:rPr>
      </w:pPr>
      <w:r>
        <w:rPr>
          <w:rFonts w:ascii="Arial" w:cs="Arial" w:eastAsia="Arial" w:hAnsi="Arial"/>
          <w:sz w:val="18"/>
          <w:szCs w:val="18"/>
          <w:color w:val="auto"/>
        </w:rPr>
        <w:t>Andrew A. F. Hack M.D., Ph.D.</w:t>
      </w:r>
    </w:p>
    <w:p>
      <w:pPr>
        <w:ind w:left="4780"/>
        <w:spacing w:after="0" w:line="204" w:lineRule="auto"/>
        <w:rPr>
          <w:sz w:val="20"/>
          <w:szCs w:val="20"/>
          <w:color w:val="auto"/>
        </w:rPr>
      </w:pPr>
      <w:r>
        <w:rPr>
          <w:rFonts w:ascii="Arial" w:cs="Arial" w:eastAsia="Arial" w:hAnsi="Arial"/>
          <w:sz w:val="18"/>
          <w:szCs w:val="18"/>
          <w:color w:val="auto"/>
        </w:rPr>
        <w:t>Chief Financial Officer</w:t>
      </w:r>
    </w:p>
    <w:p>
      <w:pPr>
        <w:ind w:left="47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20"/>
          <w:szCs w:val="20"/>
          <w:b w:val="1"/>
          <w:bCs w:val="1"/>
          <w:color w:val="auto"/>
        </w:rPr>
        <w:t>Exhibit 31.1</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I, Katrine S. Bosley, certify that:</w:t>
      </w:r>
    </w:p>
    <w:p>
      <w:pPr>
        <w:spacing w:after="0" w:line="67" w:lineRule="exact"/>
        <w:rPr>
          <w:sz w:val="20"/>
          <w:szCs w:val="20"/>
          <w:color w:val="auto"/>
        </w:rPr>
      </w:pPr>
    </w:p>
    <w:p>
      <w:pPr>
        <w:ind w:left="660" w:hanging="333"/>
        <w:spacing w:after="0"/>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Editas Medicine, Inc.;</w:t>
      </w:r>
    </w:p>
    <w:p>
      <w:pPr>
        <w:spacing w:after="0" w:line="67" w:lineRule="exact"/>
        <w:rPr>
          <w:rFonts w:ascii="Arial" w:cs="Arial" w:eastAsia="Arial" w:hAnsi="Arial"/>
          <w:sz w:val="20"/>
          <w:szCs w:val="20"/>
          <w:color w:val="auto"/>
        </w:rPr>
      </w:pPr>
    </w:p>
    <w:p>
      <w:pPr>
        <w:jc w:val="both"/>
        <w:ind w:left="660" w:right="280" w:hanging="333"/>
        <w:spacing w:after="0" w:line="24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18"/>
          <w:szCs w:val="18"/>
          <w:color w:val="auto"/>
        </w:rPr>
      </w:pPr>
    </w:p>
    <w:p>
      <w:pPr>
        <w:ind w:left="660" w:right="80" w:hanging="333"/>
        <w:spacing w:after="0" w:line="218" w:lineRule="auto"/>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20"/>
          <w:szCs w:val="20"/>
          <w:color w:val="auto"/>
        </w:rPr>
      </w:pPr>
    </w:p>
    <w:p>
      <w:pPr>
        <w:ind w:left="660" w:right="40" w:hanging="333"/>
        <w:spacing w:after="0" w:line="213" w:lineRule="auto"/>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 w:lineRule="exact"/>
        <w:rPr>
          <w:rFonts w:ascii="Arial" w:cs="Arial" w:eastAsia="Arial" w:hAnsi="Arial"/>
          <w:sz w:val="20"/>
          <w:szCs w:val="20"/>
          <w:color w:val="auto"/>
        </w:rPr>
      </w:pPr>
    </w:p>
    <w:p>
      <w:pPr>
        <w:ind w:left="1300" w:right="80" w:hanging="325"/>
        <w:spacing w:after="0" w:line="23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Arial" w:cs="Arial" w:eastAsia="Arial" w:hAnsi="Arial"/>
          <w:sz w:val="18"/>
          <w:szCs w:val="18"/>
          <w:color w:val="auto"/>
        </w:rPr>
      </w:pPr>
    </w:p>
    <w:p>
      <w:pPr>
        <w:ind w:left="1300" w:right="460" w:hanging="325"/>
        <w:spacing w:after="0" w:line="23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Arial" w:cs="Arial" w:eastAsia="Arial" w:hAnsi="Arial"/>
          <w:sz w:val="18"/>
          <w:szCs w:val="18"/>
          <w:color w:val="auto"/>
        </w:rPr>
      </w:pPr>
    </w:p>
    <w:p>
      <w:pPr>
        <w:jc w:val="both"/>
        <w:ind w:left="1300" w:right="20" w:hanging="325"/>
        <w:spacing w:after="0" w:line="24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8"/>
          <w:szCs w:val="18"/>
          <w:color w:val="auto"/>
        </w:rPr>
      </w:pPr>
    </w:p>
    <w:p>
      <w:pPr>
        <w:ind w:left="1300" w:right="20" w:hanging="325"/>
        <w:spacing w:after="0" w:line="224" w:lineRule="auto"/>
        <w:tabs>
          <w:tab w:leader="none" w:pos="1300" w:val="left"/>
        </w:tabs>
        <w:numPr>
          <w:ilvl w:val="1"/>
          <w:numId w:val="4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9"/>
          <w:szCs w:val="19"/>
          <w:color w:val="auto"/>
        </w:rPr>
      </w:pPr>
    </w:p>
    <w:p>
      <w:pPr>
        <w:ind w:left="660" w:right="500" w:hanging="333"/>
        <w:spacing w:after="0" w:line="24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8"/>
          <w:szCs w:val="18"/>
          <w:color w:val="auto"/>
        </w:rPr>
      </w:pPr>
    </w:p>
    <w:p>
      <w:pPr>
        <w:ind w:left="1300" w:right="80" w:hanging="325"/>
        <w:spacing w:after="0" w:line="230" w:lineRule="auto"/>
        <w:tabs>
          <w:tab w:leader="none" w:pos="1300" w:val="left"/>
        </w:tabs>
        <w:numPr>
          <w:ilvl w:val="1"/>
          <w:numId w:val="47"/>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9"/>
          <w:szCs w:val="19"/>
          <w:color w:val="auto"/>
        </w:rPr>
      </w:pPr>
    </w:p>
    <w:p>
      <w:pPr>
        <w:ind w:left="1300" w:right="300" w:hanging="325"/>
        <w:spacing w:after="0" w:line="229" w:lineRule="auto"/>
        <w:tabs>
          <w:tab w:leader="none" w:pos="13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tabs>
          <w:tab w:leader="none" w:pos="4480" w:val="left"/>
        </w:tabs>
        <w:rPr>
          <w:sz w:val="20"/>
          <w:szCs w:val="20"/>
          <w:color w:val="auto"/>
        </w:rPr>
      </w:pPr>
      <w:r>
        <w:rPr>
          <w:rFonts w:ascii="Arial" w:cs="Arial" w:eastAsia="Arial" w:hAnsi="Arial"/>
          <w:sz w:val="20"/>
          <w:szCs w:val="20"/>
          <w:color w:val="auto"/>
        </w:rPr>
        <w:t>Date: May 4, 2018</w:t>
      </w:r>
      <w:r>
        <w:rPr>
          <w:sz w:val="20"/>
          <w:szCs w:val="20"/>
          <w:color w:val="auto"/>
        </w:rPr>
        <w:tab/>
      </w:r>
      <w:r>
        <w:rPr>
          <w:rFonts w:ascii="Arial" w:cs="Arial" w:eastAsia="Arial" w:hAnsi="Arial"/>
          <w:sz w:val="18"/>
          <w:szCs w:val="18"/>
          <w:color w:val="auto"/>
        </w:rPr>
        <w:t>By: /s/ Katrine S. Bosley</w:t>
      </w:r>
    </w:p>
    <w:p>
      <w:pPr>
        <w:ind w:left="4860"/>
        <w:spacing w:after="0" w:line="213" w:lineRule="auto"/>
        <w:rPr>
          <w:sz w:val="20"/>
          <w:szCs w:val="20"/>
          <w:color w:val="auto"/>
        </w:rPr>
      </w:pPr>
      <w:r>
        <w:rPr>
          <w:rFonts w:ascii="Arial" w:cs="Arial" w:eastAsia="Arial" w:hAnsi="Arial"/>
          <w:sz w:val="20"/>
          <w:szCs w:val="20"/>
          <w:color w:val="auto"/>
        </w:rPr>
        <w:t>Katrine S. Bosley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-127000</wp:posOffset>
            </wp:positionV>
            <wp:extent cx="2675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4860"/>
        <w:spacing w:after="0" w:line="212" w:lineRule="auto"/>
        <w:rPr>
          <w:sz w:val="20"/>
          <w:szCs w:val="20"/>
          <w:color w:val="auto"/>
        </w:rPr>
      </w:pPr>
      <w:r>
        <w:rPr>
          <w:rFonts w:ascii="Arial" w:cs="Arial" w:eastAsia="Arial" w:hAnsi="Arial"/>
          <w:sz w:val="20"/>
          <w:szCs w:val="20"/>
          <w:color w:val="auto"/>
        </w:rPr>
        <w:t>Chief Executive Officer</w:t>
      </w:r>
    </w:p>
    <w:p>
      <w:pPr>
        <w:ind w:left="4860"/>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b w:val="1"/>
          <w:bCs w:val="1"/>
          <w:color w:val="auto"/>
        </w:rPr>
        <w:t>Exhibit 31.2</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I, Andrew A.F. Hack, certify that:</w:t>
      </w:r>
    </w:p>
    <w:p>
      <w:pPr>
        <w:spacing w:after="0" w:line="54" w:lineRule="exact"/>
        <w:rPr>
          <w:sz w:val="20"/>
          <w:szCs w:val="20"/>
          <w:color w:val="auto"/>
        </w:rPr>
      </w:pPr>
    </w:p>
    <w:p>
      <w:pPr>
        <w:ind w:left="660" w:hanging="333"/>
        <w:spacing w:after="0"/>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Editas Medicine, Inc.;</w:t>
      </w:r>
    </w:p>
    <w:p>
      <w:pPr>
        <w:spacing w:after="0" w:line="53" w:lineRule="exact"/>
        <w:rPr>
          <w:rFonts w:ascii="Arial" w:cs="Arial" w:eastAsia="Arial" w:hAnsi="Arial"/>
          <w:sz w:val="20"/>
          <w:szCs w:val="20"/>
          <w:color w:val="auto"/>
        </w:rPr>
      </w:pPr>
    </w:p>
    <w:p>
      <w:pPr>
        <w:jc w:val="both"/>
        <w:ind w:left="660" w:right="280" w:hanging="333"/>
        <w:spacing w:after="0" w:line="24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18"/>
          <w:szCs w:val="18"/>
          <w:color w:val="auto"/>
        </w:rPr>
      </w:pPr>
    </w:p>
    <w:p>
      <w:pPr>
        <w:ind w:left="660" w:right="80" w:hanging="333"/>
        <w:spacing w:after="0" w:line="218"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20"/>
          <w:szCs w:val="20"/>
          <w:color w:val="auto"/>
        </w:rPr>
      </w:pPr>
    </w:p>
    <w:p>
      <w:pPr>
        <w:ind w:left="660" w:right="40" w:hanging="333"/>
        <w:spacing w:after="0" w:line="213"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 w:lineRule="exact"/>
        <w:rPr>
          <w:rFonts w:ascii="Arial" w:cs="Arial" w:eastAsia="Arial" w:hAnsi="Arial"/>
          <w:sz w:val="20"/>
          <w:szCs w:val="20"/>
          <w:color w:val="auto"/>
        </w:rPr>
      </w:pPr>
    </w:p>
    <w:p>
      <w:pPr>
        <w:ind w:left="1300" w:right="80" w:hanging="325"/>
        <w:spacing w:after="0" w:line="23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Arial" w:cs="Arial" w:eastAsia="Arial" w:hAnsi="Arial"/>
          <w:sz w:val="18"/>
          <w:szCs w:val="18"/>
          <w:color w:val="auto"/>
        </w:rPr>
      </w:pPr>
    </w:p>
    <w:p>
      <w:pPr>
        <w:ind w:left="1300" w:right="460" w:hanging="325"/>
        <w:spacing w:after="0" w:line="23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Arial" w:cs="Arial" w:eastAsia="Arial" w:hAnsi="Arial"/>
          <w:sz w:val="18"/>
          <w:szCs w:val="18"/>
          <w:color w:val="auto"/>
        </w:rPr>
      </w:pPr>
    </w:p>
    <w:p>
      <w:pPr>
        <w:jc w:val="both"/>
        <w:ind w:left="1300" w:right="20" w:hanging="325"/>
        <w:spacing w:after="0" w:line="24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Arial" w:cs="Arial" w:eastAsia="Arial" w:hAnsi="Arial"/>
          <w:sz w:val="18"/>
          <w:szCs w:val="18"/>
          <w:color w:val="auto"/>
        </w:rPr>
      </w:pPr>
    </w:p>
    <w:p>
      <w:pPr>
        <w:ind w:left="1300" w:right="20" w:hanging="325"/>
        <w:spacing w:after="0" w:line="224" w:lineRule="auto"/>
        <w:tabs>
          <w:tab w:leader="none" w:pos="1300" w:val="left"/>
        </w:tabs>
        <w:numPr>
          <w:ilvl w:val="1"/>
          <w:numId w:val="4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9"/>
          <w:szCs w:val="19"/>
          <w:color w:val="auto"/>
        </w:rPr>
      </w:pPr>
    </w:p>
    <w:p>
      <w:pPr>
        <w:ind w:left="660" w:right="500" w:hanging="333"/>
        <w:spacing w:after="0" w:line="24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8"/>
          <w:szCs w:val="18"/>
          <w:color w:val="auto"/>
        </w:rPr>
      </w:pPr>
    </w:p>
    <w:p>
      <w:pPr>
        <w:ind w:left="1300" w:right="80" w:hanging="325"/>
        <w:spacing w:after="0" w:line="230" w:lineRule="auto"/>
        <w:tabs>
          <w:tab w:leader="none" w:pos="1300" w:val="left"/>
        </w:tabs>
        <w:numPr>
          <w:ilvl w:val="1"/>
          <w:numId w:val="48"/>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Arial" w:cs="Arial" w:eastAsia="Arial" w:hAnsi="Arial"/>
          <w:sz w:val="19"/>
          <w:szCs w:val="19"/>
          <w:color w:val="auto"/>
        </w:rPr>
      </w:pPr>
    </w:p>
    <w:p>
      <w:pPr>
        <w:ind w:left="1300" w:right="300" w:hanging="325"/>
        <w:spacing w:after="0" w:line="229" w:lineRule="auto"/>
        <w:tabs>
          <w:tab w:leader="none" w:pos="13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tabs>
          <w:tab w:leader="none" w:pos="4460" w:val="left"/>
        </w:tabs>
        <w:rPr>
          <w:sz w:val="20"/>
          <w:szCs w:val="20"/>
          <w:color w:val="auto"/>
        </w:rPr>
      </w:pPr>
      <w:r>
        <w:rPr>
          <w:rFonts w:ascii="Arial" w:cs="Arial" w:eastAsia="Arial" w:hAnsi="Arial"/>
          <w:sz w:val="20"/>
          <w:szCs w:val="20"/>
          <w:color w:val="auto"/>
        </w:rPr>
        <w:t>Date: May 4, 2018</w:t>
      </w:r>
      <w:r>
        <w:rPr>
          <w:sz w:val="20"/>
          <w:szCs w:val="20"/>
          <w:color w:val="auto"/>
        </w:rPr>
        <w:tab/>
      </w:r>
      <w:r>
        <w:rPr>
          <w:rFonts w:ascii="Arial" w:cs="Arial" w:eastAsia="Arial" w:hAnsi="Arial"/>
          <w:sz w:val="18"/>
          <w:szCs w:val="18"/>
          <w:color w:val="auto"/>
        </w:rPr>
        <w:t>By:/s/ Andrew A. F. Hack</w:t>
      </w:r>
    </w:p>
    <w:p>
      <w:pPr>
        <w:ind w:left="4780"/>
        <w:spacing w:after="0" w:line="213" w:lineRule="auto"/>
        <w:rPr>
          <w:sz w:val="20"/>
          <w:szCs w:val="20"/>
          <w:color w:val="auto"/>
        </w:rPr>
      </w:pPr>
      <w:r>
        <w:rPr>
          <w:rFonts w:ascii="Arial" w:cs="Arial" w:eastAsia="Arial" w:hAnsi="Arial"/>
          <w:sz w:val="20"/>
          <w:szCs w:val="20"/>
          <w:color w:val="auto"/>
        </w:rPr>
        <w:t>Andrew A.F. Hack,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-127000</wp:posOffset>
            </wp:positionV>
            <wp:extent cx="2718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4780"/>
        <w:spacing w:after="0" w:line="212" w:lineRule="auto"/>
        <w:rPr>
          <w:sz w:val="20"/>
          <w:szCs w:val="20"/>
          <w:color w:val="auto"/>
        </w:rPr>
      </w:pPr>
      <w:r>
        <w:rPr>
          <w:rFonts w:ascii="Arial" w:cs="Arial" w:eastAsia="Arial" w:hAnsi="Arial"/>
          <w:sz w:val="20"/>
          <w:szCs w:val="20"/>
          <w:color w:val="auto"/>
        </w:rPr>
        <w:t>Chief Financial Officer</w:t>
      </w:r>
    </w:p>
    <w:p>
      <w:pPr>
        <w:ind w:left="4780"/>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32.1</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CERTIFICATIONS OF CEO AND CFO PURSUANT TO 18 U.S.C. SECTION 1350,</w:t>
      </w:r>
    </w:p>
    <w:p>
      <w:pPr>
        <w:jc w:val="center"/>
        <w:spacing w:after="0" w:line="197" w:lineRule="auto"/>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15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connection with this Quarterly Report on Form 10-Q of Editas Medicine, Inc. (the “Company”) for the period ended March 31, 2018, as filed with the Securities and Exchange Commission on the date hereof (the “Report”), each of the undersigned officers of the Company hereby certifies, pursuant to 18 U.S.C. (section) 1350, as adopted pursuant to (section) 906 of the Sarbanes-Oxley Act of 2002, that to the best of her or his knowledge:</w:t>
      </w:r>
    </w:p>
    <w:p>
      <w:pPr>
        <w:spacing w:after="0" w:line="60" w:lineRule="exact"/>
        <w:rPr>
          <w:sz w:val="20"/>
          <w:szCs w:val="20"/>
          <w:color w:val="auto"/>
        </w:rPr>
      </w:pPr>
    </w:p>
    <w:p>
      <w:pPr>
        <w:ind w:left="980" w:right="40" w:hanging="329"/>
        <w:spacing w:after="0" w:line="236" w:lineRule="auto"/>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01" w:lineRule="exact"/>
        <w:rPr>
          <w:rFonts w:ascii="Arial" w:cs="Arial" w:eastAsia="Arial" w:hAnsi="Arial"/>
          <w:sz w:val="20"/>
          <w:szCs w:val="20"/>
          <w:color w:val="auto"/>
        </w:rPr>
      </w:pPr>
    </w:p>
    <w:p>
      <w:pPr>
        <w:ind w:left="980" w:right="740" w:hanging="329"/>
        <w:spacing w:after="0" w:line="236" w:lineRule="auto"/>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4480" w:val="left"/>
        </w:tabs>
        <w:rPr>
          <w:sz w:val="20"/>
          <w:szCs w:val="20"/>
          <w:color w:val="auto"/>
        </w:rPr>
      </w:pPr>
      <w:r>
        <w:rPr>
          <w:rFonts w:ascii="Arial" w:cs="Arial" w:eastAsia="Arial" w:hAnsi="Arial"/>
          <w:sz w:val="20"/>
          <w:szCs w:val="20"/>
          <w:color w:val="auto"/>
        </w:rPr>
        <w:t>Date: May 4, 2018</w:t>
      </w:r>
      <w:r>
        <w:rPr>
          <w:sz w:val="20"/>
          <w:szCs w:val="20"/>
          <w:color w:val="auto"/>
        </w:rPr>
        <w:tab/>
      </w:r>
      <w:r>
        <w:rPr>
          <w:rFonts w:ascii="Arial" w:cs="Arial" w:eastAsia="Arial" w:hAnsi="Arial"/>
          <w:sz w:val="18"/>
          <w:szCs w:val="18"/>
          <w:color w:val="auto"/>
        </w:rPr>
        <w:t>By: /s/ Katrine S. Bosley</w:t>
      </w:r>
    </w:p>
    <w:p>
      <w:pPr>
        <w:ind w:left="4860"/>
        <w:spacing w:after="0" w:line="213" w:lineRule="auto"/>
        <w:rPr>
          <w:sz w:val="20"/>
          <w:szCs w:val="20"/>
          <w:color w:val="auto"/>
        </w:rPr>
      </w:pPr>
      <w:r>
        <w:rPr>
          <w:rFonts w:ascii="Arial" w:cs="Arial" w:eastAsia="Arial" w:hAnsi="Arial"/>
          <w:sz w:val="20"/>
          <w:szCs w:val="20"/>
          <w:color w:val="auto"/>
        </w:rPr>
        <w:t>Katrine S. Bosley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-127000</wp:posOffset>
            </wp:positionV>
            <wp:extent cx="2675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20"/>
          <w:szCs w:val="20"/>
          <w:color w:val="auto"/>
        </w:rPr>
        <w:t>President and Chief Executive Officer</w:t>
      </w:r>
    </w:p>
    <w:p>
      <w:pPr>
        <w:spacing w:after="0" w:line="362" w:lineRule="exact"/>
        <w:rPr>
          <w:sz w:val="20"/>
          <w:szCs w:val="20"/>
          <w:color w:val="auto"/>
        </w:rPr>
      </w:pPr>
    </w:p>
    <w:p>
      <w:pPr>
        <w:spacing w:after="0"/>
        <w:tabs>
          <w:tab w:leader="none" w:pos="4480" w:val="left"/>
        </w:tabs>
        <w:rPr>
          <w:sz w:val="20"/>
          <w:szCs w:val="20"/>
          <w:color w:val="auto"/>
        </w:rPr>
      </w:pPr>
      <w:r>
        <w:rPr>
          <w:rFonts w:ascii="Arial" w:cs="Arial" w:eastAsia="Arial" w:hAnsi="Arial"/>
          <w:sz w:val="20"/>
          <w:szCs w:val="20"/>
          <w:color w:val="auto"/>
        </w:rPr>
        <w:t>Date: May 4, 2018</w:t>
      </w:r>
      <w:r>
        <w:rPr>
          <w:sz w:val="20"/>
          <w:szCs w:val="20"/>
          <w:color w:val="auto"/>
        </w:rPr>
        <w:tab/>
      </w:r>
      <w:r>
        <w:rPr>
          <w:rFonts w:ascii="Arial" w:cs="Arial" w:eastAsia="Arial" w:hAnsi="Arial"/>
          <w:sz w:val="18"/>
          <w:szCs w:val="18"/>
          <w:color w:val="auto"/>
        </w:rPr>
        <w:t>By: /s/ Andrew A.F. Hack</w:t>
      </w:r>
    </w:p>
    <w:p>
      <w:pPr>
        <w:ind w:left="4860"/>
        <w:spacing w:after="0" w:line="213" w:lineRule="auto"/>
        <w:rPr>
          <w:sz w:val="20"/>
          <w:szCs w:val="20"/>
          <w:color w:val="auto"/>
        </w:rPr>
      </w:pPr>
      <w:r>
        <w:rPr>
          <w:rFonts w:ascii="Arial" w:cs="Arial" w:eastAsia="Arial" w:hAnsi="Arial"/>
          <w:sz w:val="20"/>
          <w:szCs w:val="20"/>
          <w:color w:val="auto"/>
        </w:rPr>
        <w:t>Andrew A.F. Hack,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-127000</wp:posOffset>
            </wp:positionV>
            <wp:extent cx="2675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Roman"/>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14" Type="http://schemas.openxmlformats.org/officeDocument/2006/relationships/hyperlink" Target="http://www.sec.gov/Archives/edgar/data/1650664/000104746918001543/a2234837zex-1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2019-12-28T22:59:15Z</dcterms:created>
  <dcterms:modified xsi:type="dcterms:W3CDTF">2019-12-28T22:59:15Z</dcterms:modified>
</cp:coreProperties>
</file>