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8145" w:type="dxa"/>
        <w:jc w:val="left"/>
        <w:tblInd w:w="0" w:type="dxa"/>
        <w:tblLayout w:type="fixed"/>
        <w:tblCellMar>
          <w:top w:w="28" w:type="dxa"/>
          <w:left w:w="28" w:type="dxa"/>
          <w:bottom w:w="28" w:type="dxa"/>
          <w:right w:w="28" w:type="dxa"/>
        </w:tblCellMar>
      </w:tblPr>
      <w:tblGrid>
        <w:gridCol w:w="2607"/>
        <w:gridCol w:w="2294"/>
        <w:gridCol w:w="3244"/>
      </w:tblGrid>
      <w:tr>
        <w:trPr/>
        <w:tc>
          <w:tcPr>
            <w:tcW w:w="2607"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244" w:type="dxa"/>
            <w:tcBorders/>
            <w:vAlign w:val="center"/>
          </w:tcPr>
          <w:p>
            <w:pPr>
              <w:pStyle w:val="TableContents"/>
              <w:bidi w:val="0"/>
              <w:spacing w:before="0" w:after="283"/>
              <w:jc w:val="left"/>
              <w:rPr>
                <w:sz w:val="4"/>
                <w:szCs w:val="4"/>
              </w:rPr>
            </w:pPr>
            <w:r>
              <w:rPr>
                <w:sz w:val="4"/>
                <w:szCs w:val="4"/>
              </w:rPr>
            </w:r>
          </w:p>
        </w:tc>
      </w:tr>
      <w:tr>
        <w:trPr/>
        <w:tc>
          <w:tcPr>
            <w:tcW w:w="8145" w:type="dxa"/>
            <w:gridSpan w:val="3"/>
            <w:tcBorders>
              <w:top w:val="double" w:sz="18" w:space="0" w:color="000000"/>
            </w:tcBorders>
            <w:tcMar>
              <w:top w:w="30" w:type="dxa"/>
              <w:left w:w="0" w:type="dxa"/>
              <w:bottom w:w="0" w:type="dxa"/>
              <w:right w:w="0" w:type="dxa"/>
            </w:tcMar>
            <w:vAlign w:val="center"/>
          </w:tcPr>
          <w:p>
            <w:pPr>
              <w:pStyle w:val="TableContents"/>
              <w:bidi w:val="0"/>
              <w:spacing w:before="0" w:after="240"/>
              <w:ind w:left="0" w:right="0" w:firstLine="720"/>
              <w:jc w:val="center"/>
              <w:rPr/>
            </w:pPr>
            <w:r>
              <w:rPr/>
            </w:r>
          </w:p>
          <w:p>
            <w:pPr>
              <w:pStyle w:val="TableContents"/>
              <w:bidi w:val="0"/>
              <w:spacing w:lineRule="auto" w:line="240"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As filed with the Securities and Exchange Commission on September 9, 2026</w:t>
            </w:r>
          </w:p>
        </w:tc>
      </w:tr>
    </w:tbl>
    <w:p>
      <w:pPr>
        <w:pStyle w:val="TextBody"/>
        <w:bidi w:val="0"/>
        <w:spacing w:lineRule="auto" w:line="240" w:before="0" w:after="220"/>
        <w:jc w:val="right"/>
        <w:rPr>
          <w:rFonts w:ascii="Times New Roman;serif" w:hAnsi="Times New Roman;serif"/>
          <w:b w:val="false"/>
          <w:color w:val="000000"/>
          <w:sz w:val="22"/>
        </w:rPr>
      </w:pPr>
      <w:r>
        <w:rPr>
          <w:rFonts w:ascii="Times New Roman;serif" w:hAnsi="Times New Roman;serif"/>
          <w:b w:val="false"/>
          <w:color w:val="000000"/>
          <w:sz w:val="22"/>
        </w:rPr>
        <w:t>Registration No. 333-_____</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40" w:before="0" w:after="240"/>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REGISTRATION STATEMENT UNDER</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THE SECURITIES ACT OF 1933</w:t>
      </w:r>
    </w:p>
    <w:p>
      <w:pPr>
        <w:pStyle w:val="TextBody"/>
        <w:bidi w:val="0"/>
        <w:spacing w:lineRule="auto" w:line="240" w:before="0" w:after="0"/>
        <w:jc w:val="center"/>
        <w:rPr>
          <w:rFonts w:ascii="Times New Roman;serif" w:hAnsi="Times New Roman;serif"/>
          <w:b/>
          <w:color w:val="000000"/>
          <w:sz w:val="48"/>
        </w:rPr>
      </w:pPr>
      <w:r>
        <w:rPr>
          <w:rFonts w:ascii="Times New Roman;serif" w:hAnsi="Times New Roman;serif"/>
          <w:b/>
          <w:color w:val="000000"/>
          <w:sz w:val="48"/>
        </w:rPr>
        <w:t>Editas Medicine, Inc.</w:t>
      </w:r>
    </w:p>
    <w:p>
      <w:pPr>
        <w:pStyle w:val="TextBody"/>
        <w:bidi w:val="0"/>
        <w:spacing w:lineRule="auto" w:line="240" w:before="0" w:after="34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7255" w:type="dxa"/>
        <w:jc w:val="left"/>
        <w:tblInd w:w="0" w:type="dxa"/>
        <w:tblLayout w:type="fixed"/>
        <w:tblCellMar>
          <w:top w:w="28" w:type="dxa"/>
          <w:left w:w="28" w:type="dxa"/>
          <w:bottom w:w="28" w:type="dxa"/>
          <w:right w:w="28" w:type="dxa"/>
        </w:tblCellMar>
      </w:tblPr>
      <w:tblGrid>
        <w:gridCol w:w="1475"/>
        <w:gridCol w:w="1296"/>
        <w:gridCol w:w="1309"/>
        <w:gridCol w:w="268"/>
        <w:gridCol w:w="268"/>
        <w:gridCol w:w="270"/>
        <w:gridCol w:w="692"/>
        <w:gridCol w:w="692"/>
        <w:gridCol w:w="985"/>
      </w:tblGrid>
      <w:tr>
        <w:trPr/>
        <w:tc>
          <w:tcPr>
            <w:tcW w:w="147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46-4097528</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br/>
              <w:t>or Organization)</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408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11 Hurley Street</w:t>
            </w:r>
            <w:r>
              <w:rPr>
                <w:rFonts w:ascii="Times New Roman;serif" w:hAnsi="Times New Roman;serif"/>
                <w:b w:val="false"/>
                <w:color w:val="000000"/>
                <w:sz w:val="20"/>
              </w:rPr>
              <w:br/>
            </w:r>
            <w:r>
              <w:rPr>
                <w:rFonts w:ascii="Times New Roman;serif" w:hAnsi="Times New Roman;serif"/>
                <w:b/>
                <w:color w:val="000000"/>
                <w:sz w:val="20"/>
              </w:rPr>
              <w:t>Cambridge, Massachusetts</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02141</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Inducement Stock Option Award (September 2026)</w:t>
      </w:r>
    </w:p>
    <w:p>
      <w:pPr>
        <w:pStyle w:val="TextBody"/>
        <w:bidi w:val="0"/>
        <w:spacing w:lineRule="auto" w:line="240" w:before="0" w:after="200"/>
        <w:jc w:val="center"/>
        <w:rPr>
          <w:rFonts w:ascii="Times New Roman;serif" w:hAnsi="Times New Roman;serif"/>
          <w:b w:val="false"/>
          <w:color w:val="000000"/>
          <w:sz w:val="20"/>
        </w:rPr>
      </w:pPr>
      <w:r>
        <w:rPr>
          <w:rFonts w:ascii="Times New Roman;serif" w:hAnsi="Times New Roman;serif"/>
          <w:b w:val="false"/>
          <w:color w:val="000000"/>
          <w:sz w:val="20"/>
        </w:rPr>
        <w:t>(Full Title of the Plans)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Gilmore O’Neill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11 Hurley Street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Cambridge, Massachusetts 02141</w:t>
      </w:r>
    </w:p>
    <w:p>
      <w:pPr>
        <w:pStyle w:val="TextBody"/>
        <w:bidi w:val="0"/>
        <w:spacing w:lineRule="auto" w:line="240" w:before="0" w:after="200"/>
        <w:jc w:val="center"/>
        <w:rPr>
          <w:rFonts w:ascii="Times New Roman;serif" w:hAnsi="Times New Roman;serif"/>
          <w:b w:val="false"/>
          <w:color w:val="000000"/>
          <w:sz w:val="20"/>
        </w:rPr>
      </w:pPr>
      <w:r>
        <w:rPr>
          <w:rFonts w:ascii="Times New Roman;serif" w:hAnsi="Times New Roman;serif"/>
          <w:b w:val="false"/>
          <w:color w:val="000000"/>
          <w:sz w:val="20"/>
        </w:rPr>
        <w:t>(Name and Address of Agent For Service)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(617) 401-9000</w:t>
      </w:r>
    </w:p>
    <w:p>
      <w:pPr>
        <w:pStyle w:val="TextBody"/>
        <w:bidi w:val="0"/>
        <w:spacing w:lineRule="auto" w:line="240" w:before="0" w:after="200"/>
        <w:jc w:val="center"/>
        <w:rPr>
          <w:rFonts w:ascii="Times New Roman;serif" w:hAnsi="Times New Roman;serif"/>
          <w:b w:val="false"/>
          <w:color w:val="000000"/>
          <w:sz w:val="20"/>
        </w:rPr>
      </w:pPr>
      <w:r>
        <w:rPr>
          <w:rFonts w:ascii="Times New Roman;serif" w:hAnsi="Times New Roman;serif"/>
          <w:b w:val="false"/>
          <w:color w:val="000000"/>
          <w:sz w:val="20"/>
        </w:rPr>
        <w:t>(Telephone Number, Including Area Code, of Agent For Service)</w:t>
      </w:r>
    </w:p>
    <w:p>
      <w:pPr>
        <w:pStyle w:val="TextBody"/>
        <w:bidi w:val="0"/>
        <w:spacing w:lineRule="auto" w:line="240" w:before="0" w:after="2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8116" w:type="dxa"/>
        <w:jc w:val="left"/>
        <w:tblInd w:w="0" w:type="dxa"/>
        <w:tblLayout w:type="fixed"/>
        <w:tblCellMar>
          <w:top w:w="28" w:type="dxa"/>
          <w:left w:w="28" w:type="dxa"/>
          <w:bottom w:w="28" w:type="dxa"/>
          <w:right w:w="28" w:type="dxa"/>
        </w:tblCellMar>
      </w:tblPr>
      <w:tblGrid>
        <w:gridCol w:w="957"/>
        <w:gridCol w:w="841"/>
        <w:gridCol w:w="843"/>
        <w:gridCol w:w="345"/>
        <w:gridCol w:w="345"/>
        <w:gridCol w:w="346"/>
        <w:gridCol w:w="109"/>
        <w:gridCol w:w="109"/>
        <w:gridCol w:w="109"/>
        <w:gridCol w:w="1009"/>
        <w:gridCol w:w="1009"/>
        <w:gridCol w:w="1013"/>
        <w:gridCol w:w="316"/>
        <w:gridCol w:w="316"/>
        <w:gridCol w:w="449"/>
      </w:tblGrid>
      <w:tr>
        <w:trPr/>
        <w:tc>
          <w:tcPr>
            <w:tcW w:w="95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color w:val="000000"/>
              </w:rPr>
            </w:pPr>
            <w:r>
              <w:rPr>
                <w:color w:val="000000"/>
              </w:rPr>
              <w:t>☐</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color w:val="000000"/>
              </w:rPr>
            </w:pPr>
            <w:r>
              <w:rPr>
                <w:color w:val="000000"/>
              </w:rPr>
              <w:t>☒</w:t>
            </w:r>
          </w:p>
        </w:tc>
      </w:tr>
      <w:tr>
        <w:trPr/>
        <w:tc>
          <w:tcPr>
            <w:tcW w:w="2641"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03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40"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PART I</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INFORMATION REQUIRED IN THE SECTION 10(a) PROSPECTUS</w:t>
      </w:r>
    </w:p>
    <w:p>
      <w:pPr>
        <w:pStyle w:val="TextBody"/>
        <w:bidi w:val="0"/>
        <w:spacing w:lineRule="auto" w:line="288" w:before="240" w:after="283"/>
        <w:ind w:left="0" w:right="0" w:firstLine="720"/>
        <w:jc w:val="left"/>
        <w:rPr>
          <w:rFonts w:ascii="Times New Roman;serif" w:hAnsi="Times New Roman;serif"/>
          <w:b/>
          <w:color w:val="000000"/>
          <w:sz w:val="22"/>
        </w:rPr>
      </w:pPr>
      <w:r>
        <w:rPr>
          <w:rFonts w:ascii="Times New Roman;serif" w:hAnsi="Times New Roman;serif"/>
          <w:b/>
          <w:color w:val="000000"/>
          <w:sz w:val="22"/>
        </w:rPr>
        <w:t>Item 1. Plan Information.</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information required by Item 1 is included in documents sent or given to the participant in the plan covered by this registration statement pursuant to Rule 428(b)(1) of the Securities Act of 1933, as amended (the “Securities Act”).</w:t>
      </w:r>
    </w:p>
    <w:p>
      <w:pPr>
        <w:pStyle w:val="TextBody"/>
        <w:bidi w:val="0"/>
        <w:spacing w:lineRule="auto" w:line="288" w:before="240" w:after="283"/>
        <w:ind w:left="0" w:right="0" w:firstLine="720"/>
        <w:jc w:val="left"/>
        <w:rPr>
          <w:rFonts w:ascii="Times New Roman;serif" w:hAnsi="Times New Roman;serif"/>
          <w:b/>
          <w:color w:val="000000"/>
          <w:sz w:val="22"/>
        </w:rPr>
      </w:pPr>
      <w:r>
        <w:rPr>
          <w:rFonts w:ascii="Times New Roman;serif" w:hAnsi="Times New Roman;serif"/>
          <w:b/>
          <w:color w:val="000000"/>
          <w:sz w:val="22"/>
        </w:rPr>
        <w:t>Item 2. Registrant Information and Employee Plan Annual Information.</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written statement required by Item 2 is included in documents sent or given to the participants in the plan covered by this registration statement pursuant to Rule 428(b)(1) of the Securities Act.</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PART II</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INFORMATION REQUIRED IN THE REGISTRATION STATEMENT</w:t>
      </w:r>
    </w:p>
    <w:p>
      <w:pPr>
        <w:pStyle w:val="TextBody"/>
        <w:bidi w:val="0"/>
        <w:spacing w:lineRule="auto" w:line="288" w:before="240" w:after="283"/>
        <w:ind w:left="0" w:right="0" w:firstLine="720"/>
        <w:jc w:val="left"/>
        <w:rPr>
          <w:rFonts w:ascii="Times New Roman;serif" w:hAnsi="Times New Roman;serif"/>
          <w:b/>
          <w:color w:val="000000"/>
          <w:sz w:val="22"/>
        </w:rPr>
      </w:pPr>
      <w:r>
        <w:rPr>
          <w:rFonts w:ascii="Times New Roman;serif" w:hAnsi="Times New Roman;serif"/>
          <w:b/>
          <w:color w:val="000000"/>
          <w:sz w:val="22"/>
        </w:rPr>
        <w:t>Item 3. Incorporation of Documents by Reference.</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pStyle w:val="TextBody"/>
        <w:bidi w:val="0"/>
        <w:spacing w:lineRule="auto" w:line="288" w:before="240" w:after="283"/>
        <w:ind w:left="0" w:right="0" w:firstLine="720"/>
        <w:jc w:val="left"/>
        <w:rPr/>
      </w:pPr>
      <w:r>
        <w:rPr>
          <w:rFonts w:ascii="Times New Roman;serif" w:hAnsi="Times New Roman;serif"/>
          <w:b w:val="false"/>
          <w:color w:val="000000"/>
          <w:sz w:val="22"/>
        </w:rPr>
        <w:t xml:space="preserve">(1) </w:t>
      </w:r>
      <w:hyperlink r:id="rId2">
        <w:r>
          <w:rPr>
            <w:rStyle w:val="InternetLink"/>
            <w:rFonts w:ascii="Times New Roman;serif" w:hAnsi="Times New Roman;serif"/>
            <w:b w:val="false"/>
            <w:color w:val="0000FF"/>
            <w:sz w:val="22"/>
            <w:u w:val="single"/>
          </w:rPr>
          <w:t>The registrant’s Annual Report on Form 10-K for the fiscal year ended December 31, 2025, as filed with the Commission on March 9, 2026</w:t>
        </w:r>
      </w:hyperlink>
      <w:r>
        <w:rPr>
          <w:rFonts w:ascii="Times New Roman;serif" w:hAnsi="Times New Roman;serif"/>
          <w:b w:val="false"/>
          <w:color w:val="000000"/>
          <w:sz w:val="22"/>
        </w:rPr>
        <w:t xml:space="preserve">, including the information specifically incorporated by reference into the Annual Report on Form 10-K from our definitive proxy statement for the 2026 </w:t>
      </w:r>
      <w:hyperlink r:id="rId3">
        <w:r>
          <w:rPr>
            <w:rStyle w:val="InternetLink"/>
            <w:rFonts w:ascii="Times New Roman;serif" w:hAnsi="Times New Roman;serif"/>
            <w:b w:val="false"/>
            <w:color w:val="0000FF"/>
            <w:sz w:val="22"/>
            <w:u w:val="single"/>
          </w:rPr>
          <w:t>Annual Meeting of Stockholders, as filed with the Commission on April 28, 2026</w:t>
        </w:r>
      </w:hyperlink>
      <w:r>
        <w:rPr>
          <w:rFonts w:ascii="Times New Roman;serif" w:hAnsi="Times New Roman;serif"/>
          <w:b w:val="false"/>
          <w:color w:val="000000"/>
          <w:sz w:val="22"/>
        </w:rPr>
        <w:t>.</w:t>
      </w:r>
    </w:p>
    <w:p>
      <w:pPr>
        <w:pStyle w:val="TextBody"/>
        <w:bidi w:val="0"/>
        <w:spacing w:lineRule="auto" w:line="288" w:before="240" w:after="283"/>
        <w:ind w:left="0" w:right="0" w:firstLine="720"/>
        <w:jc w:val="left"/>
        <w:rPr/>
      </w:pPr>
      <w:r>
        <w:rPr>
          <w:rFonts w:ascii="Times New Roman;serif" w:hAnsi="Times New Roman;serif"/>
          <w:b w:val="false"/>
          <w:color w:val="000000"/>
          <w:sz w:val="22"/>
        </w:rPr>
        <w:t xml:space="preserve">(2) The registrant’s quarterly reports on Form 10-Q for the fiscal quarters ended March 31, 2026 and June 30, 2026, as filed with the Commission on </w:t>
      </w:r>
      <w:hyperlink r:id="rId4">
        <w:r>
          <w:rPr>
            <w:rStyle w:val="InternetLink"/>
            <w:rFonts w:ascii="Times New Roman;serif" w:hAnsi="Times New Roman;serif"/>
            <w:b w:val="false"/>
            <w:color w:val="0000FF"/>
            <w:sz w:val="22"/>
            <w:u w:val="single"/>
          </w:rPr>
          <w:t>May 5, 2026</w:t>
        </w:r>
      </w:hyperlink>
      <w:r>
        <w:rPr>
          <w:color w:val="000000"/>
        </w:rPr>
        <w:t xml:space="preserve"> </w:t>
      </w:r>
      <w:r>
        <w:rPr>
          <w:rFonts w:ascii="Times New Roman;serif" w:hAnsi="Times New Roman;serif"/>
          <w:b w:val="false"/>
          <w:color w:val="000000"/>
          <w:sz w:val="22"/>
        </w:rPr>
        <w:t xml:space="preserve">and </w:t>
      </w:r>
      <w:hyperlink r:id="rId5">
        <w:r>
          <w:rPr>
            <w:rStyle w:val="InternetLink"/>
          </w:rPr>
          <w:t xml:space="preserve">August </w:t>
        </w:r>
      </w:hyperlink>
      <w:hyperlink r:id="rId6">
        <w:r>
          <w:rPr>
            <w:rStyle w:val="InternetLink"/>
          </w:rPr>
          <w:t>5</w:t>
        </w:r>
      </w:hyperlink>
      <w:hyperlink r:id="rId7">
        <w:r>
          <w:rPr>
            <w:rStyle w:val="InternetLink"/>
          </w:rPr>
          <w:t>, 2026</w:t>
        </w:r>
      </w:hyperlink>
      <w:r>
        <w:rPr>
          <w:rFonts w:ascii="Times New Roman;serif" w:hAnsi="Times New Roman;serif"/>
          <w:b w:val="false"/>
          <w:color w:val="000000"/>
          <w:sz w:val="22"/>
        </w:rPr>
        <w:t>, respectively.</w:t>
      </w:r>
    </w:p>
    <w:p>
      <w:pPr>
        <w:pStyle w:val="TextBody"/>
        <w:bidi w:val="0"/>
        <w:spacing w:lineRule="auto" w:line="288" w:before="240" w:after="283"/>
        <w:ind w:left="0" w:right="0" w:firstLine="720"/>
        <w:jc w:val="left"/>
        <w:rPr/>
      </w:pPr>
      <w:r>
        <w:rPr>
          <w:rFonts w:ascii="Times New Roman;serif" w:hAnsi="Times New Roman;serif"/>
          <w:b w:val="false"/>
          <w:color w:val="000000"/>
          <w:sz w:val="22"/>
        </w:rPr>
        <w:t xml:space="preserve">(3) The registrant’s current reports on Form 8-K as filed with the Commission on </w:t>
      </w:r>
      <w:hyperlink r:id="rId8">
        <w:r>
          <w:rPr>
            <w:rStyle w:val="InternetLink"/>
            <w:rFonts w:ascii="Times New Roman;serif" w:hAnsi="Times New Roman;serif"/>
            <w:b w:val="false"/>
            <w:color w:val="0000FF"/>
            <w:sz w:val="22"/>
            <w:u w:val="single"/>
          </w:rPr>
          <w:t>March 27, 2026</w:t>
        </w:r>
      </w:hyperlink>
      <w:r>
        <w:rPr>
          <w:color w:val="000000"/>
        </w:rPr>
        <w:t xml:space="preserve"> </w:t>
      </w:r>
      <w:r>
        <w:rPr>
          <w:rFonts w:ascii="Times New Roman;serif" w:hAnsi="Times New Roman;serif"/>
          <w:b w:val="false"/>
          <w:color w:val="000000"/>
          <w:sz w:val="22"/>
        </w:rPr>
        <w:t xml:space="preserve">(Item 8.01 only), </w:t>
      </w:r>
      <w:hyperlink r:id="rId9">
        <w:r>
          <w:rPr>
            <w:rStyle w:val="InternetLink"/>
            <w:rFonts w:ascii="Times New Roman;serif" w:hAnsi="Times New Roman;serif"/>
            <w:b w:val="false"/>
            <w:color w:val="0000FF"/>
            <w:sz w:val="22"/>
            <w:u w:val="single"/>
          </w:rPr>
          <w:t>April 7, 2026</w:t>
        </w:r>
      </w:hyperlink>
      <w:r>
        <w:rPr>
          <w:rFonts w:ascii="Times New Roman;serif" w:hAnsi="Times New Roman;serif"/>
          <w:b w:val="false"/>
          <w:color w:val="000000"/>
          <w:sz w:val="22"/>
        </w:rPr>
        <w:t xml:space="preserve">, </w:t>
      </w:r>
      <w:hyperlink r:id="rId10">
        <w:r>
          <w:rPr>
            <w:rStyle w:val="InternetLink"/>
            <w:rFonts w:ascii="Times New Roman;serif" w:hAnsi="Times New Roman;serif"/>
            <w:b w:val="false"/>
            <w:color w:val="0000FF"/>
            <w:sz w:val="22"/>
            <w:u w:val="single"/>
          </w:rPr>
          <w:t>May 14, 2026</w:t>
        </w:r>
      </w:hyperlink>
      <w:r>
        <w:rPr>
          <w:color w:val="000000"/>
        </w:rPr>
        <w:t xml:space="preserve"> </w:t>
      </w:r>
      <w:r>
        <w:rPr>
          <w:rFonts w:ascii="Times New Roman;serif" w:hAnsi="Times New Roman;serif"/>
          <w:b w:val="false"/>
          <w:color w:val="000000"/>
          <w:sz w:val="22"/>
        </w:rPr>
        <w:t xml:space="preserve">(Item 8.01 only), </w:t>
      </w:r>
      <w:hyperlink r:id="rId11">
        <w:r>
          <w:rPr>
            <w:rStyle w:val="InternetLink"/>
            <w:rFonts w:ascii="Times New Roman;serif" w:hAnsi="Times New Roman;serif"/>
            <w:b w:val="false"/>
            <w:color w:val="0000FF"/>
            <w:sz w:val="22"/>
            <w:u w:val="single"/>
          </w:rPr>
          <w:t>May 26, 2026</w:t>
        </w:r>
      </w:hyperlink>
      <w:r>
        <w:rPr>
          <w:color w:val="000000"/>
        </w:rPr>
        <w:t xml:space="preserve"> </w:t>
      </w:r>
      <w:r>
        <w:rPr>
          <w:rFonts w:ascii="Times New Roman;serif" w:hAnsi="Times New Roman;serif"/>
          <w:b w:val="false"/>
          <w:color w:val="000000"/>
          <w:sz w:val="22"/>
        </w:rPr>
        <w:t xml:space="preserve">(Item 8.01 only), </w:t>
      </w:r>
      <w:hyperlink r:id="rId12">
        <w:r>
          <w:rPr>
            <w:rStyle w:val="InternetLink"/>
            <w:rFonts w:ascii="Times New Roman;serif" w:hAnsi="Times New Roman;serif"/>
            <w:b w:val="false"/>
            <w:color w:val="0000FF"/>
            <w:sz w:val="22"/>
            <w:u w:val="single"/>
          </w:rPr>
          <w:t>May 26, 2026</w:t>
        </w:r>
      </w:hyperlink>
      <w:r>
        <w:rPr>
          <w:rFonts w:ascii="Times New Roman;serif" w:hAnsi="Times New Roman;serif"/>
          <w:b w:val="false"/>
          <w:color w:val="000000"/>
          <w:sz w:val="22"/>
        </w:rPr>
        <w:t xml:space="preserve">, </w:t>
      </w:r>
      <w:hyperlink r:id="rId13">
        <w:r>
          <w:rPr>
            <w:rStyle w:val="InternetLink"/>
            <w:rFonts w:ascii="Times New Roman;serif" w:hAnsi="Times New Roman;serif"/>
            <w:b w:val="false"/>
            <w:color w:val="0000FF"/>
            <w:sz w:val="22"/>
            <w:u w:val="single"/>
          </w:rPr>
          <w:t>May 26, 2026</w:t>
        </w:r>
      </w:hyperlink>
      <w:r>
        <w:rPr>
          <w:rFonts w:ascii="Times New Roman;serif" w:hAnsi="Times New Roman;serif"/>
          <w:b w:val="false"/>
          <w:color w:val="000000"/>
          <w:sz w:val="22"/>
        </w:rPr>
        <w:t xml:space="preserve">, </w:t>
      </w:r>
      <w:hyperlink r:id="rId14">
        <w:r>
          <w:rPr>
            <w:rStyle w:val="InternetLink"/>
            <w:rFonts w:ascii="Times New Roman;serif" w:hAnsi="Times New Roman;serif"/>
            <w:b w:val="false"/>
            <w:color w:val="0000FF"/>
            <w:sz w:val="22"/>
            <w:u w:val="single"/>
          </w:rPr>
          <w:t>June 18, 2026</w:t>
        </w:r>
      </w:hyperlink>
      <w:r>
        <w:rPr>
          <w:rFonts w:ascii="Times New Roman;serif" w:hAnsi="Times New Roman;serif"/>
          <w:b w:val="false"/>
          <w:color w:val="000000"/>
          <w:sz w:val="22"/>
        </w:rPr>
        <w:t xml:space="preserve">, and </w:t>
      </w:r>
      <w:hyperlink r:id="rId15">
        <w:r>
          <w:rPr>
            <w:rStyle w:val="InternetLink"/>
            <w:rFonts w:ascii="Times New Roman;serif" w:hAnsi="Times New Roman;serif"/>
            <w:b w:val="false"/>
            <w:color w:val="0000FF"/>
            <w:sz w:val="22"/>
            <w:u w:val="single"/>
          </w:rPr>
          <w:t>August 5, 2026</w:t>
        </w:r>
      </w:hyperlink>
      <w:r>
        <w:rPr>
          <w:color w:val="000000"/>
        </w:rPr>
        <w:t xml:space="preserve"> </w:t>
      </w:r>
      <w:r>
        <w:rPr>
          <w:rFonts w:ascii="Times New Roman;serif" w:hAnsi="Times New Roman;serif"/>
          <w:b w:val="false"/>
          <w:color w:val="000000"/>
          <w:sz w:val="22"/>
        </w:rPr>
        <w:t>(Item 5.02 only).</w:t>
      </w:r>
    </w:p>
    <w:p>
      <w:pPr>
        <w:pStyle w:val="TextBody"/>
        <w:bidi w:val="0"/>
        <w:spacing w:lineRule="auto" w:line="288" w:before="240" w:after="283"/>
        <w:ind w:left="0" w:right="0" w:firstLine="720"/>
        <w:jc w:val="left"/>
        <w:rPr/>
      </w:pPr>
      <w:r>
        <w:rPr>
          <w:rFonts w:ascii="Times New Roman;serif" w:hAnsi="Times New Roman;serif"/>
          <w:b w:val="false"/>
          <w:color w:val="000000"/>
          <w:sz w:val="22"/>
        </w:rPr>
        <w:t xml:space="preserve">(4) The description of the registrant’s common stock contained in the registrant’s </w:t>
      </w:r>
      <w:hyperlink r:id="rId16">
        <w:r>
          <w:rPr>
            <w:rStyle w:val="InternetLink"/>
            <w:rFonts w:ascii="Times New Roman;serif" w:hAnsi="Times New Roman;serif"/>
            <w:b w:val="false"/>
            <w:color w:val="0000FF"/>
            <w:sz w:val="22"/>
            <w:u w:val="single"/>
          </w:rPr>
          <w:t>registration statement on Form 8</w:t>
          <w:noBreakHyphen/>
          <w:t>A filed under the Exchange Act with the Commission on January 29, 2016</w:t>
        </w:r>
      </w:hyperlink>
      <w:r>
        <w:rPr>
          <w:rFonts w:ascii="Times New Roman;serif" w:hAnsi="Times New Roman;serif"/>
          <w:b w:val="false"/>
          <w:color w:val="000000"/>
          <w:sz w:val="22"/>
        </w:rPr>
        <w:t xml:space="preserve">, as the description therein has been updated and superseded by the description of the registrant’s capital stock contained in </w:t>
      </w:r>
      <w:hyperlink r:id="rId17">
        <w:r>
          <w:rPr>
            <w:rStyle w:val="InternetLink"/>
            <w:rFonts w:ascii="Times New Roman;serif" w:hAnsi="Times New Roman;serif"/>
            <w:b w:val="false"/>
            <w:color w:val="0000FF"/>
            <w:sz w:val="22"/>
            <w:u w:val="single"/>
          </w:rPr>
          <w:t>Exhibit 4.2</w:t>
        </w:r>
      </w:hyperlink>
      <w:r>
        <w:rPr>
          <w:color w:val="000000"/>
        </w:rPr>
        <w:t xml:space="preserve"> </w:t>
      </w:r>
      <w:r>
        <w:rPr>
          <w:rFonts w:ascii="Times New Roman;serif" w:hAnsi="Times New Roman;serif"/>
          <w:b w:val="false"/>
          <w:color w:val="000000"/>
          <w:sz w:val="22"/>
        </w:rPr>
        <w:t>to the registrant’s Annual Report on Form 10-K for the fiscal year ended December 31, 2025, as filed with the Commission on March 9, 2026, including any amendment or report filed for the purpose of updating such description.</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lineRule="auto" w:line="288" w:before="240" w:after="283"/>
        <w:ind w:left="0" w:right="0" w:firstLine="720"/>
        <w:jc w:val="left"/>
        <w:rPr>
          <w:rFonts w:ascii="Times New Roman;serif" w:hAnsi="Times New Roman;serif"/>
          <w:b/>
          <w:color w:val="000000"/>
          <w:sz w:val="22"/>
        </w:rPr>
      </w:pPr>
      <w:r>
        <w:rPr>
          <w:rFonts w:ascii="Times New Roman;serif" w:hAnsi="Times New Roman;serif"/>
          <w:b/>
          <w:color w:val="000000"/>
          <w:sz w:val="22"/>
        </w:rPr>
        <w:t>Item 4. Description of Securities.</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240" w:after="283"/>
        <w:ind w:left="0" w:right="0" w:firstLine="720"/>
        <w:jc w:val="left"/>
        <w:rPr>
          <w:rFonts w:ascii="Times New Roman;serif" w:hAnsi="Times New Roman;serif"/>
          <w:b/>
          <w:color w:val="000000"/>
          <w:sz w:val="22"/>
        </w:rPr>
      </w:pPr>
      <w:r>
        <w:rPr>
          <w:rFonts w:ascii="Times New Roman;serif" w:hAnsi="Times New Roman;serif"/>
          <w:b/>
          <w:color w:val="000000"/>
          <w:sz w:val="22"/>
        </w:rPr>
        <w:t>Item 5. Interests of Named Experts and Counsel.</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240" w:after="283"/>
        <w:ind w:left="0" w:right="0" w:firstLine="720"/>
        <w:jc w:val="left"/>
        <w:rPr>
          <w:rFonts w:ascii="Times New Roman;serif" w:hAnsi="Times New Roman;serif"/>
          <w:b/>
          <w:color w:val="000000"/>
          <w:sz w:val="22"/>
        </w:rPr>
      </w:pPr>
      <w:r>
        <w:rPr>
          <w:rFonts w:ascii="Times New Roman;serif" w:hAnsi="Times New Roman;serif"/>
          <w:b/>
          <w:color w:val="000000"/>
          <w:sz w:val="22"/>
        </w:rPr>
        <w:t>Item 6. Indemnification of Directors and Officers.</w:t>
      </w:r>
    </w:p>
    <w:p>
      <w:pPr>
        <w:pStyle w:val="TextBody"/>
        <w:bidi w:val="0"/>
        <w:spacing w:lineRule="auto" w:line="288" w:before="240" w:after="283"/>
        <w:ind w:left="0" w:right="0" w:firstLine="720"/>
        <w:jc w:val="left"/>
        <w:rPr/>
      </w:pPr>
      <w:r>
        <w:rPr>
          <w:rFonts w:ascii="Times New Roman;serif" w:hAnsi="Times New Roman;serif"/>
          <w:b w:val="false"/>
          <w:color w:val="000000"/>
          <w:sz w:val="22"/>
        </w:rPr>
        <w:t>Section 102(b)(7) of the General Corporation Law of the State of Delaware (the “DGCL”) permits a corporation to eliminate the personal liability of directors or officers of a corporation to the corporation or its stockholders for monetary damages for a breach of fiduciary duty as a director</w:t>
      </w:r>
      <w:r>
        <w:rPr>
          <w:color w:val="000000"/>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provision may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 The registrant’s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registrant’s certificate of incorporation provides that it will indemnify each person who was or is a party or threatened to be made a party or is involved in to any threatened, pending or completed action, suit or proceeding, whether civil, criminal, administrative or investigative (other than an action by or in the right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of the registrant) by reason of the fact that he or she is or was, or has agreed to become, a director or officer,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registrant’s certificate of incorporation also provides that it will indemnify any Indemnitee who was or is a party to an action or suit by or in the right of the registrant to procure a judgment in the registrant’s favor by reason of the fact that the Indemnitee is or was, or has agreed to become, a director or officer,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by him or her or on his or her behalf in connection therewith. If the registrant does not assume the defense, expenses must be advanced to an Indemnitee under certain circumstances.</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registrant has entered into indemnification agreements with each of its directors and executive officers. These indemnification agreements require the registrant under circumstances to, among other things, indemnify these directors and executive officers for some expenses, including attorneys’ fees, judgments, fines, and settlement amounts incurred by each of these directors and executive officers in any action or proceeding arising out of his or her service as one of the registrant’s directors or officers, or any of the registrant’s subsidiaries or any other company or enterprise to which the person provides services at the registrant’s request.</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registrant maintains a general liability insurance policy that covers certain liabilities of the directors and officers of the registrant arising out of claims based on acts or omissions in their capacities as directors or officers.</w:t>
      </w:r>
    </w:p>
    <w:p>
      <w:pPr>
        <w:pStyle w:val="TextBody"/>
        <w:bidi w:val="0"/>
        <w:spacing w:lineRule="auto" w:line="288" w:before="240" w:after="283"/>
        <w:ind w:left="0" w:right="0" w:firstLine="720"/>
        <w:jc w:val="left"/>
        <w:rPr>
          <w:rFonts w:ascii="Times New Roman;serif" w:hAnsi="Times New Roman;serif"/>
          <w:b/>
          <w:color w:val="000000"/>
          <w:sz w:val="22"/>
        </w:rPr>
      </w:pPr>
      <w:r>
        <w:rPr>
          <w:rFonts w:ascii="Times New Roman;serif" w:hAnsi="Times New Roman;serif"/>
          <w:b/>
          <w:color w:val="000000"/>
          <w:sz w:val="22"/>
        </w:rPr>
        <w:t>Item 7. Exemption from Registration Claimed.</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8. Exhibits.</w:t>
      </w:r>
    </w:p>
    <w:tbl>
      <w:tblPr>
        <w:tblW w:w="10205" w:type="dxa"/>
        <w:jc w:val="left"/>
        <w:tblInd w:w="0" w:type="dxa"/>
        <w:tblLayout w:type="fixed"/>
        <w:tblCellMar>
          <w:top w:w="28" w:type="dxa"/>
          <w:left w:w="28" w:type="dxa"/>
          <w:bottom w:w="28" w:type="dxa"/>
          <w:right w:w="28" w:type="dxa"/>
        </w:tblCellMar>
      </w:tblPr>
      <w:tblGrid>
        <w:gridCol w:w="321"/>
        <w:gridCol w:w="282"/>
        <w:gridCol w:w="283"/>
        <w:gridCol w:w="2724"/>
        <w:gridCol w:w="2724"/>
        <w:gridCol w:w="387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Number</w:t>
            </w:r>
          </w:p>
        </w:tc>
        <w:tc>
          <w:tcPr>
            <w:tcW w:w="93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rPr/>
        <w:tc>
          <w:tcPr>
            <w:tcW w:w="8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931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Times New Roman;serif" w:hAnsi="Times New Roman;serif"/>
                  <w:b w:val="false"/>
                  <w:color w:val="0000E1"/>
                  <w:sz w:val="22"/>
                  <w:u w:val="single"/>
                </w:rPr>
                <w:t>Restated Certificate of Incorporation of the Registrant, as amended (incorporated by reference to Exhibit 3.1 of the registrant’s Current Report on Form 8-K, filed on June 2, 2025)</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4.2</w:t>
            </w:r>
          </w:p>
        </w:tc>
        <w:tc>
          <w:tcPr>
            <w:tcW w:w="931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9">
              <w:r>
                <w:rPr>
                  <w:rStyle w:val="InternetLink"/>
                  <w:rFonts w:ascii="Times New Roman;serif" w:hAnsi="Times New Roman;serif"/>
                  <w:b w:val="false"/>
                  <w:color w:val="0000E1"/>
                  <w:sz w:val="22"/>
                  <w:u w:val="single"/>
                </w:rPr>
                <w:t>Amended and Restated By-Laws of the Registrant (incorporated by reference to Exhibit 3.1 of the registrant’s Current Report on Form 8-K, filed on December 10, 2024)</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5.1*</w:t>
            </w:r>
          </w:p>
        </w:tc>
        <w:tc>
          <w:tcPr>
            <w:tcW w:w="931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ditas-2026sx8ex51opinionw.htm">
              <w:r>
                <w:rPr>
                  <w:rStyle w:val="InternetLink"/>
                  <w:rFonts w:ascii="Times New Roman;serif" w:hAnsi="Times New Roman;serif"/>
                  <w:b w:val="false"/>
                  <w:color w:val="0000E1"/>
                  <w:sz w:val="22"/>
                  <w:u w:val="single"/>
                </w:rPr>
                <w:t>Opinion of Wilmer Cutler Pickering Hale &amp; Dorr LLP, counsel to the Registrant</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23.1*</w:t>
            </w:r>
          </w:p>
        </w:tc>
        <w:tc>
          <w:tcPr>
            <w:tcW w:w="931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ditas-2026sx8ex51opinionw.htm">
              <w:r>
                <w:rPr>
                  <w:rStyle w:val="InternetLink"/>
                  <w:rFonts w:ascii="Times New Roman;serif" w:hAnsi="Times New Roman;serif"/>
                  <w:b w:val="false"/>
                  <w:color w:val="0000E1"/>
                  <w:sz w:val="22"/>
                  <w:u w:val="single"/>
                </w:rPr>
                <w:t>Consent of Wilmer Cutler Pickering Hale &amp; Dorr LLP (included in Exhibit 5.1)</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23.2*</w:t>
            </w:r>
          </w:p>
        </w:tc>
        <w:tc>
          <w:tcPr>
            <w:tcW w:w="931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s-8consentdraft.htm">
              <w:r>
                <w:rPr>
                  <w:rStyle w:val="InternetLink"/>
                  <w:rFonts w:ascii="Times New Roman;serif" w:hAnsi="Times New Roman;serif"/>
                  <w:b w:val="false"/>
                  <w:color w:val="0000E1"/>
                  <w:sz w:val="22"/>
                  <w:u w:val="single"/>
                </w:rPr>
                <w:t>Consent of Ernst &amp; Young LLP, independent registered public accounting firm</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24.1*</w:t>
            </w:r>
          </w:p>
        </w:tc>
        <w:tc>
          <w:tcPr>
            <w:tcW w:w="931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779cde5946d14681b29e20c8f869d1ce_13">
              <w:r>
                <w:rPr>
                  <w:rStyle w:val="InternetLink"/>
                  <w:rFonts w:ascii="Times New Roman;serif" w:hAnsi="Times New Roman;serif"/>
                  <w:b w:val="false"/>
                  <w:color w:val="0000E1"/>
                  <w:sz w:val="22"/>
                  <w:u w:val="single"/>
                </w:rPr>
                <w:t>Power of attorney (included on the signature pages of this registration statement)</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31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Times New Roman;serif" w:hAnsi="Times New Roman;serif"/>
                  <w:b w:val="false"/>
                  <w:color w:val="0000E1"/>
                  <w:sz w:val="22"/>
                  <w:u w:val="single"/>
                </w:rPr>
                <w:t>Form of Inducement Stock Option Agreement (incorporated by reference to Exhibit 10.19 of the registrant’s Annual Report on Form 10-K for the year ended December 31, 2023, filed on February 28, 2024)</w:t>
              </w:r>
            </w:hyperlink>
          </w:p>
        </w:tc>
      </w:tr>
      <w:tr>
        <w:trPr/>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107*</w:t>
            </w:r>
          </w:p>
        </w:tc>
        <w:tc>
          <w:tcPr>
            <w:tcW w:w="931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filingfees.htm">
              <w:r>
                <w:rPr>
                  <w:rStyle w:val="InternetLink"/>
                  <w:rFonts w:ascii="Times New Roman;serif" w:hAnsi="Times New Roman;serif"/>
                  <w:b w:val="false"/>
                  <w:color w:val="0000E1"/>
                  <w:sz w:val="22"/>
                  <w:u w:val="single"/>
                </w:rPr>
                <w:t>Filing Fee Table</w:t>
              </w:r>
            </w:hyperlink>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Filed herewith</w:t>
      </w:r>
    </w:p>
    <w:p>
      <w:pPr>
        <w:pStyle w:val="TextBody"/>
        <w:bidi w:val="0"/>
        <w:spacing w:lineRule="auto" w:line="288" w:before="240" w:after="283"/>
        <w:ind w:left="0" w:right="0" w:firstLine="720"/>
        <w:jc w:val="left"/>
        <w:rPr/>
      </w:pPr>
      <w:r>
        <w:rPr>
          <w:rFonts w:ascii="Times New Roman;serif" w:hAnsi="Times New Roman;serif"/>
          <w:b/>
          <w:color w:val="000000"/>
          <w:sz w:val="22"/>
        </w:rPr>
        <w:t>Item 9. Undertakings</w:t>
      </w:r>
      <w:r>
        <w:rPr>
          <w:rFonts w:ascii="Times New Roman;serif" w:hAnsi="Times New Roman;serif"/>
          <w:b w:val="false"/>
          <w:color w:val="000000"/>
          <w:sz w:val="22"/>
        </w:rPr>
        <w:t>.</w:t>
      </w:r>
    </w:p>
    <w:p>
      <w:pPr>
        <w:pStyle w:val="TextBody"/>
        <w:bidi w:val="0"/>
        <w:spacing w:lineRule="auto" w:line="288" w:before="240" w:after="283"/>
        <w:ind w:left="0" w:right="0" w:hanging="360"/>
        <w:jc w:val="left"/>
        <w:rPr/>
      </w:pPr>
      <w:r>
        <w:rPr>
          <w:rFonts w:ascii="Times New Roman;serif" w:hAnsi="Times New Roman;serif"/>
          <w:b w:val="false"/>
          <w:color w:val="000000"/>
          <w:sz w:val="22"/>
        </w:rPr>
        <w:t>1.</w:t>
      </w:r>
      <w:r>
        <w:rPr>
          <w:rFonts w:ascii="Times New Roman;serif" w:hAnsi="Times New Roman;serif"/>
          <w:b w:val="false"/>
          <w:i/>
          <w:color w:val="000000"/>
          <w:sz w:val="22"/>
          <w:u w:val="single"/>
        </w:rPr>
        <w:t>Item 512(a) of Regulation S-K</w:t>
      </w:r>
      <w:r>
        <w:rPr>
          <w:rFonts w:ascii="Times New Roman;serif" w:hAnsi="Times New Roman;serif"/>
          <w:b w:val="false"/>
          <w:color w:val="000000"/>
          <w:sz w:val="22"/>
        </w:rPr>
        <w:t>. The undersigned registrant hereby undertakes:</w:t>
      </w:r>
    </w:p>
    <w:p>
      <w:pPr>
        <w:pStyle w:val="TextBody"/>
        <w:bidi w:val="0"/>
        <w:spacing w:lineRule="auto" w:line="288" w:before="24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(1)To file, during any period in which offers or sales are being made, a post-effective amendment to this registration statement:</w:t>
      </w:r>
    </w:p>
    <w:p>
      <w:pPr>
        <w:pStyle w:val="TextBody"/>
        <w:bidi w:val="0"/>
        <w:spacing w:lineRule="auto" w:line="288" w:before="24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(i)To include any prospectus required by Section 10(a)(3) of the Securities Act;</w:t>
      </w:r>
    </w:p>
    <w:p>
      <w:pPr>
        <w:pStyle w:val="TextBody"/>
        <w:bidi w:val="0"/>
        <w:spacing w:lineRule="auto" w:line="288" w:before="24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lineRule="auto" w:line="288" w:before="24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240" w:after="283"/>
        <w:ind w:left="0" w:right="0" w:hanging="0"/>
        <w:jc w:val="left"/>
        <w:rPr/>
      </w:pP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paragraphs (i) and (ii)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24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(3)To remove from registration by means of a post-effective amendment any of the securities being registered which remain unsold at the termination of the offering.</w:t>
      </w:r>
    </w:p>
    <w:p>
      <w:pPr>
        <w:pStyle w:val="TextBody"/>
        <w:bidi w:val="0"/>
        <w:spacing w:lineRule="auto" w:line="288" w:before="240" w:after="283"/>
        <w:ind w:left="0" w:right="0" w:firstLine="1080"/>
        <w:jc w:val="left"/>
        <w:rPr/>
      </w:pPr>
      <w:r>
        <w:rPr>
          <w:rFonts w:ascii="Times New Roman;serif" w:hAnsi="Times New Roman;serif"/>
          <w:b w:val="false"/>
          <w:color w:val="000000"/>
          <w:sz w:val="22"/>
        </w:rPr>
        <w:t xml:space="preserve">2. </w:t>
      </w:r>
      <w:r>
        <w:rPr>
          <w:rFonts w:ascii="Times New Roman;serif" w:hAnsi="Times New Roman;serif"/>
          <w:b w:val="false"/>
          <w:i/>
          <w:color w:val="000000"/>
          <w:sz w:val="22"/>
          <w:u w:val="single"/>
        </w:rPr>
        <w:t>Item 512(b) of Regulation S-K</w:t>
      </w:r>
      <w:r>
        <w:rPr>
          <w:rFonts w:ascii="Times New Roman;serif" w:hAnsi="Times New Roman;serif"/>
          <w:b w:val="false"/>
          <w:color w:val="000000"/>
          <w:sz w:val="22"/>
        </w:rPr>
        <w:t>.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240" w:after="283"/>
        <w:ind w:left="0" w:right="0" w:firstLine="1080"/>
        <w:jc w:val="left"/>
        <w:rPr/>
      </w:pPr>
      <w:r>
        <w:rPr>
          <w:rFonts w:ascii="Times New Roman;serif" w:hAnsi="Times New Roman;serif"/>
          <w:b w:val="false"/>
          <w:color w:val="000000"/>
          <w:sz w:val="22"/>
        </w:rPr>
        <w:t xml:space="preserve">3. </w:t>
      </w:r>
      <w:r>
        <w:rPr>
          <w:rFonts w:ascii="Times New Roman;serif" w:hAnsi="Times New Roman;serif"/>
          <w:b w:val="false"/>
          <w:i/>
          <w:color w:val="000000"/>
          <w:sz w:val="22"/>
          <w:u w:val="single"/>
        </w:rPr>
        <w:t>Item 512(h) of Regulation S-K</w:t>
      </w:r>
      <w:r>
        <w:rPr>
          <w:rFonts w:ascii="Times New Roman;serif" w:hAnsi="Times New Roman;serif"/>
          <w:b w:val="false"/>
          <w:color w:val="000000"/>
          <w:sz w:val="22"/>
        </w:rPr>
        <w:t>.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September 9, 2026.</w:t>
      </w:r>
    </w:p>
    <w:tbl>
      <w:tblPr>
        <w:tblW w:w="5832" w:type="dxa"/>
        <w:jc w:val="left"/>
        <w:tblInd w:w="0" w:type="dxa"/>
        <w:tblLayout w:type="fixed"/>
        <w:tblCellMar>
          <w:top w:w="28" w:type="dxa"/>
          <w:left w:w="28" w:type="dxa"/>
          <w:bottom w:w="28" w:type="dxa"/>
          <w:right w:w="28" w:type="dxa"/>
        </w:tblCellMar>
      </w:tblPr>
      <w:tblGrid>
        <w:gridCol w:w="124"/>
        <w:gridCol w:w="109"/>
        <w:gridCol w:w="109"/>
        <w:gridCol w:w="300"/>
        <w:gridCol w:w="300"/>
        <w:gridCol w:w="300"/>
        <w:gridCol w:w="300"/>
        <w:gridCol w:w="300"/>
        <w:gridCol w:w="300"/>
        <w:gridCol w:w="1072"/>
        <w:gridCol w:w="1072"/>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EDITAS MEDICINE,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Gilmore O’Neill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Gilmore O’Neill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SIGNATURES AND POWER OF ATTORNEY</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the undersigned officers and directors of Editas Medicine, Inc., hereby severally constitute and appoint Gilmore O’Neill, Amy Parison, and Damien Grierson and each of them singly, our true and lawful attorneys with full power to them, and to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Editas Medicine,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Act of 1933, this registration statement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931"/>
        <w:gridCol w:w="758"/>
        <w:gridCol w:w="762"/>
        <w:gridCol w:w="1896"/>
        <w:gridCol w:w="1874"/>
        <w:gridCol w:w="1896"/>
        <w:gridCol w:w="109"/>
        <w:gridCol w:w="109"/>
        <w:gridCol w:w="109"/>
        <w:gridCol w:w="512"/>
        <w:gridCol w:w="512"/>
        <w:gridCol w:w="737"/>
      </w:tblGrid>
      <w:tr>
        <w:trPr/>
        <w:tc>
          <w:tcPr>
            <w:tcW w:w="93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Signature</w:t>
            </w:r>
          </w:p>
        </w:tc>
        <w:tc>
          <w:tcPr>
            <w:tcW w:w="5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Date</w:t>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Gilmore O’Neill</w:t>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President, Chief Executive Officer, Director (principal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9, 2026</w:t>
            </w:r>
          </w:p>
        </w:tc>
      </w:tr>
      <w:tr>
        <w:trPr/>
        <w:tc>
          <w:tcPr>
            <w:tcW w:w="2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Gilmore O’Neill</w:t>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Amy Parison</w:t>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Chief Financial Officer (principal financial and accounting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9, 2026</w:t>
            </w:r>
          </w:p>
        </w:tc>
      </w:tr>
      <w:tr>
        <w:trPr/>
        <w:tc>
          <w:tcPr>
            <w:tcW w:w="2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Amy Parison</w:t>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Jessica Hopfield</w:t>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Chair of the Board of Directors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9, 2026</w:t>
            </w:r>
          </w:p>
        </w:tc>
      </w:tr>
      <w:tr>
        <w:trPr/>
        <w:tc>
          <w:tcPr>
            <w:tcW w:w="2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Jessica Hopfield, Ph.D.</w:t>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Bernadette Connaughton</w:t>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9, 2026</w:t>
            </w:r>
          </w:p>
        </w:tc>
      </w:tr>
      <w:tr>
        <w:trPr/>
        <w:tc>
          <w:tcPr>
            <w:tcW w:w="2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Bernadette Connaughton</w:t>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Patrick Ellinor</w:t>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9, 2026</w:t>
            </w:r>
          </w:p>
        </w:tc>
      </w:tr>
      <w:tr>
        <w:trPr/>
        <w:tc>
          <w:tcPr>
            <w:tcW w:w="2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Patrick Ellinor, M.D., Ph.D.</w:t>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Andrew Hirsch</w:t>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9, 2026</w:t>
            </w:r>
          </w:p>
        </w:tc>
      </w:tr>
      <w:tr>
        <w:trPr/>
        <w:tc>
          <w:tcPr>
            <w:tcW w:w="2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Andrew Hirsch</w:t>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David Scadden</w:t>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9, 2026</w:t>
            </w:r>
          </w:p>
        </w:tc>
      </w:tr>
      <w:tr>
        <w:trPr/>
        <w:tc>
          <w:tcPr>
            <w:tcW w:w="2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David Scadden, M.D.</w:t>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2"/>
        </w:rPr>
      </w:pPr>
      <w:r>
        <w:rPr>
          <w:rFonts w:ascii="Times New Roman;serif" w:hAnsi="Times New Roman;serif"/>
          <w:b/>
          <w:color w:val="000000"/>
          <w:sz w:val="22"/>
        </w:rPr>
        <w:t>Exhibit 107</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Calculation of Filing Fee Tables</w:t>
      </w:r>
    </w:p>
    <w:p>
      <w:pPr>
        <w:pStyle w:val="TextBody"/>
        <w:bidi w:val="0"/>
        <w:spacing w:before="120" w:after="283"/>
        <w:jc w:val="center"/>
        <w:rPr/>
      </w:pPr>
      <w:r>
        <w:rPr/>
      </w:r>
    </w:p>
    <w:tbl>
      <w:tblPr>
        <w:tblW w:w="5159" w:type="dxa"/>
        <w:jc w:val="left"/>
        <w:tblInd w:w="0" w:type="dxa"/>
        <w:tblLayout w:type="fixed"/>
        <w:tblCellMar>
          <w:top w:w="28" w:type="dxa"/>
          <w:left w:w="28" w:type="dxa"/>
          <w:bottom w:w="28" w:type="dxa"/>
          <w:right w:w="28" w:type="dxa"/>
        </w:tblCellMar>
      </w:tblPr>
      <w:tblGrid>
        <w:gridCol w:w="1651"/>
        <w:gridCol w:w="1448"/>
        <w:gridCol w:w="2060"/>
      </w:tblGrid>
      <w:tr>
        <w:trPr/>
        <w:tc>
          <w:tcPr>
            <w:tcW w:w="165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Form S-8</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(Form Type)</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Editas Medicine, Inc.</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c>
      </w:tr>
    </w:tbl>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Table 1—Newly Registered Securities</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327"/>
        <w:gridCol w:w="288"/>
        <w:gridCol w:w="289"/>
        <w:gridCol w:w="465"/>
        <w:gridCol w:w="427"/>
        <w:gridCol w:w="429"/>
        <w:gridCol w:w="407"/>
        <w:gridCol w:w="407"/>
        <w:gridCol w:w="408"/>
        <w:gridCol w:w="401"/>
        <w:gridCol w:w="401"/>
        <w:gridCol w:w="402"/>
        <w:gridCol w:w="501"/>
        <w:gridCol w:w="501"/>
        <w:gridCol w:w="502"/>
        <w:gridCol w:w="713"/>
        <w:gridCol w:w="462"/>
        <w:gridCol w:w="463"/>
        <w:gridCol w:w="329"/>
        <w:gridCol w:w="329"/>
        <w:gridCol w:w="333"/>
        <w:gridCol w:w="412"/>
        <w:gridCol w:w="412"/>
        <w:gridCol w:w="597"/>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904" w:type="dxa"/>
            <w:gridSpan w:val="3"/>
            <w:tcBorders>
              <w:top w:val="double" w:sz="5" w:space="0" w:color="000000"/>
              <w:left w:val="double" w:sz="5"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Security Type</w:t>
            </w:r>
          </w:p>
        </w:tc>
        <w:tc>
          <w:tcPr>
            <w:tcW w:w="1321"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1222"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Fee Calculation Rule</w:t>
            </w:r>
          </w:p>
        </w:tc>
        <w:tc>
          <w:tcPr>
            <w:tcW w:w="1204"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Amount Registered (1)(2)</w:t>
            </w:r>
          </w:p>
        </w:tc>
        <w:tc>
          <w:tcPr>
            <w:tcW w:w="1504"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Proposed Maximum Offering Price Per Unit(3) </w:t>
            </w:r>
          </w:p>
        </w:tc>
        <w:tc>
          <w:tcPr>
            <w:tcW w:w="1638"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Maximum Aggregate Offering Price(3)</w:t>
            </w:r>
          </w:p>
        </w:tc>
        <w:tc>
          <w:tcPr>
            <w:tcW w:w="991" w:type="dxa"/>
            <w:gridSpan w:val="3"/>
            <w:tcBorders>
              <w:top w:val="double" w:sz="5" w:space="0" w:color="000000"/>
              <w:left w:val="single" w:sz="4" w:space="0" w:color="000000"/>
            </w:tcBorders>
            <w:tcMar>
              <w:top w:w="30" w:type="dxa"/>
              <w:left w:w="49"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Fee Rate</w:t>
            </w:r>
          </w:p>
        </w:tc>
        <w:tc>
          <w:tcPr>
            <w:tcW w:w="1421" w:type="dxa"/>
            <w:gridSpan w:val="3"/>
            <w:tcBorders>
              <w:top w:val="double" w:sz="5" w:space="0" w:color="000000"/>
              <w:left w:val="single" w:sz="4" w:space="0" w:color="000000"/>
              <w:right w:val="double" w:sz="5" w:space="0" w:color="000000"/>
            </w:tcBorders>
            <w:tcMar>
              <w:top w:w="30" w:type="dxa"/>
              <w:left w:w="49" w:type="dxa"/>
              <w:bottom w:w="0" w:type="dxa"/>
              <w:right w:w="49"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Amount of Registration Fee</w:t>
            </w:r>
          </w:p>
        </w:tc>
      </w:tr>
      <w:tr>
        <w:trPr/>
        <w:tc>
          <w:tcPr>
            <w:tcW w:w="904" w:type="dxa"/>
            <w:gridSpan w:val="3"/>
            <w:tcBorders>
              <w:top w:val="single" w:sz="4" w:space="0" w:color="000000"/>
              <w:left w:val="double" w:sz="5" w:space="0" w:color="000000"/>
              <w:bottom w:val="single" w:sz="4" w:space="0" w:color="000000"/>
            </w:tcBorders>
            <w:tcMar>
              <w:top w:w="30" w:type="dxa"/>
              <w:left w:w="49"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321" w:type="dxa"/>
            <w:gridSpan w:val="3"/>
            <w:tcBorders>
              <w:top w:val="single" w:sz="4" w:space="0" w:color="000000"/>
              <w:left w:val="single" w:sz="4" w:space="0" w:color="000000"/>
              <w:bottom w:val="single" w:sz="4" w:space="0" w:color="000000"/>
            </w:tcBorders>
            <w:tcMar>
              <w:top w:w="30" w:type="dxa"/>
              <w:left w:w="77"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1222" w:type="dxa"/>
            <w:gridSpan w:val="3"/>
            <w:tcBorders>
              <w:top w:val="single" w:sz="4" w:space="0" w:color="000000"/>
              <w:left w:val="single" w:sz="4" w:space="0" w:color="000000"/>
              <w:bottom w:val="single" w:sz="4" w:space="0" w:color="000000"/>
            </w:tcBorders>
            <w:tcMar>
              <w:top w:w="30" w:type="dxa"/>
              <w:left w:w="49"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204" w:type="dxa"/>
            <w:gridSpan w:val="3"/>
            <w:tcBorders>
              <w:top w:val="single" w:sz="4" w:space="0" w:color="000000"/>
              <w:left w:val="single" w:sz="4" w:space="0" w:color="000000"/>
              <w:bottom w:val="single" w:sz="4" w:space="0" w:color="000000"/>
            </w:tcBorders>
            <w:tcMar>
              <w:top w:w="30" w:type="dxa"/>
              <w:left w:w="49"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950,000</w:t>
            </w:r>
          </w:p>
        </w:tc>
        <w:tc>
          <w:tcPr>
            <w:tcW w:w="1504" w:type="dxa"/>
            <w:gridSpan w:val="3"/>
            <w:tcBorders>
              <w:top w:val="single" w:sz="4" w:space="0" w:color="000000"/>
              <w:left w:val="single" w:sz="4" w:space="0" w:color="000000"/>
            </w:tcBorders>
            <w:tcMar>
              <w:top w:w="30" w:type="dxa"/>
              <w:left w:w="49"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$3.03</w:t>
            </w:r>
          </w:p>
        </w:tc>
        <w:tc>
          <w:tcPr>
            <w:tcW w:w="1638" w:type="dxa"/>
            <w:gridSpan w:val="3"/>
            <w:tcBorders>
              <w:top w:val="single" w:sz="4" w:space="0" w:color="000000"/>
              <w:left w:val="single" w:sz="4" w:space="0" w:color="000000"/>
            </w:tcBorders>
            <w:tcMar>
              <w:top w:w="30" w:type="dxa"/>
              <w:left w:w="49"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$2,878,500.00</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421" w:type="dxa"/>
            <w:gridSpan w:val="3"/>
            <w:tcBorders>
              <w:top w:val="single" w:sz="4" w:space="0" w:color="000000"/>
              <w:left w:val="single" w:sz="4" w:space="0" w:color="000000"/>
              <w:right w:val="double" w:sz="5" w:space="0" w:color="000000"/>
            </w:tcBorders>
            <w:tcMar>
              <w:top w:w="30" w:type="dxa"/>
              <w:left w:w="49" w:type="dxa"/>
              <w:bottom w:w="0" w:type="dxa"/>
              <w:right w:w="49"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$397.52</w:t>
            </w:r>
          </w:p>
        </w:tc>
      </w:tr>
      <w:tr>
        <w:trPr/>
        <w:tc>
          <w:tcPr>
            <w:tcW w:w="4651" w:type="dxa"/>
            <w:gridSpan w:val="12"/>
            <w:tcBorders>
              <w:left w:val="double" w:sz="5" w:space="0" w:color="000000"/>
              <w:bottom w:val="single" w:sz="4" w:space="0" w:color="000000"/>
            </w:tcBorders>
            <w:tcMar>
              <w:top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Total Offering Amounts</w:t>
            </w:r>
          </w:p>
        </w:tc>
        <w:tc>
          <w:tcPr>
            <w:tcW w:w="150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left w:val="single" w:sz="4" w:space="0" w:color="000000"/>
            </w:tcBorders>
            <w:tcMar>
              <w:top w:w="30" w:type="dxa"/>
              <w:left w:w="49"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$2,878,500.00</w:t>
            </w:r>
          </w:p>
        </w:tc>
        <w:tc>
          <w:tcPr>
            <w:tcW w:w="9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000000"/>
              <w:left w:val="single" w:sz="4" w:space="0" w:color="000000"/>
              <w:right w:val="double" w:sz="5" w:space="0" w:color="000000"/>
            </w:tcBorders>
            <w:tcMar>
              <w:top w:w="30" w:type="dxa"/>
              <w:left w:w="49" w:type="dxa"/>
              <w:bottom w:w="0" w:type="dxa"/>
              <w:right w:w="49"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$397.52</w:t>
            </w:r>
          </w:p>
        </w:tc>
      </w:tr>
      <w:tr>
        <w:trPr/>
        <w:tc>
          <w:tcPr>
            <w:tcW w:w="4651" w:type="dxa"/>
            <w:gridSpan w:val="12"/>
            <w:tcBorders>
              <w:top w:val="single" w:sz="4" w:space="0" w:color="000000"/>
              <w:left w:val="double" w:sz="5"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Total Fee Offsets</w:t>
            </w:r>
          </w:p>
        </w:tc>
        <w:tc>
          <w:tcPr>
            <w:tcW w:w="150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40"/>
              <w:jc w:val="center"/>
              <w:rPr>
                <w:color w:val="000000"/>
              </w:rPr>
            </w:pPr>
            <w:r>
              <w:rPr>
                <w:color w:val="000000"/>
              </w:rPr>
              <w:t>—</w:t>
            </w:r>
          </w:p>
        </w:tc>
      </w:tr>
      <w:tr>
        <w:trPr/>
        <w:tc>
          <w:tcPr>
            <w:tcW w:w="4651" w:type="dxa"/>
            <w:gridSpan w:val="12"/>
            <w:tcBorders>
              <w:top w:val="single" w:sz="4" w:space="0" w:color="000000"/>
              <w:left w:val="double" w:sz="5" w:space="0" w:color="000000"/>
              <w:bottom w:val="double" w:sz="5" w:space="0" w:color="000000"/>
            </w:tcBorders>
            <w:tcMar>
              <w:top w:w="3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Net Fee Due</w:t>
            </w:r>
          </w:p>
        </w:tc>
        <w:tc>
          <w:tcPr>
            <w:tcW w:w="1504" w:type="dxa"/>
            <w:gridSpan w:val="3"/>
            <w:tcBorders>
              <w:top w:val="single" w:sz="4" w:space="0" w:color="000000"/>
              <w:left w:val="single" w:sz="4" w:space="0" w:color="000000"/>
              <w:bottom w:val="double" w:sz="5"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left w:val="single" w:sz="4" w:space="0" w:color="000000"/>
              <w:bottom w:val="double" w:sz="5"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left w:val="single" w:sz="4" w:space="0" w:color="000000"/>
              <w:bottom w:val="double" w:sz="5"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000000"/>
              <w:left w:val="single" w:sz="4" w:space="0" w:color="000000"/>
              <w:bottom w:val="double" w:sz="5" w:space="0" w:color="000000"/>
              <w:right w:val="double" w:sz="5" w:space="0" w:color="000000"/>
            </w:tcBorders>
            <w:tcMar>
              <w:top w:w="30" w:type="dxa"/>
              <w:left w:w="49" w:type="dxa"/>
              <w:bottom w:w="30" w:type="dxa"/>
              <w:right w:w="49"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$397.52</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
        <w:gridCol w:w="113"/>
        <w:gridCol w:w="113"/>
        <w:gridCol w:w="2885"/>
        <w:gridCol w:w="2885"/>
        <w:gridCol w:w="4080"/>
      </w:tblGrid>
      <w:tr>
        <w:trPr/>
        <w:tc>
          <w:tcPr>
            <w:tcW w:w="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5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(1)</w:t>
            </w:r>
          </w:p>
        </w:tc>
        <w:tc>
          <w:tcPr>
            <w:tcW w:w="98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w:t>
            </w:r>
          </w:p>
        </w:tc>
      </w:tr>
      <w:tr>
        <w:trPr/>
        <w:tc>
          <w:tcPr>
            <w:tcW w:w="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(2)</w:t>
            </w:r>
          </w:p>
        </w:tc>
        <w:tc>
          <w:tcPr>
            <w:tcW w:w="9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Consists of shares issuable under an inducement stock option award pursuant to an inducement stock option agreement entered into by the Registrant with Daniel S. Ory, the Registrant’s Chief Medical Officer, which was granted on September 8, 2026, in accordance with Nasdaq Listing Rule 5635(c)(4).</w:t>
            </w:r>
          </w:p>
        </w:tc>
      </w:tr>
      <w:tr>
        <w:trPr/>
        <w:tc>
          <w:tcPr>
            <w:tcW w:w="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(3)</w:t>
            </w:r>
          </w:p>
        </w:tc>
        <w:tc>
          <w:tcPr>
            <w:tcW w:w="98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Estimated solely for the purpose of calculating the registration fee pursuant to Rule 457(h) of the Securities Act, based on the exercise price per share of the 950,000 shares issuable under the inducement stock option award for Dr. Ory.</w:t>
            </w:r>
          </w:p>
        </w:tc>
      </w:tr>
    </w:tbl>
    <w:p>
      <w:pPr>
        <w:pStyle w:val="TextBody"/>
        <w:bidi w:val="0"/>
        <w:spacing w:before="0" w:after="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5.1</w:t>
      </w:r>
    </w:p>
    <w:p>
      <w:pPr>
        <w:pStyle w:val="TextBody"/>
        <w:bidi w:val="0"/>
        <w:spacing w:lineRule="auto" w:line="288" w:before="0" w:after="840"/>
        <w:jc w:val="left"/>
        <w:rPr>
          <w:rFonts w:ascii="Times New Roman;serif" w:hAnsi="Times New Roman;serif"/>
          <w:b w:val="false"/>
          <w:color w:val="000000"/>
          <w:sz w:val="22"/>
        </w:rPr>
      </w:pPr>
      <w:r>
        <w:rPr>
          <w:rFonts w:ascii="Times New Roman;serif" w:hAnsi="Times New Roman;serif"/>
          <w:b w:val="false"/>
          <w:color w:val="000000"/>
          <w:sz w:val="22"/>
        </w:rPr>
        <w:t>Sptember 9, 2026</w:t>
      </w:r>
    </w:p>
    <w:p>
      <w:pPr>
        <w:pStyle w:val="TextBody"/>
        <w:bidi w:val="0"/>
        <w:spacing w:lineRule="auto" w:line="288" w:before="0" w:after="0"/>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 xml:space="preserve">Editas Medicine, Inc. </w:t>
      </w:r>
    </w:p>
    <w:p>
      <w:pPr>
        <w:pStyle w:val="TextBody"/>
        <w:bidi w:val="0"/>
        <w:spacing w:lineRule="auto" w:line="288" w:before="0" w:after="0"/>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11 Hurley Street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Cambridge, MA 02141</w:t>
      </w:r>
    </w:p>
    <w:p>
      <w:pPr>
        <w:pStyle w:val="TextBody"/>
        <w:bidi w:val="0"/>
        <w:spacing w:before="0" w:after="240"/>
        <w:ind w:left="0" w:right="0" w:hanging="720"/>
        <w:jc w:val="left"/>
        <w:rPr/>
      </w:pPr>
      <w:r>
        <w:rPr/>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Re:    Registration Statement on Form S-8: Inducement Award Agreement (as defined below)</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have assisted in the preparation of a Registration Statement on Form S-8 (the “Registration Statement”) to be filed with the Securities and Exchange Commission (the “Commission”) under the Securities Act of 1933, as amended (the “Securities Act”), relating to an aggregate of 950,000 shares of common stock, $0.0001 par value per share (the “Shares”), of Editas Medicine, Inc., a Delaware corporation (the “Company”), pursuant to an inducement stock option agreement between the Company and Daniel S. Ory, entered into in connection with Dr. Ory’s commencement of employment with the Company as Chief Medical Officer pursuant to Nasdaq Stock Market Rule 5635(c)(4) (the “Inducement Award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have examined the Certificate of Incorporation and By-Laws of the Company, each as amended and restated to date, and originals, or copies certified to our satisfaction, of all pertinent records of the meetings of the board of directors and stockholders of the Company, the Registration Statement, the Inducement Award Agreement and such other documents relating to the Company as we have deemed material for the purposes of this opinion.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assume that the appropriate action will be taken, prior to the offer and sale of the Shares in accordance with the Inducement Award Agreement, to register and qualify the Shares for sale under all applicable state securities or “blue sky” laws.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express no opinion herein as to the laws of any state or jurisdiction other than the General Corporation Law of the State of Delaware.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It is understood that this opinion is to be used only in connection with the offer and sale of the Shares while the Registration Statement is in effect.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Please note that we are opining only as to the matters expressly set forth herein, and no opinion should be inferred as to any other matters.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Based on the foregoing, we are of the opinion that the Shares have been duly authorized for issuance and, when the Shares are issued and paid for in accordance with the terms and conditions of the Inducement Award Agreement, the Shares will be validly issued, fully paid and nonassessable.</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 Wilmer Cutler Pickering Hale and Dorr LLP</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WILMER CUTLER PICKERING HALE AND DORR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3"/>
        </w:rPr>
      </w:pPr>
      <w:r>
        <w:rPr>
          <w:rFonts w:ascii="Times New Roman;serif" w:hAnsi="Times New Roman;serif"/>
          <w:b/>
          <w:color w:val="000000"/>
          <w:sz w:val="23"/>
        </w:rPr>
        <w:t>Exhibit 23.1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2.6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We consent to the incorporation by reference in the Registration Statement (Form S-8) pertaining to the Inducement Stock Option Award of Editas Medicine, Inc. of our report dated March 9, 2026, with respect to the consolidated financial statements of Editas Medicine, Inc. included in its Annual Report (Form 10-K) for the year ended December 31, 2025, filed with the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3"/>
        </w:rPr>
      </w:pPr>
      <w:r>
        <w:rPr>
          <w:rFonts w:ascii="Times New Roman;serif" w:hAnsi="Times New Roman;serif"/>
          <w:b w:val="false"/>
          <w:i/>
          <w:color w:val="000000"/>
          <w:sz w:val="23"/>
        </w:rPr>
        <w:t>/s/ Ernst &amp; Young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Boston, Massachusetts</w: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September 9,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50664/000165066426000017/edit-20251231.htm" TargetMode="External"/><Relationship Id="rId3" Type="http://schemas.openxmlformats.org/officeDocument/2006/relationships/hyperlink" Target="https://www.sec.gov/ix?doc=/Archives/edgar/data/1650664/000165066426000037/edit-20260428.htm" TargetMode="External"/><Relationship Id="rId4" Type="http://schemas.openxmlformats.org/officeDocument/2006/relationships/hyperlink" Target="https://www.sec.gov/ix?doc=/Archives/edgar/data/1650664/000165066426000045/edit-20260331.htm" TargetMode="External"/><Relationship Id="rId5" Type="http://schemas.openxmlformats.org/officeDocument/2006/relationships/hyperlink" Target="https://www.sec.gov/ix?doc=/Archives/edgar/data/1650664/000165066426000083/edit-20260630.htm" TargetMode="External"/><Relationship Id="rId6" Type="http://schemas.openxmlformats.org/officeDocument/2006/relationships/hyperlink" Target="https://www.sec.gov/ix?doc=/Archives/edgar/data/1650664/000165066426000083/edit-20260630.htm" TargetMode="External"/><Relationship Id="rId7" Type="http://schemas.openxmlformats.org/officeDocument/2006/relationships/hyperlink" Target="https://www.sec.gov/ix?doc=/Archives/edgar/data/1650664/000165066426000083/edit-20260630.htm" TargetMode="External"/><Relationship Id="rId8" Type="http://schemas.openxmlformats.org/officeDocument/2006/relationships/hyperlink" Target="https://www.sec.gov/ix?doc=/Archives/edgar/data/1650664/000165066426000027/edit-20260326.htm" TargetMode="External"/><Relationship Id="rId9" Type="http://schemas.openxmlformats.org/officeDocument/2006/relationships/hyperlink" Target="https://www.sec.gov/ix?doc=/Archives/edgar/data/1650664/000165066426000030/edit-20260401.htm" TargetMode="External"/><Relationship Id="rId10" Type="http://schemas.openxmlformats.org/officeDocument/2006/relationships/hyperlink" Target="https://www.sec.gov/ix?doc=/Archives/edgar/data/1650664/000165066426000049/edit-20260514.htm" TargetMode="External"/><Relationship Id="rId11" Type="http://schemas.openxmlformats.org/officeDocument/2006/relationships/hyperlink" Target="https://www.sec.gov/ix?doc=/Archives/edgar/data/1650664/000110465926065908/tm2615565d1_8k.htm" TargetMode="External"/><Relationship Id="rId12" Type="http://schemas.openxmlformats.org/officeDocument/2006/relationships/hyperlink" Target="https://www.sec.gov/ix?doc=/Archives/edgar/data/1650664/000110465926066021/tm2615565d2_8k.htm" TargetMode="External"/><Relationship Id="rId13" Type="http://schemas.openxmlformats.org/officeDocument/2006/relationships/hyperlink" Target="https://www.sec.gov/ix?doc=/Archives/edgar/data/1650664/000110465926066317/tm2615565d3_8k.htm" TargetMode="External"/><Relationship Id="rId14" Type="http://schemas.openxmlformats.org/officeDocument/2006/relationships/hyperlink" Target="https://www.sec.gov/ix?doc=/Archives/edgar/data/1650664/000165066426000063/edit-20260617.htm" TargetMode="External"/><Relationship Id="rId15" Type="http://schemas.openxmlformats.org/officeDocument/2006/relationships/hyperlink" Target="https://www.sec.gov/ix?doc=/Archives/edgar/data/1650664/000165066426000082/edit-20260803.htm" TargetMode="External"/><Relationship Id="rId16" Type="http://schemas.openxmlformats.org/officeDocument/2006/relationships/hyperlink" Target="https://www.sec.gov/Archives/edgar/data/1650664/000110465916092420/a16-3079_18a12b.htm" TargetMode="External"/><Relationship Id="rId17" Type="http://schemas.openxmlformats.org/officeDocument/2006/relationships/hyperlink" Target="https://www.sec.gov/Archives/edgar/data/1650664/000165066426000017/ex42-descriptionofcapitals.htm" TargetMode="External"/><Relationship Id="rId18" Type="http://schemas.openxmlformats.org/officeDocument/2006/relationships/hyperlink" Target="https://www.sec.gov/Archives/edgar/data/1650664/000165066425000086/edit-charteramendmentautho.htm" TargetMode="External"/><Relationship Id="rId19" Type="http://schemas.openxmlformats.org/officeDocument/2006/relationships/hyperlink" Target="https://www.sec.gov/Archives/edgar/data/1650664/000165066424000138/amendedandrestatedby-law.htm" TargetMode="External"/><Relationship Id="rId20" Type="http://schemas.openxmlformats.org/officeDocument/2006/relationships/hyperlink" Target="https://www.sec.gov/Archives/edgar/data/1650664/000165066424000008/ex1019formofinducementgran.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3900</Words>
  <Characters>20689</Characters>
  <CharactersWithSpaces>24400</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