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0668a39958304f3485ee1a9fe3340ae2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TextBody"/>
        <w:bidi w:val="0"/>
        <w:spacing w:lineRule="auto" w:line="288" w:before="120" w:after="283"/>
        <w:jc w:val="left"/>
        <w:rPr>
          <w:rFonts w:ascii="Times New Roman;serif" w:hAnsi="Times New Roman;serif"/>
          <w:b/>
          <w:color w:val="000000"/>
          <w:sz w:val="18"/>
        </w:rPr>
      </w:pPr>
      <w:r>
        <w:rPr>
          <w:rFonts w:ascii="Times New Roman;serif" w:hAnsi="Times New Roman;serif"/>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5"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 the quarterly period ended March 31, 2026</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5"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 the transition period from ____________ to ________</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Commission File Number 001-37687</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EDITAS MEDICINE,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tbl>
      <w:tblPr>
        <w:tblW w:w="4736" w:type="dxa"/>
        <w:jc w:val="left"/>
        <w:tblInd w:w="0" w:type="dxa"/>
        <w:tblLayout w:type="fixed"/>
        <w:tblCellMar>
          <w:top w:w="28" w:type="dxa"/>
          <w:left w:w="28" w:type="dxa"/>
          <w:bottom w:w="28" w:type="dxa"/>
          <w:right w:w="28" w:type="dxa"/>
        </w:tblCellMar>
      </w:tblPr>
      <w:tblGrid>
        <w:gridCol w:w="1060"/>
        <w:gridCol w:w="929"/>
        <w:gridCol w:w="935"/>
        <w:gridCol w:w="109"/>
        <w:gridCol w:w="109"/>
        <w:gridCol w:w="109"/>
        <w:gridCol w:w="434"/>
        <w:gridCol w:w="434"/>
        <w:gridCol w:w="617"/>
      </w:tblGrid>
      <w:tr>
        <w:trPr/>
        <w:tc>
          <w:tcPr>
            <w:tcW w:w="106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Delaware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46-4097528</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11 Hurley Street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Cambridge, Massachusetts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02141</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(617) 401-9000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20" w:after="283"/>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8007" w:type="dxa"/>
        <w:jc w:val="left"/>
        <w:tblInd w:w="0" w:type="dxa"/>
        <w:tblLayout w:type="fixed"/>
        <w:tblCellMar>
          <w:top w:w="28" w:type="dxa"/>
          <w:left w:w="28" w:type="dxa"/>
          <w:bottom w:w="28" w:type="dxa"/>
          <w:right w:w="28" w:type="dxa"/>
        </w:tblCellMar>
      </w:tblPr>
      <w:tblGrid>
        <w:gridCol w:w="1171"/>
        <w:gridCol w:w="1027"/>
        <w:gridCol w:w="1041"/>
        <w:gridCol w:w="484"/>
        <w:gridCol w:w="484"/>
        <w:gridCol w:w="486"/>
        <w:gridCol w:w="970"/>
        <w:gridCol w:w="970"/>
        <w:gridCol w:w="1374"/>
      </w:tblGrid>
      <w:tr>
        <w:trPr/>
        <w:tc>
          <w:tcPr>
            <w:tcW w:w="117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2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Common Stock, $0.0001 par value per share</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EDIT</w:t>
            </w:r>
          </w:p>
        </w:tc>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bl>
    <w:p>
      <w:pPr>
        <w:pStyle w:val="TextBody"/>
        <w:bidi w:val="0"/>
        <w:spacing w:lineRule="auto" w:line="288" w:before="120" w:after="283"/>
        <w:ind w:left="0" w:right="0" w:firstLine="720"/>
        <w:jc w:val="left"/>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6"/>
        </w:rPr>
        <w:t xml:space="preserve">No </w:t>
      </w:r>
      <w:r>
        <w:rPr>
          <w:color w:val="000000"/>
        </w:rPr>
        <w:t>☐</w:t>
      </w:r>
    </w:p>
    <w:p>
      <w:pPr>
        <w:pStyle w:val="TextBody"/>
        <w:bidi w:val="0"/>
        <w:spacing w:lineRule="auto" w:line="288" w:before="120" w:after="283"/>
        <w:ind w:left="0" w:right="0" w:firstLine="720"/>
        <w:jc w:val="left"/>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6"/>
        </w:rPr>
        <w:t xml:space="preserve">No </w:t>
      </w:r>
      <w:r>
        <w:rPr>
          <w:color w:val="000000"/>
        </w:rPr>
        <w:t>☐</w:t>
      </w:r>
    </w:p>
    <w:p>
      <w:pPr>
        <w:pStyle w:val="TextBody"/>
        <w:bidi w:val="0"/>
        <w:spacing w:lineRule="auto" w:line="288" w:before="120" w:after="283"/>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389"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120" w:after="283"/>
        <w:ind w:left="0" w:right="0" w:firstLine="720"/>
        <w:jc w:val="left"/>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ind w:left="0" w:right="0" w:firstLine="720"/>
        <w:jc w:val="left"/>
        <w:rPr/>
      </w:pPr>
      <w:r>
        <w:rPr>
          <w:rFonts w:ascii="Times New Roman;serif" w:hAnsi="Times New Roman;serif"/>
          <w:b w:val="false"/>
          <w:color w:val="000000"/>
          <w:sz w:val="16"/>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6"/>
        </w:rPr>
        <w:t xml:space="preserve">No </w:t>
      </w:r>
      <w:r>
        <w:rPr>
          <w:color w:val="000000"/>
        </w:rPr>
        <w:t>☒</w:t>
      </w:r>
    </w:p>
    <w:p>
      <w:pPr>
        <w:pStyle w:val="TextBody"/>
        <w:bidi w:val="0"/>
        <w:spacing w:lineRule="auto" w:line="288" w:before="120" w:after="283"/>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 xml:space="preserve">The number of shares of Common Stock outstanding as of April 29, 2026 was 97,906,282.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0668a39958304f3485ee1a9fe3340ae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Editas Medicine,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571"/>
        <w:gridCol w:w="501"/>
        <w:gridCol w:w="501"/>
        <w:gridCol w:w="2739"/>
        <w:gridCol w:w="2634"/>
        <w:gridCol w:w="2686"/>
        <w:gridCol w:w="167"/>
        <w:gridCol w:w="167"/>
        <w:gridCol w:w="239"/>
      </w:tblGrid>
      <w:tr>
        <w:trPr/>
        <w:tc>
          <w:tcPr>
            <w:tcW w:w="57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739" w:type="dxa"/>
            <w:tcBorders/>
            <w:vAlign w:val="center"/>
          </w:tcPr>
          <w:p>
            <w:pPr>
              <w:pStyle w:val="TableContents"/>
              <w:bidi w:val="0"/>
              <w:spacing w:before="0" w:after="283"/>
              <w:jc w:val="left"/>
              <w:rPr>
                <w:sz w:val="4"/>
                <w:szCs w:val="4"/>
              </w:rPr>
            </w:pPr>
            <w:r>
              <w:rPr>
                <w:sz w:val="4"/>
                <w:szCs w:val="4"/>
              </w:rPr>
            </w:r>
          </w:p>
        </w:tc>
        <w:tc>
          <w:tcPr>
            <w:tcW w:w="2634"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8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1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0668a39958304f3485ee1a9fe3340ae2_10">
              <w:r>
                <w:rPr>
                  <w:rStyle w:val="InternetLink"/>
                  <w:rFonts w:ascii="Times New Roman;serif" w:hAnsi="Times New Roman;serif"/>
                  <w:b/>
                  <w:color w:val="0000FF"/>
                  <w:sz w:val="20"/>
                  <w:u w:val="single"/>
                </w:rPr>
                <w:t>PART I. FINANCIAL 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668a39958304f3485ee1a9fe3340ae2_10">
              <w:r>
                <w:rPr>
                  <w:rStyle w:val="InternetLink"/>
                  <w:rFonts w:ascii="Times New Roman;serif" w:hAnsi="Times New Roman;serif"/>
                  <w:b w:val="false"/>
                  <w:strike w:val="false"/>
                  <w:dstrike w:val="false"/>
                  <w:color w:val="000000"/>
                  <w:sz w:val="20"/>
                  <w:u w:val="none"/>
                  <w:effect w:val="none"/>
                </w:rPr>
                <w:t>3</w:t>
              </w:r>
            </w:hyperlink>
          </w:p>
        </w:tc>
      </w:tr>
      <w:tr>
        <w:trPr/>
        <w:tc>
          <w:tcPr>
            <w:tcW w:w="1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39958304f3485ee1a9fe3340ae2_13">
              <w:r>
                <w:rPr>
                  <w:rStyle w:val="InternetLink"/>
                  <w:rFonts w:ascii="Times New Roman;serif" w:hAnsi="Times New Roman;serif"/>
                  <w:b w:val="false"/>
                  <w:color w:val="0000FF"/>
                  <w:sz w:val="20"/>
                  <w:u w:val="single"/>
                </w:rPr>
                <w:t>Item 1.</w:t>
              </w:r>
            </w:hyperlink>
          </w:p>
        </w:tc>
        <w:tc>
          <w:tcPr>
            <w:tcW w:w="80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39958304f3485ee1a9fe3340ae2_13">
              <w:r>
                <w:rPr>
                  <w:rStyle w:val="InternetLink"/>
                  <w:rFonts w:ascii="Times New Roman;serif" w:hAnsi="Times New Roman;serif"/>
                  <w:b w:val="false"/>
                  <w:color w:val="0000FF"/>
                  <w:sz w:val="20"/>
                  <w:u w:val="single"/>
                </w:rPr>
                <w:t>Financial Statements (unaudited)</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668a39958304f3485ee1a9fe3340ae2_13">
              <w:r>
                <w:rPr>
                  <w:rStyle w:val="InternetLink"/>
                  <w:rFonts w:ascii="Times New Roman;serif" w:hAnsi="Times New Roman;serif"/>
                  <w:b w:val="false"/>
                  <w:strike w:val="false"/>
                  <w:dstrike w:val="false"/>
                  <w:color w:val="000000"/>
                  <w:sz w:val="20"/>
                  <w:u w:val="none"/>
                  <w:effect w:val="none"/>
                </w:rPr>
                <w:t>3</w:t>
              </w:r>
            </w:hyperlink>
          </w:p>
        </w:tc>
      </w:tr>
      <w:tr>
        <w:trPr/>
        <w:tc>
          <w:tcPr>
            <w:tcW w:w="1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39958304f3485ee1a9fe3340ae2_16">
              <w:r>
                <w:rPr>
                  <w:rStyle w:val="InternetLink"/>
                  <w:rFonts w:ascii="Times New Roman;serif" w:hAnsi="Times New Roman;serif"/>
                  <w:b w:val="false"/>
                  <w:color w:val="000080"/>
                  <w:sz w:val="20"/>
                  <w:u w:val="single"/>
                </w:rPr>
                <w:t xml:space="preserve">Condensed Consolidated Balance Sheets as of </w:t>
              </w:r>
            </w:hyperlink>
            <w:r>
              <w:rPr>
                <w:rFonts w:ascii="Times New Roman;serif" w:hAnsi="Times New Roman;serif"/>
                <w:b w:val="false"/>
                <w:color w:val="0E32E1"/>
                <w:sz w:val="20"/>
                <w:u w:val="single"/>
              </w:rPr>
              <w:t>March 31, 2026</w:t>
            </w:r>
            <w:hyperlink w:anchor="i0668a39958304f3485ee1a9fe3340ae2_16">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E32E1"/>
                <w:sz w:val="20"/>
                <w:u w:val="single"/>
              </w:rPr>
              <w:t>December 31, 2025</w:t>
            </w:r>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668a39958304f3485ee1a9fe3340ae2_16">
              <w:r>
                <w:rPr>
                  <w:rStyle w:val="InternetLink"/>
                  <w:rFonts w:ascii="Times New Roman;serif" w:hAnsi="Times New Roman;serif"/>
                  <w:b w:val="false"/>
                  <w:strike w:val="false"/>
                  <w:dstrike w:val="false"/>
                  <w:color w:val="000000"/>
                  <w:sz w:val="20"/>
                  <w:u w:val="none"/>
                  <w:effect w:val="none"/>
                </w:rPr>
                <w:t>3</w:t>
              </w:r>
            </w:hyperlink>
          </w:p>
        </w:tc>
      </w:tr>
      <w:tr>
        <w:trPr/>
        <w:tc>
          <w:tcPr>
            <w:tcW w:w="1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39958304f3485ee1a9fe3340ae2_19">
              <w:r>
                <w:rPr>
                  <w:rStyle w:val="InternetLink"/>
                  <w:rFonts w:ascii="Times New Roman;serif" w:hAnsi="Times New Roman;serif"/>
                  <w:b w:val="false"/>
                  <w:color w:val="000080"/>
                  <w:sz w:val="20"/>
                  <w:u w:val="single"/>
                </w:rPr>
                <w:t xml:space="preserve">Condensed Consolidated Statements of Operations for the </w:t>
              </w:r>
            </w:hyperlink>
            <w:r>
              <w:rPr>
                <w:rFonts w:ascii="Times New Roman;serif" w:hAnsi="Times New Roman;serif"/>
                <w:b w:val="false"/>
                <w:color w:val="0E32E1"/>
                <w:sz w:val="20"/>
                <w:u w:val="single"/>
              </w:rPr>
              <w:t>three</w:t>
            </w:r>
            <w:hyperlink w:anchor="i0668a39958304f3485ee1a9fe3340ae2_19">
              <w:r>
                <w:rPr>
                  <w:rStyle w:val="InternetLink"/>
                  <w:rFonts w:ascii="Times New Roman;serif" w:hAnsi="Times New Roman;serif"/>
                  <w:b w:val="false"/>
                  <w:color w:val="000080"/>
                  <w:sz w:val="20"/>
                  <w:u w:val="single"/>
                </w:rPr>
                <w:t xml:space="preserve"> months ended </w:t>
              </w:r>
            </w:hyperlink>
            <w:r>
              <w:rPr>
                <w:rFonts w:ascii="Times New Roman;serif" w:hAnsi="Times New Roman;serif"/>
                <w:b w:val="false"/>
                <w:color w:val="0E32E1"/>
                <w:sz w:val="20"/>
                <w:u w:val="single"/>
              </w:rPr>
              <w:t>March 31, 2026</w:t>
            </w:r>
            <w:hyperlink w:anchor="i0668a39958304f3485ee1a9fe3340ae2_19">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E32E1"/>
                <w:sz w:val="20"/>
                <w:u w:val="single"/>
              </w:rPr>
              <w:t>2025</w:t>
            </w:r>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668a39958304f3485ee1a9fe3340ae2_19">
              <w:r>
                <w:rPr>
                  <w:rStyle w:val="InternetLink"/>
                  <w:rFonts w:ascii="Times New Roman;serif" w:hAnsi="Times New Roman;serif"/>
                  <w:b w:val="false"/>
                  <w:strike w:val="false"/>
                  <w:dstrike w:val="false"/>
                  <w:color w:val="000000"/>
                  <w:sz w:val="20"/>
                  <w:u w:val="none"/>
                  <w:effect w:val="none"/>
                </w:rPr>
                <w:t>4</w:t>
              </w:r>
            </w:hyperlink>
          </w:p>
        </w:tc>
      </w:tr>
      <w:tr>
        <w:trPr/>
        <w:tc>
          <w:tcPr>
            <w:tcW w:w="1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39958304f3485ee1a9fe3340ae2_22">
              <w:r>
                <w:rPr>
                  <w:rStyle w:val="InternetLink"/>
                  <w:rFonts w:ascii="Times New Roman;serif" w:hAnsi="Times New Roman;serif"/>
                  <w:b w:val="false"/>
                  <w:color w:val="000080"/>
                  <w:sz w:val="20"/>
                  <w:u w:val="single"/>
                </w:rPr>
                <w:t xml:space="preserve">Condensed Consolidated Statements of Comprehensive Loss for the </w:t>
              </w:r>
            </w:hyperlink>
            <w:r>
              <w:rPr>
                <w:rFonts w:ascii="Times New Roman;serif" w:hAnsi="Times New Roman;serif"/>
                <w:b w:val="false"/>
                <w:color w:val="0E32E1"/>
                <w:sz w:val="20"/>
                <w:u w:val="single"/>
              </w:rPr>
              <w:t>three</w:t>
            </w:r>
            <w:hyperlink w:anchor="i0668a39958304f3485ee1a9fe3340ae2_22">
              <w:r>
                <w:rPr>
                  <w:rStyle w:val="InternetLink"/>
                  <w:rFonts w:ascii="Times New Roman;serif" w:hAnsi="Times New Roman;serif"/>
                  <w:b w:val="false"/>
                  <w:color w:val="000080"/>
                  <w:sz w:val="20"/>
                  <w:u w:val="single"/>
                </w:rPr>
                <w:t xml:space="preserve"> months ended </w:t>
              </w:r>
            </w:hyperlink>
            <w:r>
              <w:rPr>
                <w:rFonts w:ascii="Times New Roman;serif" w:hAnsi="Times New Roman;serif"/>
                <w:b w:val="false"/>
                <w:color w:val="0E32E1"/>
                <w:sz w:val="20"/>
                <w:u w:val="single"/>
              </w:rPr>
              <w:t>March 31, 2026</w:t>
            </w:r>
            <w:hyperlink w:anchor="i0668a39958304f3485ee1a9fe3340ae2_22">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E32E1"/>
                <w:sz w:val="20"/>
                <w:u w:val="single"/>
              </w:rPr>
              <w:t>2025</w:t>
            </w:r>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668a39958304f3485ee1a9fe3340ae2_22">
              <w:r>
                <w:rPr>
                  <w:rStyle w:val="InternetLink"/>
                  <w:rFonts w:ascii="Times New Roman;serif" w:hAnsi="Times New Roman;serif"/>
                  <w:b w:val="false"/>
                  <w:strike w:val="false"/>
                  <w:dstrike w:val="false"/>
                  <w:color w:val="000000"/>
                  <w:sz w:val="20"/>
                  <w:u w:val="none"/>
                  <w:effect w:val="none"/>
                </w:rPr>
                <w:t>5</w:t>
              </w:r>
            </w:hyperlink>
          </w:p>
        </w:tc>
      </w:tr>
      <w:tr>
        <w:trPr/>
        <w:tc>
          <w:tcPr>
            <w:tcW w:w="1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39958304f3485ee1a9fe3340ae2_25">
              <w:r>
                <w:rPr>
                  <w:rStyle w:val="InternetLink"/>
                  <w:rFonts w:ascii="Times New Roman;serif" w:hAnsi="Times New Roman;serif"/>
                  <w:b w:val="false"/>
                  <w:color w:val="000080"/>
                  <w:sz w:val="20"/>
                  <w:u w:val="single"/>
                </w:rPr>
                <w:t xml:space="preserve">Condensed Consolidated Statements of Stockholders’ Equity for the </w:t>
              </w:r>
            </w:hyperlink>
            <w:r>
              <w:rPr>
                <w:rFonts w:ascii="Times New Roman;serif" w:hAnsi="Times New Roman;serif"/>
                <w:b w:val="false"/>
                <w:color w:val="0E32E1"/>
                <w:sz w:val="20"/>
                <w:u w:val="single"/>
              </w:rPr>
              <w:t>three months ended March 31, 2026 and 2025</w:t>
            </w:r>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668a39958304f3485ee1a9fe3340ae2_25">
              <w:r>
                <w:rPr>
                  <w:rStyle w:val="InternetLink"/>
                  <w:rFonts w:ascii="Times New Roman;serif" w:hAnsi="Times New Roman;serif"/>
                  <w:b w:val="false"/>
                  <w:strike w:val="false"/>
                  <w:dstrike w:val="false"/>
                  <w:color w:val="000000"/>
                  <w:sz w:val="20"/>
                  <w:u w:val="none"/>
                  <w:effect w:val="none"/>
                </w:rPr>
                <w:t>6</w:t>
              </w:r>
            </w:hyperlink>
          </w:p>
        </w:tc>
      </w:tr>
      <w:tr>
        <w:trPr/>
        <w:tc>
          <w:tcPr>
            <w:tcW w:w="1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39958304f3485ee1a9fe3340ae2_28">
              <w:r>
                <w:rPr>
                  <w:rStyle w:val="InternetLink"/>
                  <w:rFonts w:ascii="Times New Roman;serif" w:hAnsi="Times New Roman;serif"/>
                  <w:b w:val="false"/>
                  <w:color w:val="000080"/>
                  <w:sz w:val="20"/>
                  <w:u w:val="single"/>
                </w:rPr>
                <w:t xml:space="preserve">Condensed Consolidated Statements of Cash Flows for the </w:t>
              </w:r>
            </w:hyperlink>
            <w:r>
              <w:rPr>
                <w:rFonts w:ascii="Times New Roman;serif" w:hAnsi="Times New Roman;serif"/>
                <w:b w:val="false"/>
                <w:color w:val="0E32E1"/>
                <w:sz w:val="20"/>
                <w:u w:val="single"/>
              </w:rPr>
              <w:t>three</w:t>
            </w:r>
            <w:hyperlink w:anchor="i0668a39958304f3485ee1a9fe3340ae2_28">
              <w:r>
                <w:rPr>
                  <w:rStyle w:val="InternetLink"/>
                  <w:rFonts w:ascii="Times New Roman;serif" w:hAnsi="Times New Roman;serif"/>
                  <w:b w:val="false"/>
                  <w:color w:val="000080"/>
                  <w:sz w:val="20"/>
                  <w:u w:val="single"/>
                </w:rPr>
                <w:t xml:space="preserve"> months ended </w:t>
              </w:r>
            </w:hyperlink>
            <w:r>
              <w:rPr>
                <w:rFonts w:ascii="Times New Roman;serif" w:hAnsi="Times New Roman;serif"/>
                <w:b w:val="false"/>
                <w:color w:val="0E32E1"/>
                <w:sz w:val="20"/>
                <w:u w:val="single"/>
              </w:rPr>
              <w:t>March 31, 2026</w:t>
            </w:r>
            <w:hyperlink w:anchor="i0668a39958304f3485ee1a9fe3340ae2_28">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E32E1"/>
                <w:sz w:val="20"/>
                <w:u w:val="single"/>
              </w:rPr>
              <w:t>2025</w:t>
            </w:r>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668a39958304f3485ee1a9fe3340ae2_28">
              <w:r>
                <w:rPr>
                  <w:rStyle w:val="InternetLink"/>
                  <w:rFonts w:ascii="Times New Roman;serif" w:hAnsi="Times New Roman;serif"/>
                  <w:b w:val="false"/>
                  <w:strike w:val="false"/>
                  <w:dstrike w:val="false"/>
                  <w:color w:val="000000"/>
                  <w:sz w:val="20"/>
                  <w:u w:val="none"/>
                  <w:effect w:val="none"/>
                </w:rPr>
                <w:t>7</w:t>
              </w:r>
            </w:hyperlink>
          </w:p>
        </w:tc>
      </w:tr>
      <w:tr>
        <w:trPr/>
        <w:tc>
          <w:tcPr>
            <w:tcW w:w="1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39958304f3485ee1a9fe3340ae2_34">
              <w:r>
                <w:rPr>
                  <w:rStyle w:val="InternetLink"/>
                  <w:rFonts w:ascii="Times New Roman;serif" w:hAnsi="Times New Roman;serif"/>
                  <w:b w:val="false"/>
                  <w:color w:val="0000FF"/>
                  <w:sz w:val="20"/>
                  <w:u w:val="single"/>
                </w:rPr>
                <w:t xml:space="preserve">Notes to Condensed Consolidated Financial Statements </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668a39958304f3485ee1a9fe3340ae2_34">
              <w:r>
                <w:rPr>
                  <w:rStyle w:val="InternetLink"/>
                  <w:rFonts w:ascii="Times New Roman;serif" w:hAnsi="Times New Roman;serif"/>
                  <w:b w:val="false"/>
                  <w:strike w:val="false"/>
                  <w:dstrike w:val="false"/>
                  <w:color w:val="000000"/>
                  <w:sz w:val="20"/>
                  <w:u w:val="none"/>
                  <w:effect w:val="none"/>
                </w:rPr>
                <w:t>9</w:t>
              </w:r>
            </w:hyperlink>
          </w:p>
        </w:tc>
      </w:tr>
      <w:tr>
        <w:trPr/>
        <w:tc>
          <w:tcPr>
            <w:tcW w:w="15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39958304f3485ee1a9fe3340ae2_82">
              <w:r>
                <w:rPr>
                  <w:rStyle w:val="InternetLink"/>
                  <w:rFonts w:ascii="Times New Roman;serif" w:hAnsi="Times New Roman;serif"/>
                  <w:b w:val="false"/>
                  <w:color w:val="0000FF"/>
                  <w:sz w:val="20"/>
                  <w:u w:val="single"/>
                </w:rPr>
                <w:t>Item 2.</w:t>
              </w:r>
            </w:hyperlink>
          </w:p>
        </w:tc>
        <w:tc>
          <w:tcPr>
            <w:tcW w:w="80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39958304f3485ee1a9fe3340ae2_82">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668a39958304f3485ee1a9fe3340ae2_82">
              <w:r>
                <w:rPr>
                  <w:rStyle w:val="InternetLink"/>
                  <w:rFonts w:ascii="Times New Roman;serif" w:hAnsi="Times New Roman;serif"/>
                  <w:b w:val="false"/>
                  <w:strike w:val="false"/>
                  <w:dstrike w:val="false"/>
                  <w:color w:val="000000"/>
                  <w:sz w:val="20"/>
                  <w:u w:val="none"/>
                  <w:effect w:val="none"/>
                </w:rPr>
                <w:t>19</w:t>
              </w:r>
            </w:hyperlink>
          </w:p>
        </w:tc>
      </w:tr>
      <w:tr>
        <w:trPr/>
        <w:tc>
          <w:tcPr>
            <w:tcW w:w="15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39958304f3485ee1a9fe3340ae2_103">
              <w:r>
                <w:rPr>
                  <w:rStyle w:val="InternetLink"/>
                  <w:rFonts w:ascii="Times New Roman;serif" w:hAnsi="Times New Roman;serif"/>
                  <w:b w:val="false"/>
                  <w:color w:val="0000FF"/>
                  <w:sz w:val="20"/>
                  <w:u w:val="single"/>
                </w:rPr>
                <w:t>Item 3.</w:t>
              </w:r>
            </w:hyperlink>
          </w:p>
        </w:tc>
        <w:tc>
          <w:tcPr>
            <w:tcW w:w="80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39958304f3485ee1a9fe3340ae2_103">
              <w:r>
                <w:rPr>
                  <w:rStyle w:val="InternetLink"/>
                  <w:rFonts w:ascii="Times New Roman;serif" w:hAnsi="Times New Roman;serif"/>
                  <w:b w:val="false"/>
                  <w:color w:val="0000FF"/>
                  <w:sz w:val="20"/>
                  <w:u w:val="single"/>
                </w:rPr>
                <w:t>Quantitative and Qualitative Disclosures About Market Risk</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668a39958304f3485ee1a9fe3340ae2_103">
              <w:r>
                <w:rPr>
                  <w:rStyle w:val="InternetLink"/>
                  <w:rFonts w:ascii="Times New Roman;serif" w:hAnsi="Times New Roman;serif"/>
                  <w:b w:val="false"/>
                  <w:strike w:val="false"/>
                  <w:dstrike w:val="false"/>
                  <w:color w:val="000000"/>
                  <w:sz w:val="20"/>
                  <w:u w:val="none"/>
                  <w:effect w:val="none"/>
                </w:rPr>
                <w:t>30</w:t>
              </w:r>
            </w:hyperlink>
          </w:p>
        </w:tc>
      </w:tr>
      <w:tr>
        <w:trPr/>
        <w:tc>
          <w:tcPr>
            <w:tcW w:w="15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39958304f3485ee1a9fe3340ae2_106">
              <w:r>
                <w:rPr>
                  <w:rStyle w:val="InternetLink"/>
                  <w:rFonts w:ascii="Times New Roman;serif" w:hAnsi="Times New Roman;serif"/>
                  <w:b w:val="false"/>
                  <w:color w:val="0000FF"/>
                  <w:sz w:val="20"/>
                  <w:u w:val="single"/>
                </w:rPr>
                <w:t>Item 4.</w:t>
              </w:r>
            </w:hyperlink>
          </w:p>
        </w:tc>
        <w:tc>
          <w:tcPr>
            <w:tcW w:w="80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39958304f3485ee1a9fe3340ae2_106">
              <w:r>
                <w:rPr>
                  <w:rStyle w:val="InternetLink"/>
                  <w:rFonts w:ascii="Times New Roman;serif" w:hAnsi="Times New Roman;serif"/>
                  <w:b w:val="false"/>
                  <w:color w:val="0000FF"/>
                  <w:sz w:val="20"/>
                  <w:u w:val="single"/>
                </w:rPr>
                <w:t>Controls and Procedures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668a39958304f3485ee1a9fe3340ae2_106">
              <w:r>
                <w:rPr>
                  <w:rStyle w:val="InternetLink"/>
                  <w:rFonts w:ascii="Times New Roman;serif" w:hAnsi="Times New Roman;serif"/>
                  <w:b w:val="false"/>
                  <w:strike w:val="false"/>
                  <w:dstrike w:val="false"/>
                  <w:color w:val="000000"/>
                  <w:sz w:val="20"/>
                  <w:u w:val="none"/>
                  <w:effect w:val="none"/>
                </w:rPr>
                <w:t>31</w:t>
              </w:r>
            </w:hyperlink>
          </w:p>
        </w:tc>
      </w:tr>
      <w:tr>
        <w:trPr/>
        <w:tc>
          <w:tcPr>
            <w:tcW w:w="1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0668a39958304f3485ee1a9fe3340ae2_109">
              <w:r>
                <w:rPr>
                  <w:rStyle w:val="InternetLink"/>
                  <w:rFonts w:ascii="Times New Roman;serif" w:hAnsi="Times New Roman;serif"/>
                  <w:b/>
                  <w:color w:val="0000FF"/>
                  <w:sz w:val="20"/>
                  <w:u w:val="single"/>
                </w:rPr>
                <w:t>PART II. OTHER 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668a39958304f3485ee1a9fe3340ae2_109">
              <w:r>
                <w:rPr>
                  <w:rStyle w:val="InternetLink"/>
                  <w:rFonts w:ascii="Times New Roman;serif" w:hAnsi="Times New Roman;serif"/>
                  <w:b w:val="false"/>
                  <w:strike w:val="false"/>
                  <w:dstrike w:val="false"/>
                  <w:color w:val="000000"/>
                  <w:sz w:val="20"/>
                  <w:u w:val="none"/>
                  <w:effect w:val="none"/>
                </w:rPr>
                <w:t>32</w:t>
              </w:r>
            </w:hyperlink>
          </w:p>
        </w:tc>
      </w:tr>
      <w:tr>
        <w:trPr/>
        <w:tc>
          <w:tcPr>
            <w:tcW w:w="1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39958304f3485ee1a9fe3340ae2_112">
              <w:r>
                <w:rPr>
                  <w:rStyle w:val="InternetLink"/>
                  <w:rFonts w:ascii="Times New Roman;serif" w:hAnsi="Times New Roman;serif"/>
                  <w:b w:val="false"/>
                  <w:color w:val="0000FF"/>
                  <w:sz w:val="20"/>
                  <w:u w:val="single"/>
                </w:rPr>
                <w:t>Item 1.</w:t>
              </w:r>
            </w:hyperlink>
          </w:p>
        </w:tc>
        <w:tc>
          <w:tcPr>
            <w:tcW w:w="80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39958304f3485ee1a9fe3340ae2_112">
              <w:r>
                <w:rPr>
                  <w:rStyle w:val="InternetLink"/>
                  <w:rFonts w:ascii="Times New Roman;serif" w:hAnsi="Times New Roman;serif"/>
                  <w:b w:val="false"/>
                  <w:color w:val="0000FF"/>
                  <w:sz w:val="20"/>
                  <w:u w:val="single"/>
                </w:rPr>
                <w:t>Legal Proceedings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668a39958304f3485ee1a9fe3340ae2_112">
              <w:r>
                <w:rPr>
                  <w:rStyle w:val="InternetLink"/>
                  <w:rFonts w:ascii="Times New Roman;serif" w:hAnsi="Times New Roman;serif"/>
                  <w:b w:val="false"/>
                  <w:strike w:val="false"/>
                  <w:dstrike w:val="false"/>
                  <w:color w:val="000000"/>
                  <w:sz w:val="20"/>
                  <w:u w:val="none"/>
                  <w:effect w:val="none"/>
                </w:rPr>
                <w:t>32</w:t>
              </w:r>
            </w:hyperlink>
          </w:p>
        </w:tc>
      </w:tr>
      <w:tr>
        <w:trPr/>
        <w:tc>
          <w:tcPr>
            <w:tcW w:w="15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39958304f3485ee1a9fe3340ae2_115">
              <w:r>
                <w:rPr>
                  <w:rStyle w:val="InternetLink"/>
                  <w:rFonts w:ascii="Times New Roman;serif" w:hAnsi="Times New Roman;serif"/>
                  <w:b w:val="false"/>
                  <w:color w:val="0000FF"/>
                  <w:sz w:val="20"/>
                  <w:u w:val="single"/>
                </w:rPr>
                <w:t>Item 1A.</w:t>
              </w:r>
            </w:hyperlink>
          </w:p>
        </w:tc>
        <w:tc>
          <w:tcPr>
            <w:tcW w:w="80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39958304f3485ee1a9fe3340ae2_115">
              <w:r>
                <w:rPr>
                  <w:rStyle w:val="InternetLink"/>
                  <w:rFonts w:ascii="Times New Roman;serif" w:hAnsi="Times New Roman;serif"/>
                  <w:b w:val="false"/>
                  <w:color w:val="0000FF"/>
                  <w:sz w:val="20"/>
                  <w:u w:val="single"/>
                </w:rPr>
                <w:t>Risk Factors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668a39958304f3485ee1a9fe3340ae2_115">
              <w:r>
                <w:rPr>
                  <w:rStyle w:val="InternetLink"/>
                  <w:rFonts w:ascii="Times New Roman;serif" w:hAnsi="Times New Roman;serif"/>
                  <w:b w:val="false"/>
                  <w:strike w:val="false"/>
                  <w:dstrike w:val="false"/>
                  <w:color w:val="000000"/>
                  <w:sz w:val="20"/>
                  <w:u w:val="none"/>
                  <w:effect w:val="none"/>
                </w:rPr>
                <w:t>32</w:t>
              </w:r>
            </w:hyperlink>
          </w:p>
        </w:tc>
      </w:tr>
      <w:tr>
        <w:trPr/>
        <w:tc>
          <w:tcPr>
            <w:tcW w:w="15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39958304f3485ee1a9fe3340ae2_118">
              <w:r>
                <w:rPr>
                  <w:rStyle w:val="InternetLink"/>
                  <w:rFonts w:ascii="Times New Roman;serif" w:hAnsi="Times New Roman;serif"/>
                  <w:b w:val="false"/>
                  <w:color w:val="0000FF"/>
                  <w:sz w:val="20"/>
                  <w:u w:val="single"/>
                </w:rPr>
                <w:t>Item 5.</w:t>
              </w:r>
            </w:hyperlink>
          </w:p>
        </w:tc>
        <w:tc>
          <w:tcPr>
            <w:tcW w:w="80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39958304f3485ee1a9fe3340ae2_118">
              <w:r>
                <w:rPr>
                  <w:rStyle w:val="InternetLink"/>
                  <w:rFonts w:ascii="Times New Roman;serif" w:hAnsi="Times New Roman;serif"/>
                  <w:b w:val="false"/>
                  <w:color w:val="0000FF"/>
                  <w:sz w:val="20"/>
                  <w:u w:val="single"/>
                </w:rPr>
                <w:t>Other 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668a39958304f3485ee1a9fe3340ae2_118">
              <w:r>
                <w:rPr>
                  <w:rStyle w:val="InternetLink"/>
                  <w:rFonts w:ascii="Times New Roman;serif" w:hAnsi="Times New Roman;serif"/>
                  <w:b w:val="false"/>
                  <w:strike w:val="false"/>
                  <w:dstrike w:val="false"/>
                  <w:color w:val="000000"/>
                  <w:sz w:val="20"/>
                  <w:u w:val="none"/>
                  <w:effect w:val="none"/>
                </w:rPr>
                <w:t>34</w:t>
              </w:r>
            </w:hyperlink>
          </w:p>
        </w:tc>
      </w:tr>
      <w:tr>
        <w:trPr/>
        <w:tc>
          <w:tcPr>
            <w:tcW w:w="15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39958304f3485ee1a9fe3340ae2_121">
              <w:r>
                <w:rPr>
                  <w:rStyle w:val="InternetLink"/>
                  <w:rFonts w:ascii="Times New Roman;serif" w:hAnsi="Times New Roman;serif"/>
                  <w:b w:val="false"/>
                  <w:color w:val="0000FF"/>
                  <w:sz w:val="20"/>
                  <w:u w:val="single"/>
                </w:rPr>
                <w:t>Item 6.</w:t>
              </w:r>
            </w:hyperlink>
          </w:p>
        </w:tc>
        <w:tc>
          <w:tcPr>
            <w:tcW w:w="80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68a39958304f3485ee1a9fe3340ae2_121">
              <w:r>
                <w:rPr>
                  <w:rStyle w:val="InternetLink"/>
                  <w:rFonts w:ascii="Times New Roman;serif" w:hAnsi="Times New Roman;serif"/>
                  <w:b w:val="false"/>
                  <w:color w:val="0000FF"/>
                  <w:sz w:val="20"/>
                  <w:u w:val="single"/>
                </w:rPr>
                <w:t>Exhibits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668a39958304f3485ee1a9fe3340ae2_121">
              <w:r>
                <w:rPr>
                  <w:rStyle w:val="InternetLink"/>
                  <w:rFonts w:ascii="Times New Roman;serif" w:hAnsi="Times New Roman;serif"/>
                  <w:b w:val="false"/>
                  <w:strike w:val="false"/>
                  <w:dstrike w:val="false"/>
                  <w:color w:val="000000"/>
                  <w:sz w:val="20"/>
                  <w:u w:val="none"/>
                  <w:effect w:val="none"/>
                </w:rPr>
                <w:t>35</w:t>
              </w:r>
            </w:hyperlink>
          </w:p>
        </w:tc>
      </w:tr>
      <w:tr>
        <w:trPr/>
        <w:tc>
          <w:tcPr>
            <w:tcW w:w="1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0668a39958304f3485ee1a9fe3340ae2_124">
              <w:r>
                <w:rPr>
                  <w:rStyle w:val="InternetLink"/>
                  <w:rFonts w:ascii="Times New Roman;serif" w:hAnsi="Times New Roman;serif"/>
                  <w:b w:val="false"/>
                  <w:color w:val="0000FF"/>
                  <w:sz w:val="20"/>
                  <w:u w:val="single"/>
                </w:rPr>
                <w:t>Signatures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668a39958304f3485ee1a9fe3340ae2_124">
              <w:r>
                <w:rPr>
                  <w:rStyle w:val="InternetLink"/>
                  <w:rFonts w:ascii="Times New Roman;serif" w:hAnsi="Times New Roman;serif"/>
                  <w:b w:val="false"/>
                  <w:strike w:val="false"/>
                  <w:dstrike w:val="false"/>
                  <w:color w:val="000000"/>
                  <w:sz w:val="20"/>
                  <w:u w:val="none"/>
                  <w:effect w:val="none"/>
                </w:rPr>
                <w:t>36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0668a39958304f3485ee1a9fe3340ae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Editas Medicine,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and per share data)</w:t>
      </w:r>
    </w:p>
    <w:tbl>
      <w:tblPr>
        <w:tblW w:w="10205" w:type="dxa"/>
        <w:jc w:val="left"/>
        <w:tblInd w:w="0" w:type="dxa"/>
        <w:tblLayout w:type="fixed"/>
        <w:tblCellMar>
          <w:top w:w="28" w:type="dxa"/>
          <w:left w:w="28" w:type="dxa"/>
          <w:bottom w:w="28" w:type="dxa"/>
          <w:right w:w="28" w:type="dxa"/>
        </w:tblCellMar>
      </w:tblPr>
      <w:tblGrid>
        <w:gridCol w:w="3047"/>
        <w:gridCol w:w="2334"/>
        <w:gridCol w:w="2335"/>
        <w:gridCol w:w="197"/>
        <w:gridCol w:w="741"/>
        <w:gridCol w:w="109"/>
        <w:gridCol w:w="109"/>
        <w:gridCol w:w="109"/>
        <w:gridCol w:w="109"/>
        <w:gridCol w:w="200"/>
        <w:gridCol w:w="754"/>
        <w:gridCol w:w="161"/>
      </w:tblGrid>
      <w:tr>
        <w:trPr/>
        <w:tc>
          <w:tcPr>
            <w:tcW w:w="3047"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146,645 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7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15,176 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2,074 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128,066 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163,895 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7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3,542 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16,121 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and other non-current assets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2,976 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149,338 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186,534 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10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2,605 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32,610 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Liability for sale of future revenues, current</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7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 current</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6,031 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46,246 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 net of current portion</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12,071 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Liability for sale of future revenues, net of current portion</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53,605 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 net of current portion</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44,509 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2,815 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144,930 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159,246 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Stockholders’ equity </w:t>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Preferred stock, $0.0001 par value per share: 5,000,000 shares authorized; no shares issued or outstanding</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$0.0001 par value per share: 390,000,000 shares authorized; 97,901,034 and 97,866,996 shares issued and outstanding at March 31, 2026 and December 31, 2025, respectively</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1,657,883 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1,655,781 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(1,653,485)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(1,628,503)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stockholders’ equity </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27,288 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liabilities and stockholders’ equity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149,338 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186,534 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0668a39958304f3485ee1a9fe3340ae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Editas Medicine,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and per share data)</w:t>
      </w:r>
    </w:p>
    <w:tbl>
      <w:tblPr>
        <w:tblW w:w="8658" w:type="dxa"/>
        <w:jc w:val="center"/>
        <w:tblInd w:w="0" w:type="dxa"/>
        <w:tblLayout w:type="fixed"/>
        <w:tblCellMar>
          <w:top w:w="28" w:type="dxa"/>
          <w:left w:w="28" w:type="dxa"/>
          <w:bottom w:w="28" w:type="dxa"/>
          <w:right w:w="28" w:type="dxa"/>
        </w:tblCellMar>
      </w:tblPr>
      <w:tblGrid>
        <w:gridCol w:w="1957"/>
        <w:gridCol w:w="1717"/>
        <w:gridCol w:w="1726"/>
        <w:gridCol w:w="211"/>
        <w:gridCol w:w="796"/>
        <w:gridCol w:w="109"/>
        <w:gridCol w:w="109"/>
        <w:gridCol w:w="109"/>
        <w:gridCol w:w="109"/>
        <w:gridCol w:w="211"/>
        <w:gridCol w:w="796"/>
        <w:gridCol w:w="109"/>
        <w:gridCol w:w="109"/>
        <w:gridCol w:w="109"/>
        <w:gridCol w:w="109"/>
        <w:gridCol w:w="109"/>
        <w:gridCol w:w="109"/>
        <w:gridCol w:w="154"/>
      </w:tblGrid>
      <w:tr>
        <w:trPr/>
        <w:tc>
          <w:tcPr>
            <w:tcW w:w="1957"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and other research and development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impairment charges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80,821 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(76,163)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related to sale of future revenues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basic and diluted</w:t>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97,879,343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83,055,066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0668a39958304f3485ee1a9fe3340ae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Editas Medicine,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w:t>
      </w:r>
    </w:p>
    <w:tbl>
      <w:tblPr>
        <w:tblW w:w="6819" w:type="dxa"/>
        <w:jc w:val="center"/>
        <w:tblInd w:w="0" w:type="dxa"/>
        <w:tblLayout w:type="fixed"/>
        <w:tblCellMar>
          <w:top w:w="28" w:type="dxa"/>
          <w:left w:w="28" w:type="dxa"/>
          <w:bottom w:w="28" w:type="dxa"/>
          <w:right w:w="28" w:type="dxa"/>
        </w:tblCellMar>
      </w:tblPr>
      <w:tblGrid>
        <w:gridCol w:w="1368"/>
        <w:gridCol w:w="1195"/>
        <w:gridCol w:w="1216"/>
        <w:gridCol w:w="211"/>
        <w:gridCol w:w="796"/>
        <w:gridCol w:w="109"/>
        <w:gridCol w:w="109"/>
        <w:gridCol w:w="109"/>
        <w:gridCol w:w="109"/>
        <w:gridCol w:w="211"/>
        <w:gridCol w:w="796"/>
        <w:gridCol w:w="109"/>
        <w:gridCol w:w="109"/>
        <w:gridCol w:w="109"/>
        <w:gridCol w:w="109"/>
        <w:gridCol w:w="154"/>
      </w:tblGrid>
      <w:tr>
        <w:trPr/>
        <w:tc>
          <w:tcPr>
            <w:tcW w:w="1368"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marketable debt securities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(24,982)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(76,268)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0668a39958304f3485ee1a9fe3340ae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Editas Medicine,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data)</w:t>
      </w:r>
    </w:p>
    <w:tbl>
      <w:tblPr>
        <w:tblW w:w="10205" w:type="dxa"/>
        <w:jc w:val="left"/>
        <w:tblInd w:w="0" w:type="dxa"/>
        <w:tblLayout w:type="fixed"/>
        <w:tblCellMar>
          <w:top w:w="28" w:type="dxa"/>
          <w:left w:w="28" w:type="dxa"/>
          <w:bottom w:w="28" w:type="dxa"/>
          <w:right w:w="28" w:type="dxa"/>
        </w:tblCellMar>
      </w:tblPr>
      <w:tblGrid>
        <w:gridCol w:w="796"/>
        <w:gridCol w:w="594"/>
        <w:gridCol w:w="596"/>
        <w:gridCol w:w="304"/>
        <w:gridCol w:w="304"/>
        <w:gridCol w:w="308"/>
        <w:gridCol w:w="109"/>
        <w:gridCol w:w="109"/>
        <w:gridCol w:w="109"/>
        <w:gridCol w:w="231"/>
        <w:gridCol w:w="390"/>
        <w:gridCol w:w="130"/>
        <w:gridCol w:w="109"/>
        <w:gridCol w:w="109"/>
        <w:gridCol w:w="109"/>
        <w:gridCol w:w="196"/>
        <w:gridCol w:w="871"/>
        <w:gridCol w:w="109"/>
        <w:gridCol w:w="109"/>
        <w:gridCol w:w="109"/>
        <w:gridCol w:w="109"/>
        <w:gridCol w:w="360"/>
        <w:gridCol w:w="745"/>
        <w:gridCol w:w="201"/>
        <w:gridCol w:w="109"/>
        <w:gridCol w:w="109"/>
        <w:gridCol w:w="109"/>
        <w:gridCol w:w="196"/>
        <w:gridCol w:w="911"/>
        <w:gridCol w:w="109"/>
        <w:gridCol w:w="109"/>
        <w:gridCol w:w="109"/>
        <w:gridCol w:w="109"/>
        <w:gridCol w:w="239"/>
        <w:gridCol w:w="788"/>
        <w:gridCol w:w="192"/>
      </w:tblGrid>
      <w:tr>
        <w:trPr/>
        <w:tc>
          <w:tcPr>
            <w:tcW w:w="79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br/>
              <w:t>Stockholders’</w:t>
              <w:br/>
              <w:t>Equity</w:t>
            </w:r>
          </w:p>
        </w:tc>
      </w:tr>
      <w:tr>
        <w:trPr/>
        <w:tc>
          <w:tcPr>
            <w:tcW w:w="1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December 31, 2025</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97,866,996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1,655,781 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(1,628,503)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27,288 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198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19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common stock awards</w:t>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34,038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19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(24,982)</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March 31, 2026</w:t>
            </w:r>
          </w:p>
        </w:tc>
        <w:tc>
          <w:tcPr>
            <w:tcW w:w="9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97,901,034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1,657,883 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(1,653,485)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4,408 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8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198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198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198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198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198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198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198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198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198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198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198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198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198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198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198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bl>
    <w:tbl>
      <w:tblPr>
        <w:tblW w:w="11684" w:type="dxa"/>
        <w:jc w:val="center"/>
        <w:tblInd w:w="0" w:type="dxa"/>
        <w:tblLayout w:type="fixed"/>
        <w:tblCellMar>
          <w:top w:w="28" w:type="dxa"/>
          <w:left w:w="28" w:type="dxa"/>
          <w:bottom w:w="28" w:type="dxa"/>
          <w:right w:w="28" w:type="dxa"/>
        </w:tblCellMar>
      </w:tblPr>
      <w:tblGrid>
        <w:gridCol w:w="531"/>
        <w:gridCol w:w="282"/>
        <w:gridCol w:w="283"/>
        <w:gridCol w:w="325"/>
        <w:gridCol w:w="325"/>
        <w:gridCol w:w="266"/>
        <w:gridCol w:w="208"/>
        <w:gridCol w:w="269"/>
        <w:gridCol w:w="331"/>
        <w:gridCol w:w="151"/>
        <w:gridCol w:w="931"/>
        <w:gridCol w:w="196"/>
        <w:gridCol w:w="871"/>
        <w:gridCol w:w="109"/>
        <w:gridCol w:w="1306"/>
        <w:gridCol w:w="196"/>
        <w:gridCol w:w="421"/>
        <w:gridCol w:w="109"/>
        <w:gridCol w:w="1126"/>
        <w:gridCol w:w="196"/>
        <w:gridCol w:w="886"/>
        <w:gridCol w:w="109"/>
        <w:gridCol w:w="1171"/>
        <w:gridCol w:w="196"/>
        <w:gridCol w:w="736"/>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4"/>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751" w:type="dxa"/>
            <w:gridSpan w:val="3"/>
            <w:tcBorders/>
            <w:vAlign w:val="center"/>
          </w:tcPr>
          <w:p>
            <w:pPr>
              <w:pStyle w:val="TableContents"/>
              <w:bidi w:val="0"/>
              <w:spacing w:before="0" w:after="283"/>
              <w:jc w:val="left"/>
              <w:rPr>
                <w:sz w:val="4"/>
                <w:szCs w:val="4"/>
              </w:rPr>
            </w:pPr>
            <w:r>
              <w:rPr>
                <w:sz w:val="4"/>
                <w:szCs w:val="4"/>
              </w:rPr>
            </w:r>
          </w:p>
        </w:tc>
        <w:tc>
          <w:tcPr>
            <w:tcW w:w="931" w:type="dxa"/>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306" w:type="dxa"/>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Loss</w:t>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26" w:type="dxa"/>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w:t>
              <w:br/>
              <w:t>Deficit</w:t>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71" w:type="dxa"/>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br/>
              <w:t>Stockholders’</w:t>
              <w:br/>
              <w:t>Equity</w:t>
            </w:r>
          </w:p>
        </w:tc>
        <w:tc>
          <w:tcPr>
            <w:tcW w:w="1086" w:type="dxa"/>
            <w:gridSpan w:val="3"/>
            <w:tcBorders/>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208" w:type="dxa"/>
            <w:tcBorders/>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931" w:type="dxa"/>
            <w:vMerge w:val="continue"/>
            <w:tcBorders/>
            <w:tcMar>
              <w:top w:w="0" w:type="dxa"/>
              <w:left w:w="0" w:type="dxa"/>
              <w:bottom w:w="0" w:type="dxa"/>
              <w:right w:w="0" w:type="dxa"/>
            </w:tcMar>
            <w:vAlign w:val="center"/>
          </w:tcPr>
          <w:p>
            <w:pPr>
              <w:pStyle w:val="Normal"/>
              <w:bidi w:val="0"/>
              <w:jc w:val="left"/>
              <w:rPr/>
            </w:pPr>
            <w:r>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306" w:type="dxa"/>
            <w:vMerge w:val="continue"/>
            <w:tcBorders/>
            <w:tcMar>
              <w:top w:w="0" w:type="dxa"/>
              <w:left w:w="0" w:type="dxa"/>
              <w:bottom w:w="0" w:type="dxa"/>
              <w:right w:w="0" w:type="dxa"/>
            </w:tcMar>
            <w:vAlign w:val="center"/>
          </w:tcPr>
          <w:p>
            <w:pPr>
              <w:pStyle w:val="Normal"/>
              <w:bidi w:val="0"/>
              <w:jc w:val="left"/>
              <w:rPr/>
            </w:pPr>
            <w:r>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26" w:type="dxa"/>
            <w:vMerge w:val="continue"/>
            <w:tcBorders/>
            <w:tcMar>
              <w:top w:w="0" w:type="dxa"/>
              <w:left w:w="0" w:type="dxa"/>
              <w:bottom w:w="0" w:type="dxa"/>
              <w:right w:w="0" w:type="dxa"/>
            </w:tcMar>
            <w:vAlign w:val="center"/>
          </w:tcPr>
          <w:p>
            <w:pPr>
              <w:pStyle w:val="Normal"/>
              <w:bidi w:val="0"/>
              <w:jc w:val="left"/>
              <w:rPr/>
            </w:pPr>
            <w:r>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71" w:type="dxa"/>
            <w:vMerge w:val="continue"/>
            <w:tcBorders/>
            <w:tcMar>
              <w:top w:w="0" w:type="dxa"/>
              <w:left w:w="0" w:type="dxa"/>
              <w:bottom w:w="0" w:type="dxa"/>
              <w:right w:w="0" w:type="dxa"/>
            </w:tcMar>
            <w:vAlign w:val="center"/>
          </w:tcPr>
          <w:p>
            <w:pPr>
              <w:pStyle w:val="Normal"/>
              <w:bidi w:val="0"/>
              <w:jc w:val="left"/>
              <w:rPr/>
            </w:pPr>
            <w:r>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December 31, 2024</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82,734,696</w:t>
            </w:r>
          </w:p>
        </w:tc>
        <w:tc>
          <w:tcPr>
            <w:tcW w:w="208"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1,602,441 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(1,468,443)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134,274 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from at-the-market equity offering, net</w:t>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706,236</w:t>
            </w:r>
          </w:p>
        </w:tc>
        <w:tc>
          <w:tcPr>
            <w:tcW w:w="208" w:type="dxa"/>
            <w:tcBorders/>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Vesting of restricted common stock awards </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268,604</w:t>
            </w:r>
          </w:p>
        </w:tc>
        <w:tc>
          <w:tcPr>
            <w:tcW w:w="208" w:type="dxa"/>
            <w:tcBorders/>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208" w:type="dxa"/>
            <w:tcBorders/>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marketable debt securities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208" w:type="dxa"/>
            <w:tcBorders/>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208" w:type="dxa"/>
            <w:tcBorders/>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(76,088)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(76,088)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March 31, 2025</w:t>
            </w:r>
          </w:p>
        </w:tc>
        <w:tc>
          <w:tcPr>
            <w:tcW w:w="9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83,709,536</w:t>
            </w:r>
          </w:p>
        </w:tc>
        <w:tc>
          <w:tcPr>
            <w:tcW w:w="208"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1,606,855 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(1,544,531)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62,420 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0668a39958304f3485ee1a9fe3340ae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Editas Medicine,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w:t>
      </w:r>
    </w:p>
    <w:tbl>
      <w:tblPr>
        <w:tblW w:w="10205" w:type="dxa"/>
        <w:jc w:val="center"/>
        <w:tblInd w:w="0" w:type="dxa"/>
        <w:tblLayout w:type="fixed"/>
        <w:tblCellMar>
          <w:top w:w="28" w:type="dxa"/>
          <w:left w:w="28" w:type="dxa"/>
          <w:bottom w:w="28" w:type="dxa"/>
          <w:right w:w="28" w:type="dxa"/>
        </w:tblCellMar>
      </w:tblPr>
      <w:tblGrid>
        <w:gridCol w:w="2562"/>
        <w:gridCol w:w="2097"/>
        <w:gridCol w:w="2112"/>
        <w:gridCol w:w="376"/>
        <w:gridCol w:w="1476"/>
        <w:gridCol w:w="194"/>
        <w:gridCol w:w="194"/>
        <w:gridCol w:w="211"/>
        <w:gridCol w:w="826"/>
        <w:gridCol w:w="157"/>
      </w:tblGrid>
      <w:tr>
        <w:trPr/>
        <w:tc>
          <w:tcPr>
            <w:tcW w:w="2562"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4"/>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194" w:type="dxa"/>
            <w:gridSpan w:val="3"/>
            <w:tcBorders/>
          </w:tcPr>
          <w:p>
            <w:pPr>
              <w:pStyle w:val="TableContents"/>
              <w:bidi w:val="0"/>
              <w:spacing w:before="0" w:after="283"/>
              <w:jc w:val="left"/>
              <w:rPr>
                <w:sz w:val="4"/>
                <w:szCs w:val="4"/>
              </w:rPr>
            </w:pPr>
            <w:r>
              <w:rPr>
                <w:sz w:val="4"/>
                <w:szCs w:val="4"/>
              </w:rPr>
            </w:r>
          </w:p>
        </w:tc>
      </w:tr>
      <w:tr>
        <w:trPr/>
        <w:tc>
          <w:tcPr>
            <w:tcW w:w="6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94" w:type="dxa"/>
            <w:tcBorders/>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 from operating activities</w:t>
            </w:r>
          </w:p>
        </w:tc>
        <w:tc>
          <w:tcPr>
            <w:tcW w:w="2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(24,982)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(76,088)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2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8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w:t>
            </w:r>
          </w:p>
        </w:tc>
        <w:tc>
          <w:tcPr>
            <w:tcW w:w="18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amortization of premiums and discounts on marketable securities</w:t>
            </w:r>
          </w:p>
        </w:tc>
        <w:tc>
          <w:tcPr>
            <w:tcW w:w="18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non-cash items </w:t>
            </w:r>
          </w:p>
        </w:tc>
        <w:tc>
          <w:tcPr>
            <w:tcW w:w="18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held for sale assets</w:t>
            </w:r>
          </w:p>
        </w:tc>
        <w:tc>
          <w:tcPr>
            <w:tcW w:w="18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related to sale of future revenues</w:t>
            </w:r>
          </w:p>
        </w:tc>
        <w:tc>
          <w:tcPr>
            <w:tcW w:w="18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20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94" w:type="dxa"/>
            <w:tcBorders/>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6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8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12,584 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15,756 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8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18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8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8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8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(11,362)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on sale of future revenues</w:t>
            </w:r>
          </w:p>
        </w:tc>
        <w:tc>
          <w:tcPr>
            <w:tcW w:w="18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8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8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(805)</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8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8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(23,061)</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(47,799)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 from investing activities</w:t>
            </w:r>
          </w:p>
        </w:tc>
        <w:tc>
          <w:tcPr>
            <w:tcW w:w="20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8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sale of equipment</w:t>
            </w:r>
          </w:p>
        </w:tc>
        <w:tc>
          <w:tcPr>
            <w:tcW w:w="18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vAlign w:val="center"/>
          </w:tcPr>
          <w:p>
            <w:pPr>
              <w:pStyle w:val="TableContents"/>
              <w:bidi w:val="0"/>
              <w:spacing w:before="0" w:after="283"/>
              <w:jc w:val="left"/>
              <w:rPr>
                <w:sz w:val="4"/>
                <w:szCs w:val="4"/>
              </w:rPr>
            </w:pPr>
            <w:r>
              <w:rPr>
                <w:sz w:val="4"/>
                <w:szCs w:val="4"/>
              </w:rPr>
            </w:r>
          </w:p>
        </w:tc>
        <w:tc>
          <w:tcPr>
            <w:tcW w:w="2046" w:type="dxa"/>
            <w:gridSpan w:val="3"/>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6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of marketable securities</w:t>
            </w:r>
          </w:p>
        </w:tc>
        <w:tc>
          <w:tcPr>
            <w:tcW w:w="18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56,501 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18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56,387 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 from financing activities</w:t>
            </w:r>
          </w:p>
        </w:tc>
        <w:tc>
          <w:tcPr>
            <w:tcW w:w="2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vAlign w:val="center"/>
          </w:tcPr>
          <w:p>
            <w:pPr>
              <w:pStyle w:val="TableContents"/>
              <w:bidi w:val="0"/>
              <w:spacing w:before="0" w:after="283"/>
              <w:jc w:val="left"/>
              <w:rPr>
                <w:sz w:val="4"/>
                <w:szCs w:val="4"/>
              </w:rPr>
            </w:pPr>
            <w:r>
              <w:rPr>
                <w:sz w:val="4"/>
                <w:szCs w:val="4"/>
              </w:rPr>
            </w:r>
          </w:p>
        </w:tc>
        <w:tc>
          <w:tcPr>
            <w:tcW w:w="2046" w:type="dxa"/>
            <w:gridSpan w:val="3"/>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6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on sale of future revenues</w:t>
            </w:r>
          </w:p>
        </w:tc>
        <w:tc>
          <w:tcPr>
            <w:tcW w:w="18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from at-the-market equity offering</w:t>
            </w:r>
          </w:p>
        </w:tc>
        <w:tc>
          <w:tcPr>
            <w:tcW w:w="18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vAlign w:val="center"/>
          </w:tcPr>
          <w:p>
            <w:pPr>
              <w:pStyle w:val="TableContents"/>
              <w:bidi w:val="0"/>
              <w:spacing w:before="0" w:after="283"/>
              <w:jc w:val="left"/>
              <w:rPr>
                <w:sz w:val="4"/>
                <w:szCs w:val="4"/>
              </w:rPr>
            </w:pPr>
            <w:r>
              <w:rPr>
                <w:sz w:val="4"/>
                <w:szCs w:val="4"/>
              </w:rPr>
            </w:r>
          </w:p>
        </w:tc>
        <w:tc>
          <w:tcPr>
            <w:tcW w:w="2046" w:type="dxa"/>
            <w:gridSpan w:val="3"/>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6771" w:type="dxa"/>
            <w:gridSpan w:val="3"/>
            <w:tcBorders/>
            <w:vAlign w:val="center"/>
          </w:tcPr>
          <w:p>
            <w:pPr>
              <w:pStyle w:val="TableContents"/>
              <w:bidi w:val="0"/>
              <w:spacing w:before="0" w:after="283"/>
              <w:jc w:val="left"/>
              <w:rPr>
                <w:sz w:val="4"/>
                <w:szCs w:val="4"/>
              </w:rPr>
            </w:pPr>
            <w:r>
              <w:rPr>
                <w:sz w:val="4"/>
                <w:szCs w:val="4"/>
              </w:rPr>
            </w:r>
          </w:p>
        </w:tc>
        <w:tc>
          <w:tcPr>
            <w:tcW w:w="2046" w:type="dxa"/>
            <w:gridSpan w:val="3"/>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6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8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(1,437)</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18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(22,997)</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7,151 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period</w:t>
            </w:r>
          </w:p>
        </w:tc>
        <w:tc>
          <w:tcPr>
            <w:tcW w:w="18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149,315 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135,418 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period</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126,318 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142,569 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18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123,648 </w:t>
            </w:r>
          </w:p>
        </w:tc>
        <w:tc>
          <w:tcPr>
            <w:tcW w:w="19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138,692 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Restricted cash</w:t>
            </w:r>
            <w:r>
              <w:rPr>
                <w:rFonts w:ascii="Times New Roman;serif" w:hAnsi="Times New Roman;serif"/>
                <w:b w:val="false"/>
                <w:color w:val="000000"/>
                <w:sz w:val="13"/>
              </w:rPr>
              <w:t>1</w:t>
            </w:r>
          </w:p>
        </w:tc>
        <w:tc>
          <w:tcPr>
            <w:tcW w:w="18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period</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126,318 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142,569 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1" w:type="dxa"/>
            <w:gridSpan w:val="7"/>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As of March 31, 2026 and March 31, 2025, restricted cash of $2,670 and $3,877 was included in Restricted cash and other non-current assets on the Condensed Consolidated Balance Sheet, respectively.</w:t>
            </w:r>
          </w:p>
        </w:tc>
        <w:tc>
          <w:tcPr>
            <w:tcW w:w="1194" w:type="dxa"/>
            <w:gridSpan w:val="3"/>
            <w:tcBorders/>
          </w:tcPr>
          <w:p>
            <w:pPr>
              <w:pStyle w:val="TableContents"/>
              <w:bidi w:val="0"/>
              <w:spacing w:before="0" w:after="283"/>
              <w:jc w:val="left"/>
              <w:rPr>
                <w:sz w:val="4"/>
                <w:szCs w:val="4"/>
              </w:rPr>
            </w:pPr>
            <w:r>
              <w:rPr>
                <w:sz w:val="4"/>
                <w:szCs w:val="4"/>
              </w:rPr>
            </w:r>
          </w:p>
        </w:tc>
      </w:tr>
      <w:tr>
        <w:trPr/>
        <w:tc>
          <w:tcPr>
            <w:tcW w:w="6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and non-cash activities:</w:t>
            </w:r>
          </w:p>
        </w:tc>
        <w:tc>
          <w:tcPr>
            <w:tcW w:w="2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vAlign w:val="center"/>
          </w:tcPr>
          <w:p>
            <w:pPr>
              <w:pStyle w:val="TableContents"/>
              <w:bidi w:val="0"/>
              <w:spacing w:before="0" w:after="283"/>
              <w:jc w:val="left"/>
              <w:rPr>
                <w:sz w:val="4"/>
                <w:szCs w:val="4"/>
              </w:rPr>
            </w:pPr>
            <w:r>
              <w:rPr>
                <w:sz w:val="4"/>
                <w:szCs w:val="4"/>
              </w:rPr>
            </w:r>
          </w:p>
        </w:tc>
        <w:tc>
          <w:tcPr>
            <w:tcW w:w="2046" w:type="dxa"/>
            <w:gridSpan w:val="3"/>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6771" w:type="dxa"/>
            <w:gridSpan w:val="3"/>
            <w:tcBorders/>
            <w:vAlign w:val="center"/>
          </w:tcPr>
          <w:p>
            <w:pPr>
              <w:pStyle w:val="TableContents"/>
              <w:bidi w:val="0"/>
              <w:spacing w:before="0" w:after="283"/>
              <w:jc w:val="left"/>
              <w:rPr>
                <w:sz w:val="4"/>
                <w:szCs w:val="4"/>
              </w:rPr>
            </w:pPr>
            <w:r>
              <w:rPr>
                <w:sz w:val="4"/>
                <w:szCs w:val="4"/>
              </w:rPr>
            </w:r>
          </w:p>
        </w:tc>
        <w:tc>
          <w:tcPr>
            <w:tcW w:w="2046" w:type="dxa"/>
            <w:gridSpan w:val="3"/>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0668a39958304f3485ee1a9fe3340ae2_7">
        <w:r>
          <w:rPr>
            <w:rStyle w:val="InternetLink"/>
            <w:rFonts w:ascii="Times New Roman;serif" w:hAnsi="Times New Roman;serif"/>
            <w:b w:val="false"/>
            <w:color w:val="0000FF"/>
            <w:sz w:val="20"/>
            <w:u w:val="single"/>
          </w:rPr>
          <w:t>Table of Contents</w:t>
        </w:r>
      </w:hyperlink>
    </w:p>
    <w:tbl>
      <w:tblPr>
        <w:tblW w:w="9690" w:type="dxa"/>
        <w:jc w:val="center"/>
        <w:tblInd w:w="0" w:type="dxa"/>
        <w:tblLayout w:type="fixed"/>
        <w:tblCellMar>
          <w:top w:w="28" w:type="dxa"/>
          <w:left w:w="28" w:type="dxa"/>
          <w:bottom w:w="28" w:type="dxa"/>
          <w:right w:w="28" w:type="dxa"/>
        </w:tblCellMar>
      </w:tblPr>
      <w:tblGrid>
        <w:gridCol w:w="2775"/>
        <w:gridCol w:w="2434"/>
        <w:gridCol w:w="2455"/>
        <w:gridCol w:w="211"/>
        <w:gridCol w:w="616"/>
        <w:gridCol w:w="109"/>
        <w:gridCol w:w="109"/>
        <w:gridCol w:w="211"/>
        <w:gridCol w:w="616"/>
        <w:gridCol w:w="154"/>
      </w:tblGrid>
      <w:tr>
        <w:trPr/>
        <w:tc>
          <w:tcPr>
            <w:tcW w:w="2775" w:type="dxa"/>
            <w:tcBorders/>
            <w:vAlign w:val="center"/>
          </w:tcPr>
          <w:p>
            <w:pPr>
              <w:pStyle w:val="TableContents"/>
              <w:bidi w:val="0"/>
              <w:spacing w:before="0" w:after="283"/>
              <w:jc w:val="left"/>
              <w:rPr>
                <w:sz w:val="4"/>
                <w:szCs w:val="4"/>
              </w:rPr>
            </w:pPr>
            <w:r>
              <w:rPr>
                <w:sz w:val="4"/>
                <w:szCs w:val="4"/>
              </w:rPr>
            </w:r>
          </w:p>
        </w:tc>
        <w:tc>
          <w:tcPr>
            <w:tcW w:w="2434"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in connection with operating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Remeasurement of operating lease liabilities and right-of-use assets due to lease modification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6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6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0668a39958304f3485ee1a9fe3340ae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Editas Medicine,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 Nature of Business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Editas Medicine, Inc. (the “Company”) is a pioneering gene editing company dedicated to developing transformative genomic medicines to treat a broad range of serious diseases. The Company was incorporated in the state of Delaware in September 2013. Its principal offices are in Cambridge, Massachusetts.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Since its inception, the Company has devoted substantially all of its efforts to business planning, research and development, recruiting management and technical staff, and raising capital. The Company has primarily financed its operations through various equity financings, payments received under a research collaboration with the Bristol-Myers Squibb Company (“BMS”), through its wholly owned subsidiary Juno Therapeutics, Inc. (“Juno Therapeutics”), payments received under its former strategic alliance with Allergan Pharmaceuticals International Limited (together with its affiliates, “Allergan”), which was terminated in August 2020, payments received under a purchase and sale agreement with DRI Healthcare Acquisitions LP (“DRI,” and such agreement, the “DRI Agreement”), and payments received under the Company’s license agreement with Vertex Pharmaceuticals, Inc, (“Vertex”, and such agreement, the “Vertex License Agreement”).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subject to risks common to companies in the biotechnology industry, including but not limited to, risks of failure of preclinical studies and clinical trials, the need to obtain marketing approval for any drug product candidate that it may identify and develop, the need to successfully commercialize and gain market acceptance of its product candidates, dependence on key personnel, protection of proprietary technology, compliance with government regulations, development by competitors of technological innovations and ability to transition from pilot-scale manufacturing to large-scale production of products.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2026, the Company has raised an aggregate of $1.1 billion in net proceeds through the sale of shares of its common stock in public offerings and at-the-market offerings. The Company also has funded its business from payments received under its DRI Agreement, under the Vertex License Agreement, under the collaboration with BMS through its wholly owned subsidiary Juno Therapeutics and its former strategic alliance with Allergan (which was terminated in August 2020). As of March 31, 2026, the Company had cash and cash equivalents of $123.6 million.</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May 2021, the Company entered into a common stock sales agreement with TD Securities (USA) LLC (as successor to Cowen and Company, LLC) (“TD Cowen”), under which the Company from time to time can issue and sell shares of the Company’s common stock through TD Cowen in at-the-market offerings for aggregate gross sale proceeds of up to $300.0 million. The Company amended the common stock sales agreement with TD Cowen in February 2024 in connection with filing a new registration statement. In March 2025, the Company further amended its common stock sales agreement with TD Cowen in connection with amending its existing shelf registration statement following the loss of the Company’s status as a “well-known seasoned issuer” (as defined under Rule 405 of the Securities Act of 1933, as amended), reducing the amount of shares of common stock the Company may issue and sell through TD Cowen to aggregate gross sale proceeds of up to $150.0 million (the “ATM Facility”). As of March 31, 2026, the Company has sold 14,327,365 shares of common stock under the ATM Facility for gross proceeds of $43.9 million and has $106.1 million of shares of common stock remaining available for issuance and sale under the ATM Facility.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incurred annual net operating losses in every year since its inception. As of May 5, 2026, the issuance date of the condensed consolidated financial statements, the Company expects that its existing cash and cash equivalents will be sufficient to fund its operating expenses and capital expenditure requirements for at least the next twelve months. The Company had an accumulated deficit of $1.7 billion at March 31, 2026, and will require substantial additional capital to fund its operations. The Company has never generated any product revenue. There can be no assurance that the Company will be able to obtain additional debt or equity financings or generate product revenue or revenues from collaborative partners, on terms acceptable to the Company, on a timely basis or at all. The failure of the Company to obtain sufficient funds on acceptable terms when needed could have a material adverse effect on the Company’s business,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0668a39958304f3485ee1a9fe3340ae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Unaudited Interim Financial Information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of the Company included herein have been prepared, without audit, pursuant to the rules and regulations of the Securities and Exchange Commission (the “SEC”). Certain information and footnote disclosures normally included in financial statements prepared in accordance with generally accepted accounting principles in the United States of America have been condensed or omitted from this report, as is permitted by such rules and regulations. Accordingly, these condensed consolidated financial statements should be read in conjunction with the financial statements and notes thereto included in the Company’s Annual Report on Form 10-K for the fiscal year ended December 31, 2025 (the “Annual Report”).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include the accounts of the Company and its wholly owned subsidiaries, Editas Securities Corporation and Editas Medicine, LLC. All intercompany transactions and balances of the subsidiaries have been eliminated in consolidation. In the opinion of management, the information furnished reflects all adjustments, all of which are of a normal and recurring nature, necessary for a fair statement of the results for the reported interim periods. The Company considers events or transactions that occur after the balance sheet date but before the financial statements are issued to provide additional evidence relative to certain estimates or to identify matters that require additional disclosure. The three months ended March 31, 2026 and 2025 are referred to as the first quarter of 2026 and 2025, respectively. The results of operations for interim periods are not necessarily indicative of results to be expected for the full year or any other interim period.</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Summary of Significant Accounting Policies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significant accounting policies are described in Note 2, “Summary of Significant Accounting Policies,” to the consolidated financial statements included in the Annual Report. There have been no material changes to the significant accounting policies previously disclosed in the Annual Report.</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In September 2025, the Financial Accounting Standards Board (“FASB”) issued Accounting Standards Update (“ASU”) 2025-07 </w:t>
      </w:r>
      <w:r>
        <w:rPr>
          <w:rFonts w:ascii="Times New Roman;serif" w:hAnsi="Times New Roman;serif"/>
          <w:b w:val="false"/>
          <w:i/>
          <w:color w:val="000000"/>
          <w:sz w:val="20"/>
        </w:rPr>
        <w:t>Derivatives Scope Refinements and Scope Clarification for Share-Based Noncash Consideration from a Customer in a Revenue Contract</w:t>
      </w:r>
      <w:r>
        <w:rPr>
          <w:rFonts w:ascii="Times New Roman;serif" w:hAnsi="Times New Roman;serif"/>
          <w:b w:val="false"/>
          <w:color w:val="000000"/>
          <w:sz w:val="20"/>
        </w:rPr>
        <w:t>. The amendments provide for a new scope exception to the derivatives guidance for underlyings based on the operations or activities specific to one of the parties to the contract, and also clarifies that share-based noncash consideration received from a customer as consideration for the transfer of goods or services in a revenue contract is subject to the revenue guidance and not the financial instruments guidance unless and until the company’s right to receive or retain the share-based noncash consideration is unconditional as defined in the ASU. The amendments are effective for annual reporting periods beginning after December 15, 2026, including interim periods within those fiscal years. Early adoption is permitted. The Company adopted the standard prospectively in the first quarter of 2026 and did not have a material impact on its condensed consolidated financial statements.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Recently Issued Accounting Pronouncements</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 - Reporting Comprehensive Income -Expense Disaggregation Disclosures (Subtopic 220-40): Disaggregation of Income Statement Expenses</w:t>
      </w:r>
      <w:r>
        <w:rPr>
          <w:rFonts w:ascii="Times New Roman;serif" w:hAnsi="Times New Roman;serif"/>
          <w:b w:val="false"/>
          <w:color w:val="000000"/>
          <w:sz w:val="20"/>
        </w:rPr>
        <w:t>, which is intended to improve the disclosure of expenses by providing more detailed information about the types of expenses in commonly presented expense captions. The amendments in this ASU are effective for annual reporting periods beginning after December 15, 2026, and interim periods beginning after December 15, 2027. Early adoption is permitted. The amendments can be applied either prospectively or retrospectively. The Company has not early adopted this ASU and is currently evaluating the impact of this new standard on its condensed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0668a39958304f3485ee1a9fe3340ae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3. Cash Equivalents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equivalents consisted of the following at March 31, 2026 (in thousands):</w:t>
      </w:r>
    </w:p>
    <w:tbl>
      <w:tblPr>
        <w:tblW w:w="8399" w:type="dxa"/>
        <w:jc w:val="left"/>
        <w:tblInd w:w="0" w:type="dxa"/>
        <w:tblLayout w:type="fixed"/>
        <w:tblCellMar>
          <w:top w:w="28" w:type="dxa"/>
          <w:left w:w="28" w:type="dxa"/>
          <w:bottom w:w="28" w:type="dxa"/>
          <w:right w:w="28" w:type="dxa"/>
        </w:tblCellMar>
      </w:tblPr>
      <w:tblGrid>
        <w:gridCol w:w="651"/>
        <w:gridCol w:w="572"/>
        <w:gridCol w:w="576"/>
        <w:gridCol w:w="109"/>
        <w:gridCol w:w="109"/>
        <w:gridCol w:w="109"/>
        <w:gridCol w:w="211"/>
        <w:gridCol w:w="826"/>
        <w:gridCol w:w="109"/>
        <w:gridCol w:w="109"/>
        <w:gridCol w:w="109"/>
        <w:gridCol w:w="109"/>
        <w:gridCol w:w="248"/>
        <w:gridCol w:w="478"/>
        <w:gridCol w:w="130"/>
        <w:gridCol w:w="109"/>
        <w:gridCol w:w="109"/>
        <w:gridCol w:w="109"/>
        <w:gridCol w:w="257"/>
        <w:gridCol w:w="495"/>
        <w:gridCol w:w="134"/>
        <w:gridCol w:w="109"/>
        <w:gridCol w:w="109"/>
        <w:gridCol w:w="109"/>
        <w:gridCol w:w="257"/>
        <w:gridCol w:w="495"/>
        <w:gridCol w:w="134"/>
        <w:gridCol w:w="109"/>
        <w:gridCol w:w="109"/>
        <w:gridCol w:w="109"/>
        <w:gridCol w:w="211"/>
        <w:gridCol w:w="826"/>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Allowance</w:t>
              <w:br/>
              <w:t>for Credit</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17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123,648 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123,648 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123,648 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equivalents consisted of the following at December 31, 2025 (in thousands):</w:t>
      </w:r>
    </w:p>
    <w:tbl>
      <w:tblPr>
        <w:tblW w:w="8399" w:type="dxa"/>
        <w:jc w:val="left"/>
        <w:tblInd w:w="0" w:type="dxa"/>
        <w:tblLayout w:type="fixed"/>
        <w:tblCellMar>
          <w:top w:w="28" w:type="dxa"/>
          <w:left w:w="28" w:type="dxa"/>
          <w:bottom w:w="28" w:type="dxa"/>
          <w:right w:w="28" w:type="dxa"/>
        </w:tblCellMar>
      </w:tblPr>
      <w:tblGrid>
        <w:gridCol w:w="651"/>
        <w:gridCol w:w="572"/>
        <w:gridCol w:w="576"/>
        <w:gridCol w:w="109"/>
        <w:gridCol w:w="109"/>
        <w:gridCol w:w="109"/>
        <w:gridCol w:w="211"/>
        <w:gridCol w:w="826"/>
        <w:gridCol w:w="109"/>
        <w:gridCol w:w="109"/>
        <w:gridCol w:w="109"/>
        <w:gridCol w:w="109"/>
        <w:gridCol w:w="248"/>
        <w:gridCol w:w="478"/>
        <w:gridCol w:w="130"/>
        <w:gridCol w:w="109"/>
        <w:gridCol w:w="109"/>
        <w:gridCol w:w="109"/>
        <w:gridCol w:w="257"/>
        <w:gridCol w:w="495"/>
        <w:gridCol w:w="134"/>
        <w:gridCol w:w="109"/>
        <w:gridCol w:w="109"/>
        <w:gridCol w:w="109"/>
        <w:gridCol w:w="257"/>
        <w:gridCol w:w="495"/>
        <w:gridCol w:w="134"/>
        <w:gridCol w:w="109"/>
        <w:gridCol w:w="109"/>
        <w:gridCol w:w="109"/>
        <w:gridCol w:w="211"/>
        <w:gridCol w:w="826"/>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Allowance</w:t>
              <w:br/>
              <w:t>for Credit</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17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146,645 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146,645 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146,645 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realized gains or losses on available-for-sale securities during the three months ended March 31, 2026 or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4. Fair Value Measurements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Assets measured at fair value on a recurring basis as of March 31, 2026 were as follows (in thousands):</w:t>
      </w:r>
    </w:p>
    <w:tbl>
      <w:tblPr>
        <w:tblW w:w="9460" w:type="dxa"/>
        <w:jc w:val="left"/>
        <w:tblInd w:w="0" w:type="dxa"/>
        <w:tblLayout w:type="fixed"/>
        <w:tblCellMar>
          <w:top w:w="28" w:type="dxa"/>
          <w:left w:w="28" w:type="dxa"/>
          <w:bottom w:w="28" w:type="dxa"/>
          <w:right w:w="28" w:type="dxa"/>
        </w:tblCellMar>
      </w:tblPr>
      <w:tblGrid>
        <w:gridCol w:w="1346"/>
        <w:gridCol w:w="1183"/>
        <w:gridCol w:w="1191"/>
        <w:gridCol w:w="109"/>
        <w:gridCol w:w="109"/>
        <w:gridCol w:w="109"/>
        <w:gridCol w:w="211"/>
        <w:gridCol w:w="826"/>
        <w:gridCol w:w="109"/>
        <w:gridCol w:w="109"/>
        <w:gridCol w:w="109"/>
        <w:gridCol w:w="109"/>
        <w:gridCol w:w="223"/>
        <w:gridCol w:w="876"/>
        <w:gridCol w:w="115"/>
        <w:gridCol w:w="109"/>
        <w:gridCol w:w="109"/>
        <w:gridCol w:w="109"/>
        <w:gridCol w:w="270"/>
        <w:gridCol w:w="520"/>
        <w:gridCol w:w="141"/>
        <w:gridCol w:w="109"/>
        <w:gridCol w:w="109"/>
        <w:gridCol w:w="109"/>
        <w:gridCol w:w="312"/>
        <w:gridCol w:w="600"/>
        <w:gridCol w:w="229"/>
      </w:tblGrid>
      <w:tr>
        <w:trPr/>
        <w:tc>
          <w:tcPr>
            <w:tcW w:w="1346"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Quoted Prices</w:t>
              <w:br/>
              <w:t>in Active</w:t>
              <w:br/>
              <w:t>Markets for</w:t>
              <w:br/>
              <w:t>Identical 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Other</w:t>
              <w:br/>
              <w:t>Observable</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r>
      <w:tr>
        <w:trPr/>
        <w:tc>
          <w:tcPr>
            <w:tcW w:w="37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123,648 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126,318 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126,318 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Assets measured at fair value on a recurring basis as of December 31, 2025 were as follows (in thousands):</w:t>
      </w:r>
    </w:p>
    <w:tbl>
      <w:tblPr>
        <w:tblW w:w="9460" w:type="dxa"/>
        <w:jc w:val="left"/>
        <w:tblInd w:w="0" w:type="dxa"/>
        <w:tblLayout w:type="fixed"/>
        <w:tblCellMar>
          <w:top w:w="28" w:type="dxa"/>
          <w:left w:w="28" w:type="dxa"/>
          <w:bottom w:w="28" w:type="dxa"/>
          <w:right w:w="28" w:type="dxa"/>
        </w:tblCellMar>
      </w:tblPr>
      <w:tblGrid>
        <w:gridCol w:w="1346"/>
        <w:gridCol w:w="1183"/>
        <w:gridCol w:w="1191"/>
        <w:gridCol w:w="109"/>
        <w:gridCol w:w="109"/>
        <w:gridCol w:w="109"/>
        <w:gridCol w:w="211"/>
        <w:gridCol w:w="826"/>
        <w:gridCol w:w="109"/>
        <w:gridCol w:w="109"/>
        <w:gridCol w:w="109"/>
        <w:gridCol w:w="109"/>
        <w:gridCol w:w="223"/>
        <w:gridCol w:w="876"/>
        <w:gridCol w:w="115"/>
        <w:gridCol w:w="109"/>
        <w:gridCol w:w="109"/>
        <w:gridCol w:w="109"/>
        <w:gridCol w:w="270"/>
        <w:gridCol w:w="520"/>
        <w:gridCol w:w="141"/>
        <w:gridCol w:w="109"/>
        <w:gridCol w:w="109"/>
        <w:gridCol w:w="109"/>
        <w:gridCol w:w="312"/>
        <w:gridCol w:w="600"/>
        <w:gridCol w:w="229"/>
      </w:tblGrid>
      <w:tr>
        <w:trPr/>
        <w:tc>
          <w:tcPr>
            <w:tcW w:w="1346"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Quoted Prices</w:t>
              <w:br/>
              <w:t>in Active</w:t>
              <w:br/>
              <w:t>Markets for</w:t>
              <w:br/>
              <w:t>Identical 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Other</w:t>
              <w:br/>
              <w:t>Observable</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r>
      <w:tr>
        <w:trPr/>
        <w:tc>
          <w:tcPr>
            <w:tcW w:w="37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146,645 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149,315 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149,315 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fair value of the Company’s liability for sale of future revenues approximates the amount recorded on the Company’s balance sheet as of March 31, 2026 and December 31, 2025, which represents a level 3 fair value measurement.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0668a39958304f3485ee1a9fe3340ae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5. Accrued Expenses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Accrued expenses consisted of the following (in thousands):</w:t>
      </w:r>
    </w:p>
    <w:tbl>
      <w:tblPr>
        <w:tblW w:w="6256" w:type="dxa"/>
        <w:jc w:val="left"/>
        <w:tblInd w:w="0" w:type="dxa"/>
        <w:tblLayout w:type="fixed"/>
        <w:tblCellMar>
          <w:top w:w="28" w:type="dxa"/>
          <w:left w:w="28" w:type="dxa"/>
          <w:bottom w:w="28" w:type="dxa"/>
          <w:right w:w="28" w:type="dxa"/>
        </w:tblCellMar>
      </w:tblPr>
      <w:tblGrid>
        <w:gridCol w:w="1359"/>
        <w:gridCol w:w="1192"/>
        <w:gridCol w:w="1198"/>
        <w:gridCol w:w="211"/>
        <w:gridCol w:w="721"/>
        <w:gridCol w:w="109"/>
        <w:gridCol w:w="109"/>
        <w:gridCol w:w="109"/>
        <w:gridCol w:w="109"/>
        <w:gridCol w:w="221"/>
        <w:gridCol w:w="757"/>
        <w:gridCol w:w="161"/>
      </w:tblGrid>
      <w:tr>
        <w:trPr/>
        <w:tc>
          <w:tcPr>
            <w:tcW w:w="135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research and development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9,672 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related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Sublicense and license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Intellectual property and patent related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termination benefits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Restructuring contract costs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7,769 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32,610 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6. Property and Equipment, net</w:t>
      </w:r>
    </w:p>
    <w:p>
      <w:pPr>
        <w:pStyle w:val="TextBody"/>
        <w:bidi w:val="0"/>
        <w:spacing w:lineRule="auto" w:line="288" w:before="240" w:after="283"/>
        <w:ind w:left="0" w:right="0" w:firstLine="720"/>
        <w:jc w:val="left"/>
        <w:rPr/>
      </w:pPr>
      <w:r>
        <w:rPr>
          <w:rFonts w:ascii="Times New Roman;serif" w:hAnsi="Times New Roman;serif"/>
          <w:b w:val="false"/>
          <w:color w:val="000000"/>
          <w:sz w:val="20"/>
        </w:rPr>
        <w:t>Property and equipment, net consisted of the following (in thousands):</w:t>
      </w:r>
      <w:r>
        <w:rPr>
          <w:color w:val="000000"/>
        </w:rPr>
        <w:t xml:space="preserve"> </w:t>
      </w:r>
    </w:p>
    <w:tbl>
      <w:tblPr>
        <w:tblW w:w="5191" w:type="dxa"/>
        <w:jc w:val="left"/>
        <w:tblInd w:w="0" w:type="dxa"/>
        <w:tblLayout w:type="fixed"/>
        <w:tblCellMar>
          <w:top w:w="28" w:type="dxa"/>
          <w:left w:w="28" w:type="dxa"/>
          <w:bottom w:w="28" w:type="dxa"/>
          <w:right w:w="28" w:type="dxa"/>
        </w:tblCellMar>
      </w:tblPr>
      <w:tblGrid>
        <w:gridCol w:w="972"/>
        <w:gridCol w:w="854"/>
        <w:gridCol w:w="858"/>
        <w:gridCol w:w="211"/>
        <w:gridCol w:w="721"/>
        <w:gridCol w:w="109"/>
        <w:gridCol w:w="109"/>
        <w:gridCol w:w="109"/>
        <w:gridCol w:w="109"/>
        <w:gridCol w:w="221"/>
        <w:gridCol w:w="757"/>
        <w:gridCol w:w="161"/>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Laboratory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21,558 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office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31,895 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(28,353)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3,542 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7. Commitments and Contingencies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a party to a number of license agreements under which the Company licenses patents, patent applications and other intellectual property from third parties. As such, the Company is obligated to pay licensors for various costs including upfront license fees, annual license fees, certain licensor expense reimbursements, success payments, research funding payments, and milestones triggerable upon certain development, regulatory, and commercial events as well as royalties on future product sales. These contracts are generally cancellable, with notice, at the Company’s option and do not have significant cancellation penalties. The terms and conditions as well as the accounting analysis for the Company’s significant commitments and contingencies are described in Note 8, “Commitments and Contingencies” to the consolidated financial statements included in the Annual Report. There have been no material changes to the terms and conditions, or the accounting conclusions, previously disclosed in the Annual Report. The Company is not currently subject to any material contingencies that require disclosure.</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Licensor Expense Reimbursement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obligated to reimburse The Broad Institute, Inc. (“Broad”) and the President and Fellows of Harvard College (“Harvard”) for expenses incurred by each of them associated with the prosecution and maintenance of the patent rights that the Company licenses from them pursuant to the Amended and Restated Cas9-I License Agreement by and among the Company, Broad, and Harvard (“the Cas9-I License Agreement”), including the interference and opposition proceedings involving patents licensed to the Company under the license agreement, and other license agreements between the Company and Broad. The Company incurred an aggregate of $2.3 million and $1.9 million in expense during the three months ended March 31, 2026, and March 31, 2025, respectively, for such reimbursement.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0668a39958304f3485ee1a9fe3340ae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Lease Termination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2023, the Company entered into a license and service agreement pursuant to which it leased manufacturing space for its continued research and development activities. The lease commenced April 1, 2024. In September 2024, the Company entered into a modification of the lease, and as a result of the modification the lease payments decreased and the notification period for the termination of the license and service agreement increased from 12 months’ prior written notice to 18 months’ prior written notice. In January 2025, the Company gave its termination notice on the license and service agreement, which resulted in the end of the term of the agreement being July 2026, and $8.9 million of remaining payments owed. In April 2025, the Company entered into a further modification to the lease providing that the lease would terminate on April 30, 2025 with a final fixed payment of $3.7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8. Collaboration Agreements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entered into multiple collaborations, out-licenses and strategic alliances with third parties that typically involve payments to or from the Company, including up-front payments, payments for research and development services, option payments, milestone payments and royalty payments to or from the Company. The terms and conditions as well as the accounting analysis for the Company’s significant collaborations, out-licenses and strategic alliances are described in Note 9, “Collaboration Agreements” to the consolidated financial statements included in the Annual Report. </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Collaboration Revenue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2026, the Company’s contract liabilities were primarily related to the Company’s collaboration with BMS. The following table presents changes in the Company’s accounts receivable and contract liabilities for the three months ended March 31, 2026 (in thousands):</w:t>
      </w:r>
    </w:p>
    <w:tbl>
      <w:tblPr>
        <w:tblW w:w="9226" w:type="dxa"/>
        <w:jc w:val="left"/>
        <w:tblInd w:w="0" w:type="dxa"/>
        <w:tblLayout w:type="fixed"/>
        <w:tblCellMar>
          <w:top w:w="28" w:type="dxa"/>
          <w:left w:w="28" w:type="dxa"/>
          <w:bottom w:w="28" w:type="dxa"/>
          <w:right w:w="28" w:type="dxa"/>
        </w:tblCellMar>
      </w:tblPr>
      <w:tblGrid>
        <w:gridCol w:w="641"/>
        <w:gridCol w:w="563"/>
        <w:gridCol w:w="565"/>
        <w:gridCol w:w="468"/>
        <w:gridCol w:w="1600"/>
        <w:gridCol w:w="241"/>
        <w:gridCol w:w="109"/>
        <w:gridCol w:w="109"/>
        <w:gridCol w:w="109"/>
        <w:gridCol w:w="211"/>
        <w:gridCol w:w="616"/>
        <w:gridCol w:w="109"/>
        <w:gridCol w:w="109"/>
        <w:gridCol w:w="109"/>
        <w:gridCol w:w="109"/>
        <w:gridCol w:w="211"/>
        <w:gridCol w:w="796"/>
        <w:gridCol w:w="109"/>
        <w:gridCol w:w="109"/>
        <w:gridCol w:w="109"/>
        <w:gridCol w:w="109"/>
        <w:gridCol w:w="411"/>
        <w:gridCol w:w="1404"/>
        <w:gridCol w:w="300"/>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Balance at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Balance at March 31, 2026</w:t>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15,176 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2,592 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4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44,509 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44,509 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Amendment to BMS Collaboration Agreement</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March 2024, the Company entered into an amendment (“2024 Amendment”) to the Second Amended and Restated Collaboration and License Agreement, dated as of November 11, 2019, by and between the Company and BMS, through its wholly owned subsidiary Juno Therapeutics, to extend the collaboration to November 2026, with options to extend the collaboration for up to an additional two years, and to provide BMS the ability to select up to three new gene targets for research. As of March 31, 2026, one extension option has expired, and BMS retains the right to extend the collaboration for one additional year.</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accounting assessment for the 2024 Amendment is described in Note 9, “Collaboration Agreements,” to the consolidated financial statements included in the Annual Report.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did not recognize any revenue related to its collaboration with BMS during the three months ended March 31, 2026 and 2025. As of both March 31, 2026 and December 31, 2025, there was no short-term deferred revenue and $40.5 million of long-term deferred revenue in the accompanying condensed consolidated balance sheets.</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concluded that the rights and attributes of each of the development and commercialization licenses are identical for both the license granted at inception and the licenses that may be issued in the future upon exercise of the associated option represent the remaining performance obligations under the arrangement. The Company will recognize the transaction price allocated to each material right when the material right is exercised, lapsed, or expired.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0668a39958304f3485ee1a9fe3340ae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pPr>
      <w:r>
        <w:rPr>
          <w:rFonts w:ascii="Times New Roman;serif" w:hAnsi="Times New Roman;serif"/>
          <w:b/>
          <w:color w:val="000000"/>
          <w:sz w:val="20"/>
        </w:rPr>
        <w:t>9.</w:t>
      </w:r>
      <w:r>
        <w:rPr>
          <w:color w:val="000000"/>
        </w:rPr>
        <w:t xml:space="preserve"> </w:t>
      </w:r>
      <w:r>
        <w:rPr>
          <w:rFonts w:ascii="Times New Roman;serif" w:hAnsi="Times New Roman;serif"/>
          <w:b/>
          <w:color w:val="000000"/>
          <w:sz w:val="20"/>
        </w:rPr>
        <w:t>Stock-based Compensation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compensation cost recognized for all stock-based compensation awards in the condensed consolidated statements of operations was as follows (in thousands):</w:t>
      </w:r>
    </w:p>
    <w:tbl>
      <w:tblPr>
        <w:tblW w:w="6348" w:type="dxa"/>
        <w:jc w:val="center"/>
        <w:tblInd w:w="0" w:type="dxa"/>
        <w:tblLayout w:type="fixed"/>
        <w:tblCellMar>
          <w:top w:w="28" w:type="dxa"/>
          <w:left w:w="28" w:type="dxa"/>
          <w:bottom w:w="28" w:type="dxa"/>
          <w:right w:w="28" w:type="dxa"/>
        </w:tblCellMar>
      </w:tblPr>
      <w:tblGrid>
        <w:gridCol w:w="1250"/>
        <w:gridCol w:w="1097"/>
        <w:gridCol w:w="1103"/>
        <w:gridCol w:w="211"/>
        <w:gridCol w:w="616"/>
        <w:gridCol w:w="109"/>
        <w:gridCol w:w="109"/>
        <w:gridCol w:w="109"/>
        <w:gridCol w:w="109"/>
        <w:gridCol w:w="211"/>
        <w:gridCol w:w="616"/>
        <w:gridCol w:w="109"/>
        <w:gridCol w:w="109"/>
        <w:gridCol w:w="109"/>
        <w:gridCol w:w="109"/>
        <w:gridCol w:w="109"/>
        <w:gridCol w:w="109"/>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restricted stock units activity for the three months ended March 31, 2026:</w:t>
      </w:r>
    </w:p>
    <w:tbl>
      <w:tblPr>
        <w:tblW w:w="9745" w:type="dxa"/>
        <w:jc w:val="left"/>
        <w:tblInd w:w="0" w:type="dxa"/>
        <w:tblLayout w:type="fixed"/>
        <w:tblCellMar>
          <w:top w:w="28" w:type="dxa"/>
          <w:left w:w="28" w:type="dxa"/>
          <w:bottom w:w="28" w:type="dxa"/>
          <w:right w:w="28" w:type="dxa"/>
        </w:tblCellMar>
      </w:tblPr>
      <w:tblGrid>
        <w:gridCol w:w="1683"/>
        <w:gridCol w:w="1478"/>
        <w:gridCol w:w="1488"/>
        <w:gridCol w:w="263"/>
        <w:gridCol w:w="263"/>
        <w:gridCol w:w="268"/>
        <w:gridCol w:w="109"/>
        <w:gridCol w:w="109"/>
        <w:gridCol w:w="109"/>
        <w:gridCol w:w="855"/>
        <w:gridCol w:w="2496"/>
        <w:gridCol w:w="624"/>
      </w:tblGrid>
      <w:tr>
        <w:trPr/>
        <w:tc>
          <w:tcPr>
            <w:tcW w:w="1683"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49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 Grant Date Fair Value Per Share</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restricted stock units as of December 31, 2025</w:t>
            </w:r>
          </w:p>
        </w:tc>
        <w:tc>
          <w:tcPr>
            <w:tcW w:w="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595,730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Issued</w:t>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6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restricted stock units as of March 31, 2026</w:t>
            </w:r>
          </w:p>
        </w:tc>
        <w:tc>
          <w:tcPr>
            <w:tcW w:w="79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493,689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6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restricted stock units that contained performance-based vesting provisions granted in the three months ended March 31, 2026. There was no expense related to the vesting of performance-based restricted stock units for the three months ended March 31, 2026 and 2025.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2026, total unrecognized compensation expense related to unvested restricted stock units was $2.1 million, which the Company expects to recognize over a remaining weighted-average period of 1.34 years.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stock option activity for the three months ended March 31, 2026:</w:t>
      </w:r>
    </w:p>
    <w:tbl>
      <w:tblPr>
        <w:tblW w:w="10205" w:type="dxa"/>
        <w:jc w:val="left"/>
        <w:tblInd w:w="0" w:type="dxa"/>
        <w:tblLayout w:type="fixed"/>
        <w:tblCellMar>
          <w:top w:w="28" w:type="dxa"/>
          <w:left w:w="28" w:type="dxa"/>
          <w:bottom w:w="28" w:type="dxa"/>
          <w:right w:w="28" w:type="dxa"/>
        </w:tblCellMar>
      </w:tblPr>
      <w:tblGrid>
        <w:gridCol w:w="1211"/>
        <w:gridCol w:w="1063"/>
        <w:gridCol w:w="1069"/>
        <w:gridCol w:w="540"/>
        <w:gridCol w:w="541"/>
        <w:gridCol w:w="313"/>
        <w:gridCol w:w="109"/>
        <w:gridCol w:w="109"/>
        <w:gridCol w:w="109"/>
        <w:gridCol w:w="304"/>
        <w:gridCol w:w="888"/>
        <w:gridCol w:w="156"/>
        <w:gridCol w:w="109"/>
        <w:gridCol w:w="109"/>
        <w:gridCol w:w="109"/>
        <w:gridCol w:w="563"/>
        <w:gridCol w:w="563"/>
        <w:gridCol w:w="565"/>
        <w:gridCol w:w="109"/>
        <w:gridCol w:w="109"/>
        <w:gridCol w:w="109"/>
        <w:gridCol w:w="309"/>
        <w:gridCol w:w="905"/>
        <w:gridCol w:w="234"/>
      </w:tblGrid>
      <w:tr>
        <w:trPr/>
        <w:tc>
          <w:tcPr>
            <w:tcW w:w="121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3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Remaining</w:t>
              <w:br/>
              <w:t>Contractual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Aggregate Intrinsic</w:t>
              <w:br/>
              <w:t>Value</w:t>
            </w:r>
          </w:p>
        </w:tc>
      </w:tr>
      <w:tr>
        <w:trPr/>
        <w:tc>
          <w:tcPr>
            <w:tcW w:w="33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8,403,694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1,395 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4,424,417 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(75,582)</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(127,994)</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March 31, 2026</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12,624,535 </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3,164 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at March 31, 2026</w:t>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12,624,535 </w:t>
            </w:r>
          </w:p>
        </w:tc>
        <w:tc>
          <w:tcPr>
            <w:tcW w:w="3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3,164 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March 31, 2026</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4,096,257 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2026, total unrecognized compensation expense related to stock options was $15.8 million, which the Company expects to recognize over a remaining weighted-average period of 3.00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0668a39958304f3485ee1a9fe3340ae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10. Net Loss per Share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Basic net loss per common share is calculated by dividing the net loss attributable to common stockholders by the weighted average number of shares of common stock outstanding during the period, without consideration for potentially dilutive securities. Diluted net loss per share is computed by dividing the net loss attributable to common stockholders by the weighted average number of shares of common stock and potentially dilutive securities outstanding for the period determined using the treasury stock and if converted methods. Contingently issuable shares are included in the calculation of basic loss per share as of the beginning of the period in which all the necessary conditions have been satisfied. Contingently issuable shares are included in diluted loss per share based on the number of shares, if any, that would be issuable under the terms of the arrangement if the end of the reporting period was the end of the contingency period, if the results are dilutive.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purposes of the diluted net loss per share calculation, unvested restricted stock unit awards and outstanding stock options are considered to be common stock equivalents, but they were excluded from the Company’s calculation of diluted net loss per share allocable to common stockholders because their inclusion would have been anti-dilutive. Therefore, basic and diluted net loss per share applicable to common stockholders were the same for all periods presented.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common stock equivalents were excluded from the calculation of diluted net loss per share allocable to common stockholders because their inclusion would have been anti-dilutive:</w:t>
      </w:r>
    </w:p>
    <w:tbl>
      <w:tblPr>
        <w:tblW w:w="5579" w:type="dxa"/>
        <w:jc w:val="left"/>
        <w:tblInd w:w="0" w:type="dxa"/>
        <w:tblLayout w:type="fixed"/>
        <w:tblCellMar>
          <w:top w:w="28" w:type="dxa"/>
          <w:left w:w="28" w:type="dxa"/>
          <w:bottom w:w="28" w:type="dxa"/>
          <w:right w:w="28" w:type="dxa"/>
        </w:tblCellMar>
      </w:tblPr>
      <w:tblGrid>
        <w:gridCol w:w="1136"/>
        <w:gridCol w:w="998"/>
        <w:gridCol w:w="1001"/>
        <w:gridCol w:w="343"/>
        <w:gridCol w:w="343"/>
        <w:gridCol w:w="350"/>
        <w:gridCol w:w="109"/>
        <w:gridCol w:w="109"/>
        <w:gridCol w:w="109"/>
        <w:gridCol w:w="314"/>
        <w:gridCol w:w="314"/>
        <w:gridCol w:w="453"/>
      </w:tblGrid>
      <w:tr>
        <w:trPr/>
        <w:tc>
          <w:tcPr>
            <w:tcW w:w="113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restricted stock unit awards</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493,689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1,499,103</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stock options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12,624,535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11,253,667</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13,118,224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12,752,770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11. Debt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Liability for the Sale of Future Revenues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3, 2024, the Company entered into the DRI Agreement under which it sold, transferred, assigned, and conveyed to DRI certain future license fees and other payments (the “Purchased Receivables”) owed to the Company by Vertex under the terms of the Vertex License Agreement in exchange for an upfront cash payment by DRI to the Company of $57.0 million. Under the DRI Agreement, DRI is purchasing up to 100% of certain future fixed and sales-based annual license fees that the Company is entitled to receive under the Vertex License Agreement, which fees range from $5.0 million to $40.0 million per year, including increases based on sales. In addition, DRI is purchasing a mid-double-digit percentage of a $50.0 million contingent upfront payment that the Company may receive under the Vertex License Agreement. All amounts above will be adjusted to exclude payments that the Company owes to Broad and Harvard under the Cas9-I License Agreement, as defined in Note 7, Commitments and Contingencies. The Company has retained rights to certain portions of certain sales-based annual license fees and the contingent upfront payment that may become due under the Vertex License Agreement, and the amounts that correspond to its licensor obligations.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In accordance with Accounting Standards Codification (“ASC”) Topic 470, </w:t>
      </w:r>
      <w:r>
        <w:rPr>
          <w:rFonts w:ascii="Times New Roman;serif" w:hAnsi="Times New Roman;serif"/>
          <w:b w:val="false"/>
          <w:i/>
          <w:color w:val="000000"/>
          <w:sz w:val="20"/>
        </w:rPr>
        <w:t>Borrower’s Accounting for Debt Modification</w:t>
      </w:r>
      <w:r>
        <w:rPr>
          <w:rFonts w:ascii="Times New Roman;serif" w:hAnsi="Times New Roman;serif"/>
          <w:b w:val="false"/>
          <w:color w:val="000000"/>
          <w:sz w:val="20"/>
        </w:rPr>
        <w:t>, the Company has accounted for the transaction as debt. The gross proceeds of $57.0 million were recorded as a liability for the sale of future revenues, net of transaction costs of $1.8 million, which will be amortized over the estimated life of the arrangement using the effective interest method.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estimates the effective interest rate used to record non-cash interest expense under the Purchase and Sale Agreement based on the estimate of future revenue payments to be made to DRI. As of March 31, 2026, the estimated effective interest rate under the agreement was 7.7%. Over the life of the arrangement, the actual effective interest rate will be affected by the amount and timing of the payments made to DRI and changes in the Company's revenue forecasts. At each reporting date, the Company will reassess its estimate of total future payments to be made to DRI, and prospectively adjust the effective interest rate and amortization of the liability as necessary.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changes in the liability related to the sale of future revenues under the Purchase and Sale Agreement with DRI as of March 31, 2026 (in thousands):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0668a39958304f3485ee1a9fe3340ae2_7">
        <w:r>
          <w:rPr>
            <w:rStyle w:val="InternetLink"/>
            <w:rFonts w:ascii="Times New Roman;serif" w:hAnsi="Times New Roman;serif"/>
            <w:b w:val="false"/>
            <w:color w:val="0000FF"/>
            <w:sz w:val="20"/>
            <w:u w:val="single"/>
          </w:rPr>
          <w:t>Table of Contents</w:t>
        </w:r>
      </w:hyperlink>
    </w:p>
    <w:tbl>
      <w:tblPr>
        <w:tblW w:w="9178" w:type="dxa"/>
        <w:jc w:val="left"/>
        <w:tblInd w:w="0" w:type="dxa"/>
        <w:tblLayout w:type="fixed"/>
        <w:tblCellMar>
          <w:top w:w="28" w:type="dxa"/>
          <w:left w:w="28" w:type="dxa"/>
          <w:bottom w:w="28" w:type="dxa"/>
          <w:right w:w="28" w:type="dxa"/>
        </w:tblCellMar>
      </w:tblPr>
      <w:tblGrid>
        <w:gridCol w:w="2788"/>
        <w:gridCol w:w="2450"/>
        <w:gridCol w:w="2456"/>
        <w:gridCol w:w="288"/>
        <w:gridCol w:w="986"/>
        <w:gridCol w:w="210"/>
      </w:tblGrid>
      <w:tr>
        <w:trPr/>
        <w:tc>
          <w:tcPr>
            <w:tcW w:w="2788"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7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76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Deferred royalty obligation related to the sale of future revenues, net as of December 31, 2025</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58,605 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sale of future revenues</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associated with sale of future revenues</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issuance costs</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Deferred royalty obligation related to the sale of future revenues, net as of March 31, 2026</w:t>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54,677 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12. Restructuring and Impairment Charges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December 11, 2024, the Company’s board of directors approved the discontinuation of the clinical development of the Company's renizgamglogene autogedtemcel (“reni-cel”) program to treat sickle cell disease and transfusion-dependent beta thalassemia (the “Discontinuation”). As a result of the Discontinuation, the Company ceased activities towards the filing of a biologic license application and potential commercialization of reni-cel. In connection with the Discontinuation, the Company’s board of directors also approved a reduction in the Company’s employee workforce by approximately 180 positions, or approximately 65% (the “Reduction”).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incurred the following restructuring and impairment charges in connection with the Discontinuation and Reduction for the three months ended March 31, 2026 and 2025, which are recorded in the condensed consolidated statements of operations (in thousands): </w:t>
      </w:r>
    </w:p>
    <w:tbl>
      <w:tblPr>
        <w:tblW w:w="10122" w:type="dxa"/>
        <w:jc w:val="center"/>
        <w:tblInd w:w="0" w:type="dxa"/>
        <w:tblLayout w:type="fixed"/>
        <w:tblCellMar>
          <w:top w:w="28" w:type="dxa"/>
          <w:left w:w="28" w:type="dxa"/>
          <w:bottom w:w="28" w:type="dxa"/>
          <w:right w:w="28" w:type="dxa"/>
        </w:tblCellMar>
      </w:tblPr>
      <w:tblGrid>
        <w:gridCol w:w="2367"/>
        <w:gridCol w:w="2080"/>
        <w:gridCol w:w="2093"/>
        <w:gridCol w:w="466"/>
        <w:gridCol w:w="898"/>
        <w:gridCol w:w="241"/>
        <w:gridCol w:w="109"/>
        <w:gridCol w:w="109"/>
        <w:gridCol w:w="109"/>
        <w:gridCol w:w="320"/>
        <w:gridCol w:w="1096"/>
        <w:gridCol w:w="234"/>
      </w:tblGrid>
      <w:tr>
        <w:trPr/>
        <w:tc>
          <w:tcPr>
            <w:tcW w:w="2367"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termination benefits</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3,509 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Costs for ongoing contracts and terminated contracts </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28,875 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Acceleration of expense for change in useful life estimate and lease termination</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4,745 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3,724 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restructuring and impairment charges</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40,853 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actions associated with the Discontinuation and Reduction commenced in December 2024 and were substantially completed by December 31, 2025.</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Employee Termination Benefits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Employees affected by the Reduction received involuntary termination benefits pursuant to either a one-time benefit or arrangement or salary continuation for a set period of time in accordance with the Company’s Amended and Restated Severance Benefit Plan (the “Benefit Plan”). For employees who were notified of their termination in December 2024 and had no requirements to provide future services or were subject to the Benefit Plan, the Company recognized the liability for the termination benefits in full at fair value in the fourth quarter of 2024. For employees who were required to render services beyond a minimum retention period to receive their one-time termination benefits or salary continuation, the Company recognized the termination benefits ratably over their future service periods. The service periods began in December 2024 and were completed in 2025.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the liability related to employee termination benefits as of March 31, 2026 (in thousands):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0668a39958304f3485ee1a9fe3340ae2_7">
        <w:r>
          <w:rPr>
            <w:rStyle w:val="InternetLink"/>
            <w:rFonts w:ascii="Times New Roman;serif" w:hAnsi="Times New Roman;serif"/>
            <w:b w:val="false"/>
            <w:color w:val="0000FF"/>
            <w:sz w:val="20"/>
            <w:u w:val="single"/>
          </w:rPr>
          <w:t>Table of Contents</w:t>
        </w:r>
      </w:hyperlink>
    </w:p>
    <w:tbl>
      <w:tblPr>
        <w:tblW w:w="8203" w:type="dxa"/>
        <w:jc w:val="left"/>
        <w:tblInd w:w="0" w:type="dxa"/>
        <w:tblLayout w:type="fixed"/>
        <w:tblCellMar>
          <w:top w:w="28" w:type="dxa"/>
          <w:left w:w="28" w:type="dxa"/>
          <w:bottom w:w="28" w:type="dxa"/>
          <w:right w:w="28" w:type="dxa"/>
        </w:tblCellMar>
      </w:tblPr>
      <w:tblGrid>
        <w:gridCol w:w="1940"/>
        <w:gridCol w:w="1705"/>
        <w:gridCol w:w="1709"/>
        <w:gridCol w:w="611"/>
        <w:gridCol w:w="1787"/>
        <w:gridCol w:w="451"/>
      </w:tblGrid>
      <w:tr>
        <w:trPr/>
        <w:tc>
          <w:tcPr>
            <w:tcW w:w="1940"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Employee Termination Benefits</w:t>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Accrued employee termination benefits as of December 31, 2025</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1,555 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termination benefits charges incurred during period</w:t>
            </w:r>
          </w:p>
        </w:tc>
        <w:tc>
          <w:tcPr>
            <w:tcW w:w="23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paid or otherwise settled during the period</w:t>
            </w:r>
          </w:p>
        </w:tc>
        <w:tc>
          <w:tcPr>
            <w:tcW w:w="23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(961)</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Accrued employee termination benefits as of March 31, 2026</w:t>
            </w:r>
          </w:p>
        </w:tc>
        <w:tc>
          <w:tcPr>
            <w:tcW w:w="6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Costs for Ongoing Contracts and Terminated Contracts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Discontinuation resulted in contract termination costs from vendor contracts before the end of their term, as well as costs that continue to be incurred under certain contracts with no future economic benefit to the Company. In accordance with ASC 420, the Company recognized these unavoidable contract costs when incurred for terminated contracts or at the cease-use date, as it relates to contract costs that continue to be incurred.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the liability related to costs for ongoing contracts and contract termination costs as of March 31, 2026 (in thousands): </w:t>
      </w:r>
    </w:p>
    <w:tbl>
      <w:tblPr>
        <w:tblW w:w="5728" w:type="dxa"/>
        <w:jc w:val="left"/>
        <w:tblInd w:w="0" w:type="dxa"/>
        <w:tblLayout w:type="fixed"/>
        <w:tblCellMar>
          <w:top w:w="28" w:type="dxa"/>
          <w:left w:w="28" w:type="dxa"/>
          <w:bottom w:w="28" w:type="dxa"/>
          <w:right w:w="28" w:type="dxa"/>
        </w:tblCellMar>
      </w:tblPr>
      <w:tblGrid>
        <w:gridCol w:w="1570"/>
        <w:gridCol w:w="1380"/>
        <w:gridCol w:w="1384"/>
        <w:gridCol w:w="271"/>
        <w:gridCol w:w="926"/>
        <w:gridCol w:w="197"/>
      </w:tblGrid>
      <w:tr>
        <w:trPr/>
        <w:tc>
          <w:tcPr>
            <w:tcW w:w="157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Contract Costs</w:t>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Accrued contract costs as of December 31, 2025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10,196 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costs incurred during the period</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paid or otherwise settled during the period</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(1,466)</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Accrued contract costs as of March 31, 2026</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8,730 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At March 31, 2026, $2.6 million of accrued contract costs was included in Other non-current liabilities on the condensed consolidated balance sheet.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costs are subject to significant estimation based on the Company's expectation of the costs that will continue to be incurred on the contracts, as well as negotiation of contract changes and terminations with its vendors. Changes in this estimate will be made in the period the information is knowable and could be material.</w:t>
      </w:r>
    </w:p>
    <w:p>
      <w:pPr>
        <w:pStyle w:val="TextBody"/>
        <w:bidi w:val="0"/>
        <w:spacing w:lineRule="auto" w:line="288" w:before="240" w:after="283"/>
        <w:jc w:val="left"/>
        <w:rPr/>
      </w:pPr>
      <w:r>
        <w:rPr>
          <w:rFonts w:ascii="Times New Roman;serif" w:hAnsi="Times New Roman;serif"/>
          <w:b/>
          <w:i/>
          <w:color w:val="000000"/>
          <w:sz w:val="20"/>
        </w:rPr>
        <w:t>Impairment and Accelerated Depreciation Charges</w:t>
      </w:r>
      <w:r>
        <w:rPr>
          <w:color w:val="000000"/>
        </w:rPr>
        <w:t xml:space="preserve">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conjunction with the Discontinuation, the Company committed to a plan to actively sell specific assets within its asset group, primarily certain of its laboratory and manufacturing equipment. The Company recorded a $3.8 million impairment charge during the year ended December 31, 2025 related to the sale of the specified assets. The sale was completed in April 2025.</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the Company abandoned certain other leasehold improvements, software, and right of use assets in the second quarter of 2025, and as a result, the Company accelerated depreciation and rent expense and recorded $1.8 million and $4.8 million of accelerated depreciation related to leasehold improvements and software, and charges related to termination of lease, respectively, as of December 31, 2025. The Company recognized no impairment and accelerated depreciation charges during the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13. Segments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segments are identified as components of an enterprise about which separate discrete financial information is available for evaluation by the Chief Operating Decision Maker (“CODM”) or decision-making group in making decisions on how to allocate resources and assess performance. The Company’s CODM is its Chief Executive Officer (“CEO”). The CEO views the Company’s operations and manages the Company’s business as one operating segment, which is the business of developing and commercializing genome editing technology.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CEO manages and allocates resources to the operations of the Company on a total company basis by assessing the overall level of resources available and how to best deploy these resources across functions and research and development projects that are in line with our long-term company-wide strategic goals. In making these decisions, the Company’s CEO uses consolidated financial information for purposes of evaluating performance, forecasting future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0668a39958304f3485ee1a9fe3340ae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financial results, allocating resources and setting incentive targets. The CODM performs this assessment based on the Company’s consolidated net loss. Through this analysis, the CODM assesses performance by comparing actual consolidated net loss versus the budget, and then decides how to allocate resources to invest in the Company’s research and development programs. The measure of segment assets is reported on the condensed consolidated balance sheet as total assets.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contains additional information on our consolidated revenue and net loss, including significant segment expenses (in thousands): </w:t>
      </w:r>
    </w:p>
    <w:tbl>
      <w:tblPr>
        <w:tblW w:w="10205" w:type="dxa"/>
        <w:jc w:val="left"/>
        <w:tblInd w:w="0" w:type="dxa"/>
        <w:tblLayout w:type="fixed"/>
        <w:tblCellMar>
          <w:top w:w="28" w:type="dxa"/>
          <w:left w:w="28" w:type="dxa"/>
          <w:bottom w:w="28" w:type="dxa"/>
          <w:right w:w="28" w:type="dxa"/>
        </w:tblCellMar>
      </w:tblPr>
      <w:tblGrid>
        <w:gridCol w:w="2193"/>
        <w:gridCol w:w="1861"/>
        <w:gridCol w:w="1870"/>
        <w:gridCol w:w="361"/>
        <w:gridCol w:w="1323"/>
        <w:gridCol w:w="185"/>
        <w:gridCol w:w="185"/>
        <w:gridCol w:w="185"/>
        <w:gridCol w:w="185"/>
        <w:gridCol w:w="185"/>
        <w:gridCol w:w="211"/>
        <w:gridCol w:w="755"/>
        <w:gridCol w:w="109"/>
        <w:gridCol w:w="109"/>
        <w:gridCol w:w="109"/>
        <w:gridCol w:w="109"/>
        <w:gridCol w:w="109"/>
        <w:gridCol w:w="161"/>
      </w:tblGrid>
      <w:tr>
        <w:trPr/>
        <w:tc>
          <w:tcPr>
            <w:tcW w:w="2193"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gridSpan w:val="4"/>
            <w:tcBorders/>
          </w:tcPr>
          <w:p>
            <w:pPr>
              <w:pStyle w:val="TableContents"/>
              <w:bidi w:val="0"/>
              <w:spacing w:before="0" w:after="283"/>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and other research and development revenues</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w:t>
            </w:r>
          </w:p>
        </w:tc>
        <w:tc>
          <w:tcPr>
            <w:tcW w:w="1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related expenses</w:t>
            </w:r>
          </w:p>
        </w:tc>
        <w:tc>
          <w:tcPr>
            <w:tcW w:w="16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research and development expenses</w:t>
            </w:r>
          </w:p>
        </w:tc>
        <w:tc>
          <w:tcPr>
            <w:tcW w:w="16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expenses</w:t>
            </w:r>
          </w:p>
        </w:tc>
        <w:tc>
          <w:tcPr>
            <w:tcW w:w="16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expenses</w:t>
            </w:r>
          </w:p>
        </w:tc>
        <w:tc>
          <w:tcPr>
            <w:tcW w:w="16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Sublicense and license fees</w:t>
            </w:r>
          </w:p>
        </w:tc>
        <w:tc>
          <w:tcPr>
            <w:tcW w:w="16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expenses</w:t>
            </w:r>
            <w:r>
              <w:rPr>
                <w:rFonts w:ascii="Times New Roman;serif" w:hAnsi="Times New Roman;serif"/>
                <w:b w:val="false"/>
                <w:color w:val="000000"/>
                <w:sz w:val="13"/>
              </w:rPr>
              <w:t>3</w:t>
            </w:r>
          </w:p>
        </w:tc>
        <w:tc>
          <w:tcPr>
            <w:tcW w:w="16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2</w:t>
            </w:r>
          </w:p>
        </w:tc>
        <w:tc>
          <w:tcPr>
            <w:tcW w:w="1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related expenses</w:t>
            </w:r>
          </w:p>
        </w:tc>
        <w:tc>
          <w:tcPr>
            <w:tcW w:w="16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 expenses</w:t>
            </w:r>
          </w:p>
        </w:tc>
        <w:tc>
          <w:tcPr>
            <w:tcW w:w="16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Intellectual property and patent related fees</w:t>
            </w:r>
          </w:p>
        </w:tc>
        <w:tc>
          <w:tcPr>
            <w:tcW w:w="16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expenses</w:t>
            </w:r>
          </w:p>
        </w:tc>
        <w:tc>
          <w:tcPr>
            <w:tcW w:w="16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Facility and other expenses</w:t>
            </w:r>
            <w:r>
              <w:rPr>
                <w:rFonts w:ascii="Times New Roman;serif" w:hAnsi="Times New Roman;serif"/>
                <w:b w:val="false"/>
                <w:color w:val="000000"/>
                <w:sz w:val="13"/>
              </w:rPr>
              <w:t>4</w:t>
            </w:r>
          </w:p>
        </w:tc>
        <w:tc>
          <w:tcPr>
            <w:tcW w:w="16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related to sale of future revenues</w:t>
            </w:r>
          </w:p>
        </w:tc>
        <w:tc>
          <w:tcPr>
            <w:tcW w:w="16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6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6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(24,982)</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533" w:type="dxa"/>
            <w:gridSpan w:val="10"/>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For the three months ended March 31, 2026, research and development includes no restructuring and impairment charges. For the three months ended March 31, 2025, research and development includes $39,243 of restructuring and impairment charges.</w:t>
            </w:r>
          </w:p>
        </w:tc>
        <w:tc>
          <w:tcPr>
            <w:tcW w:w="1672" w:type="dxa"/>
            <w:gridSpan w:val="8"/>
            <w:tcBorders/>
          </w:tcPr>
          <w:p>
            <w:pPr>
              <w:pStyle w:val="TableContents"/>
              <w:bidi w:val="0"/>
              <w:spacing w:before="0" w:after="283"/>
              <w:jc w:val="left"/>
              <w:rPr>
                <w:sz w:val="4"/>
                <w:szCs w:val="4"/>
              </w:rPr>
            </w:pPr>
            <w:r>
              <w:rPr>
                <w:sz w:val="4"/>
                <w:szCs w:val="4"/>
              </w:rPr>
            </w:r>
          </w:p>
        </w:tc>
      </w:tr>
      <w:tr>
        <w:trPr/>
        <w:tc>
          <w:tcPr>
            <w:tcW w:w="8533" w:type="dxa"/>
            <w:gridSpan w:val="10"/>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For the three months ended March 31, 2026, general and administrative includes no restructuring and impairment charges. For the three months ended March 31, 2025, general and administrative includes $1,610 of restructuring and impairment charges.</w:t>
            </w:r>
          </w:p>
        </w:tc>
        <w:tc>
          <w:tcPr>
            <w:tcW w:w="1672" w:type="dxa"/>
            <w:gridSpan w:val="8"/>
            <w:tcBorders/>
          </w:tcPr>
          <w:p>
            <w:pPr>
              <w:pStyle w:val="TableContents"/>
              <w:bidi w:val="0"/>
              <w:spacing w:before="0" w:after="283"/>
              <w:jc w:val="left"/>
              <w:rPr>
                <w:sz w:val="4"/>
                <w:szCs w:val="4"/>
              </w:rPr>
            </w:pPr>
            <w:r>
              <w:rPr>
                <w:sz w:val="4"/>
                <w:szCs w:val="4"/>
              </w:rPr>
            </w:r>
          </w:p>
        </w:tc>
      </w:tr>
      <w:tr>
        <w:trPr/>
        <w:tc>
          <w:tcPr>
            <w:tcW w:w="8533" w:type="dxa"/>
            <w:gridSpan w:val="10"/>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 xml:space="preserve">Other expenses primarily consists of impairment charges, consultant fees, and office expenses. </w:t>
            </w:r>
          </w:p>
        </w:tc>
        <w:tc>
          <w:tcPr>
            <w:tcW w:w="1672" w:type="dxa"/>
            <w:gridSpan w:val="8"/>
            <w:tcBorders/>
          </w:tcPr>
          <w:p>
            <w:pPr>
              <w:pStyle w:val="TableContents"/>
              <w:bidi w:val="0"/>
              <w:spacing w:before="0" w:after="283"/>
              <w:jc w:val="left"/>
              <w:rPr>
                <w:sz w:val="4"/>
                <w:szCs w:val="4"/>
              </w:rPr>
            </w:pPr>
            <w:r>
              <w:rPr>
                <w:sz w:val="4"/>
                <w:szCs w:val="4"/>
              </w:rPr>
            </w:r>
          </w:p>
        </w:tc>
      </w:tr>
      <w:tr>
        <w:trPr/>
        <w:tc>
          <w:tcPr>
            <w:tcW w:w="8533" w:type="dxa"/>
            <w:gridSpan w:val="10"/>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 xml:space="preserve">Facility and other expenses primarily consists of rent expense, insurance premiums, depreciation expense, software licenses, and office expenses. </w:t>
            </w:r>
          </w:p>
        </w:tc>
        <w:tc>
          <w:tcPr>
            <w:tcW w:w="1672" w:type="dxa"/>
            <w:gridSpan w:val="8"/>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0668a39958304f3485ee1a9fe3340ae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40" w:after="283"/>
        <w:ind w:left="0" w:right="0" w:firstLine="720"/>
        <w:jc w:val="left"/>
        <w:rPr/>
      </w:pPr>
      <w:r>
        <w:rPr>
          <w:rFonts w:ascii="Times New Roman;serif" w:hAnsi="Times New Roman;serif"/>
          <w:b w:val="false"/>
          <w:i/>
          <w:color w:val="000000"/>
          <w:sz w:val="20"/>
        </w:rPr>
        <w:t>The following discussion and analysis of our financial condition and results of operations should be read together with our condensed consolidated financial statements and related notes appearing elsewhere in this Quarterly Report on Form 10-Q and our Annual Report on Form 10-K for the fiscal year ended December 31, 2025, which was filed with the Securities and Exchange Commission (“SEC”) on March 9, 2026</w:t>
      </w:r>
      <w:r>
        <w:rPr>
          <w:color w:val="000000"/>
        </w:rPr>
        <w:t xml:space="preserve"> </w:t>
      </w:r>
      <w:r>
        <w:rPr>
          <w:rFonts w:ascii="Times New Roman;serif" w:hAnsi="Times New Roman;serif"/>
          <w:b w:val="false"/>
          <w:i/>
          <w:color w:val="000000"/>
          <w:sz w:val="20"/>
        </w:rPr>
        <w:t>(the “Annual Report”).</w:t>
      </w:r>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This Quarterly Report on Form 10-Q contains forward-looking statements that involve substantial risks and uncertainties. The words “anticipate,” “believe,” “estimate,” “expect,” “intend,” “may,” “plan,” “predict,” “project,” “would” and similar expressions are intended to identify forward-looking statements, although not all forward-looking statements contain these identifying words. All statements addressing our future operating performance and development timelines that we expect or anticipate will occur in the future, as well as expectations for cash runway, are forward-looking statements. There are a number of important risks and uncertainties that could cause our actual results to differ materially from those indicated by forward-looking statements, including uncertainties inherent in the initiation and completion of pre-clinical studies and clinical development of our product candidates; availability and timing of results from pre-clinical studies; expectations for regulatory approvals to commence and conduct trials or to market products and availability of funding sufficient for our foreseeable and unforeseeable operating expenses and capital expenditure requirements. These and other risks are described in greater detail in the Annual Report under the captions “Risk Factor Summary” and Part I, “Item 1A. Risk Factors,” as updated by our subsequent filings with the SEC.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Our forward-looking statements do not reflect the potential impact of any future acquisitions, mergers, dispositions, joint ventures or investments that we may make.</w:t>
      </w:r>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You should read this Quarterly Report on Form 10-Q and the documents that we have filed as exhibits to this Quarterly Report on Form 10-Q completely and with the understanding that our actual future results may be materially different from what we expect. The forward-looking statements contained in this Quarterly Report on Form 10-Q are made as of the date of this Quarterly Report on Form 10-Q, and we do not assume any obligation to update any forward-looking statements, whether as a result of new information, future events or otherwise, except as required by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We are a pioneering gene editing company dedicated to developing transformative genomic medicines to treat a broad range of serious diseases. We have developed a proprietary gene editing platform based on CRISPR technology and we continue to expand its capabilities. Our product development strategy is to target diseases where gene editing can be used to enable or enhance therapeutic outcomes for patients, while maximizing probability of technical, regulatory and commercial success. We are focused on the development of </w:t>
      </w:r>
      <w:r>
        <w:rPr>
          <w:rFonts w:ascii="Times New Roman;serif" w:hAnsi="Times New Roman;serif"/>
          <w:b w:val="false"/>
          <w:i/>
          <w:color w:val="000000"/>
          <w:sz w:val="20"/>
        </w:rPr>
        <w:t xml:space="preserve">in vivo </w:t>
      </w:r>
      <w:r>
        <w:rPr>
          <w:rFonts w:ascii="Times New Roman;serif" w:hAnsi="Times New Roman;serif"/>
          <w:b w:val="false"/>
          <w:color w:val="000000"/>
          <w:sz w:val="20"/>
        </w:rPr>
        <w:t xml:space="preserve">gene editing medicines utilizing functional upregulation, which aims to increase the expression of a normal gene copy and its normal protein function to treat diseases caused by genetic mutations that eliminate or disrupt normal function. We believe the ability to provide </w:t>
      </w:r>
      <w:r>
        <w:rPr>
          <w:rFonts w:ascii="Times New Roman;serif" w:hAnsi="Times New Roman;serif"/>
          <w:b w:val="false"/>
          <w:i/>
          <w:color w:val="000000"/>
          <w:sz w:val="20"/>
        </w:rPr>
        <w:t xml:space="preserve">in vivo </w:t>
      </w:r>
      <w:r>
        <w:rPr>
          <w:rFonts w:ascii="Times New Roman;serif" w:hAnsi="Times New Roman;serif"/>
          <w:b w:val="false"/>
          <w:color w:val="000000"/>
          <w:sz w:val="20"/>
        </w:rPr>
        <w:t xml:space="preserve">gene editing, in which the medicine is injected or infused into the patient to edit the cells inside their body, and functionally upregulates normal gene expression and normal protein function in the target tissues holds the potential to significantly expand the addressable therapeutic possibilities of CRISPR-based gene editing. To that end, our preclinical efforts are also focused on the creation of a “plug ‘n play” lipid nanoparticle (“LNP”) platform to enable targeted delivery of </w:t>
      </w:r>
      <w:r>
        <w:rPr>
          <w:rFonts w:ascii="Times New Roman;serif" w:hAnsi="Times New Roman;serif"/>
          <w:b w:val="false"/>
          <w:i/>
          <w:color w:val="000000"/>
          <w:sz w:val="20"/>
        </w:rPr>
        <w:t xml:space="preserve">in vivo </w:t>
      </w:r>
      <w:r>
        <w:rPr>
          <w:rFonts w:ascii="Times New Roman;serif" w:hAnsi="Times New Roman;serif"/>
          <w:b w:val="false"/>
          <w:color w:val="000000"/>
          <w:sz w:val="20"/>
        </w:rPr>
        <w:t xml:space="preserve">gene editing medicines to multiple cells and tissues, including the liver, hematopoietic stem cells (“HSCs”), and other cells and tissues.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In September 2025, we announced the nomination of our lead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 xml:space="preserve">development candidate, EDIT-401, an experimental, potential best-in-class, one-time therapy to significantly reduce LDL-cholesterol (“LDL-C”) through upregulation of the LDL receptor (“LDLR”). EDIT-401 is designed to treat elevated levels of LDL-C, or hyperlipidemia, by directly editing the noncoding region of the LDLR gene to increase LDLR protein expression and reduce LDL-C levels. This targeted approach has demonstrated a greater than 90% mean reduction of LDL-C in non-human primates (“NHPs”) in our preclinical studies with favorable tolerability data, and supports the potential of EDIT-401 to deliver meaningful clinical outcomes for patients underserved by current lipid-lowering therapies. We continue to advance our preclinical studies for EDIT-401, including the Good Laboratory Practice (GLP) toxicology study in NHPs to support advancement into a first-in-human clinical trial. We are preparing to initiate a first-in-human clinical trial of EDIT-401 in patients with heterozygous familial hypercholesterolemia later this year, and expect to have early human proof-of-concept data for EDIT-401 by the end of 2026. We plan to complete enrolling the dose-finding portion of the first-in-human clinical trial of EDIT-401 with topline data results available in 2027. We expect to present new EDIT-401 preclinical data at upcoming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0668a39958304f3485ee1a9fe3340ae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scientific meetings, including data showing significant reductions in NHPs in lipoprotein(a) and apolipoprotein B, both independent risk factors for atherosclerotic cardiovascular disease.</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Our discovery and development efforts further include HSCs and other cells and tissues. </w:t>
      </w:r>
      <w:r>
        <w:rPr>
          <w:rFonts w:ascii="Times New Roman;serif" w:hAnsi="Times New Roman;serif"/>
          <w:b w:val="false"/>
          <w:color w:val="000000"/>
          <w:sz w:val="20"/>
          <w:shd w:fill="FFFFFF" w:val="clear"/>
        </w:rPr>
        <w:t xml:space="preserve">Building on our experience </w:t>
      </w:r>
      <w:r>
        <w:rPr>
          <w:rFonts w:ascii="Times New Roman;serif" w:hAnsi="Times New Roman;serif"/>
          <w:b w:val="false"/>
          <w:color w:val="000000"/>
          <w:sz w:val="20"/>
        </w:rPr>
        <w:t>in our clinical trials of renizgamglogene autogedtemcel (“reni-cel”)</w:t>
      </w:r>
      <w:r>
        <w:rPr>
          <w:rFonts w:ascii="Times New Roman;serif" w:hAnsi="Times New Roman;serif"/>
          <w:b w:val="false"/>
          <w:color w:val="000000"/>
          <w:sz w:val="20"/>
          <w:shd w:fill="FFFFFF" w:val="clear"/>
        </w:rPr>
        <w:t xml:space="preserve">, we have achieved </w:t>
      </w:r>
      <w:r>
        <w:rPr>
          <w:rFonts w:ascii="Times New Roman;serif" w:hAnsi="Times New Roman;serif"/>
          <w:b w:val="false"/>
          <w:i/>
          <w:color w:val="000000"/>
          <w:sz w:val="20"/>
        </w:rPr>
        <w:t xml:space="preserve">in vivo </w:t>
      </w:r>
      <w:r>
        <w:rPr>
          <w:rFonts w:ascii="Times New Roman;serif" w:hAnsi="Times New Roman;serif"/>
          <w:b w:val="false"/>
          <w:color w:val="000000"/>
          <w:sz w:val="20"/>
          <w:shd w:fill="FFFFFF" w:val="clear"/>
        </w:rPr>
        <w:t>preclinical proof-of-concept data of HSC editing in NHPs. In addition, w</w:t>
      </w:r>
      <w:r>
        <w:rPr>
          <w:rFonts w:ascii="Times New Roman;serif" w:hAnsi="Times New Roman;serif"/>
          <w:b w:val="false"/>
          <w:color w:val="000000"/>
          <w:sz w:val="20"/>
        </w:rPr>
        <w:t xml:space="preserve">e previously announced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delivery to two additional cell types in humanized mice using our proprietary LNP targeting platform, demonstrating the “plug ‘n play” potential of our proprietary extrahepatic LNP platform. We intend to continue optimizing candidates for our HSC program and exploring other cell types and tissues for development, but plan to focus our resources on the advancement of our lead EDIT-401 program to human proof-of-concept.</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We are pursuing the right combination of gene editing and targeted delivery tools through internal development and the in-licensing of complementary technologies to build our preclinical pipeline and accelerate the achievement of our goal of delivering lifesaving medicines to patients with previously untreatable diseases. Through in-licensing of complementary technologies, we can expand our existing gene editing platform and further drive the development of our </w:t>
      </w:r>
      <w:r>
        <w:rPr>
          <w:rFonts w:ascii="Times New Roman;serif" w:hAnsi="Times New Roman;serif"/>
          <w:b w:val="false"/>
          <w:i/>
          <w:color w:val="000000"/>
          <w:sz w:val="20"/>
        </w:rPr>
        <w:t xml:space="preserve">in vivo </w:t>
      </w:r>
      <w:r>
        <w:rPr>
          <w:rFonts w:ascii="Times New Roman;serif" w:hAnsi="Times New Roman;serif"/>
          <w:b w:val="false"/>
          <w:color w:val="000000"/>
          <w:sz w:val="20"/>
        </w:rPr>
        <w:t xml:space="preserve">pipeline. This was demonstrated with our entry in 2024 into a collaboration and license agreement to access LNPs targeting the liver, including the LNP we are using in our EDIT-401 program. We also actively seek opportunities to out-license and partner our robust intellectual property portfolio to drive the development of CRISPR-based medicines in therapeutic areas outside of our core focus and to provide non-dilutive capital. For example, we are leveraging partnerships to progress engineered cell medicines to treat various cancers, including in our collaboration with Bristol Myers Squibb Company (“BMS”) through its wholly owned subsidiary, Juno Therapeutics, Inc. (“Juno Therapeutics”). This collaboration, which leverages our Cas9 and AsCas12a platform technologies, seeks to advance alpha-beta T-cell experimental medicines for the treatment of solid tumors, liquid tumors, and autoimmune disease, and has resulted in 14 total programs to date, including BMS’ CD19 HD Allo CAR T program for the treatment of autoimmune disease currently in Phase I clinical development. </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In addition, in December 2023, we and Vertex Pharmaceuticals Incorporated (“Vertex”) entered into a license agreement (the “Vertex License Agreement”), under which Vertex obtained a non-exclusive license for our Cas9 gene editing technology for </w:t>
      </w:r>
      <w:r>
        <w:rPr>
          <w:rFonts w:ascii="Times New Roman;serif" w:hAnsi="Times New Roman;serif"/>
          <w:b w:val="false"/>
          <w:i/>
          <w:color w:val="000000"/>
          <w:sz w:val="20"/>
        </w:rPr>
        <w:t>ex vivo</w:t>
      </w:r>
      <w:r>
        <w:rPr>
          <w:color w:val="000000"/>
        </w:rPr>
        <w:t xml:space="preserve"> </w:t>
      </w:r>
      <w:r>
        <w:rPr>
          <w:rFonts w:ascii="Times New Roman;serif" w:hAnsi="Times New Roman;serif"/>
          <w:b w:val="false"/>
          <w:color w:val="000000"/>
          <w:sz w:val="20"/>
        </w:rPr>
        <w:t>gene editing medicines targeting the BCL11A gene in the fields of SCD and TDT, including Vertex’s CASGEVY</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(exagamglogene autotemcel). We received a $50.0 million upfront cash payment in the fourth quarter of 2023 and the 2024 annual license fee of $10.0 million in the first quarter of 2024. The Vertex License Agreement further provides for the payment by Vertex of a potential additional $50.0 million contingent upfront payment and further future fixed and sales-based annual license fees, ranging from $5.0 million to $40.0 million annually, inclusive of certain sales-based annual license fee increases, through 2034. We are required to pay The Broad Institute, Inc. (“Broad”) and the President and Fellows of Harvard College (“Harvard”) a mid-double-digit percentage of amounts payable to us from Vertex under the Vertex License Agreement as it relates to Cas9 technology licensed by us from Broad and Harvard (the “Cas9-I License Agreement”). In October 2024, we entered into an agreement (the “DRI Agreement”) with a wholly owned subsidiary of DRI Healthcare Trust (“DRI”) providing for an upfront cash payment by DRI to us of $57.0 million. Under the DRI Agreement, DRI is purchasing up to 100% of certain future fixed and sales-based annual license fees that the Company is entitled to receive under the Vertex License Agreement, which fees range from $5.0 million to $40.0 million per year, including increases based on sales. In addition, DRI is purchasing a mid-double-digit percentage of a $50.0 million contingent upfront payment that we may receive under the Vertex License Agreement. All amounts above will be adjusted to exclude payments that we owe under the Cas9-I License Agreement. We have retained rights to certain portions of certain other sales-based annual license fees and the contingent upfront payment that may become due under the Vertex License Agreement, and the amounts that correspond to our licensor obligations.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operations to date have focused on organizing and staffing our company, business planning, raising capital, establishing our intellectual property portfolio, assembling our core capabilities in gene editing, seeking to identify potential product candidates, and undertaking preclinical studies and clinical trials. All of our ongoing research programs are still in the preclinical or research stage of development and the risk of failure of all of our research programs is high. We have not generated any revenue from product sales. We have primarily financed our operations through various equity financings, payments received under our research collaboration with BMS, our former strategic alliance with Allergan Pharmaceuticals International Limited (together with its affiliates, “Allergan”), which was terminated in August 2020, payments received under the DRI Agreement in connection with the Vertex License Agreement, and payments under the Vertex License Agreement.</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We have incurred significant operating losses since inception. Our net losses were $25.0 million and $76.1 million for the three months ended March 31, 2026 and 2025, respectively. As of March 31, 2026, we had an accumulated deficit of $1.7 billion. </w:t>
      </w:r>
      <w:r>
        <w:rPr>
          <w:rFonts w:ascii="Times New Roman;serif" w:hAnsi="Times New Roman;serif"/>
          <w:b w:val="false"/>
          <w:color w:val="000000"/>
          <w:sz w:val="20"/>
          <w:shd w:fill="FFFFFF" w:val="clear"/>
        </w:rPr>
        <w:t xml:space="preserve">We expect to continue to incur significant expenses and operating losses for the foreseeable future. Our net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0668a39958304f3485ee1a9fe3340ae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pPr>
      <w:r>
        <w:rPr>
          <w:rFonts w:ascii="Times New Roman;serif" w:hAnsi="Times New Roman;serif"/>
          <w:b w:val="false"/>
          <w:color w:val="000000"/>
          <w:sz w:val="20"/>
          <w:shd w:fill="FFFFFF" w:val="clear"/>
        </w:rPr>
        <w:t>losses may fluctuate significantly from quarter to quarter and from year to year. We anticipate that our expenses will inc</w:t>
      </w:r>
      <w:r>
        <w:rPr>
          <w:rFonts w:ascii="Times New Roman;serif" w:hAnsi="Times New Roman;serif"/>
          <w:b w:val="false"/>
          <w:color w:val="000000"/>
          <w:sz w:val="20"/>
        </w:rPr>
        <w:t>rease as we continue to support preclinical studies and prepare for the clinical development of EDIT-401; commence and conduct clinical trials of EDIT-401; continue our current research programs and our preclinical development activities; seek to identify additional research programs and additional product candidates; initiate preclinical testing for other product candidates we identify and develop; maintain, expand, and protect our intellectual property portfolio, including reimbursing our licensors for such expenses related to the intellectual property that we in-license from such lice</w:t>
      </w:r>
      <w:r>
        <w:rPr>
          <w:rFonts w:ascii="Times New Roman;serif" w:hAnsi="Times New Roman;serif"/>
          <w:b w:val="false"/>
          <w:color w:val="000000"/>
          <w:sz w:val="20"/>
          <w:shd w:fill="FFFFFF" w:val="clear"/>
        </w:rPr>
        <w:t>nsors; further develop our gene editing platform; and hire personnel.</w:t>
      </w:r>
      <w:r>
        <w:rPr>
          <w:color w:val="000000"/>
        </w:rPr>
        <w:t xml:space="preserve"> </w:t>
      </w:r>
      <w:r>
        <w:rPr>
          <w:rFonts w:ascii="Times New Roman;serif" w:hAnsi="Times New Roman;serif"/>
          <w:b w:val="false"/>
          <w:color w:val="000000"/>
          <w:sz w:val="20"/>
        </w:rPr>
        <w:t>We do not expect to be profitable for the year ending December 31, 2026 or for the foreseeable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Financial Operations Overview</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To date, we have not generated any revenue from product sales, and we do not expect to generate any revenue from product sales for the foreseeable future.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our collaboration with BMS, we have received an aggregate of $159.0 million in payments, which have primarily consisted of the initial upfront and amendment payments, development milestone payments, research funding support, and certain opt-in fees. We no longer receive research funding support. During the three months ended March 31, 2026, we did not recognize any revenue related to our collaboration with BMS. As of March 31, 2026, we had $40.5 million of deferred revenue related to BMS, all of which is classified as long-term deferred revenue on our condensed consolidated balance sheet. Under this collaboration, we recognize revenue upon delivery of option packages to BMS or upon receipt of development milestone payments. We expect that our revenue will fluctuate from quarter-to-quarter and year-to-year as a result of the timing of when we deliver such option packages or receive such milestone payments.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our license agreement with Vertex, we received a $50.0 million upfront cash payment in the fourth quarter of 2023 upon execution of the agreement and the 2024, 2025 and 2026 annual license fees of $10.0 million in each of the first quarters of 2024, 2025 and 2026. The license agreement further provides for the payment by Vertex of a potential additional $50.0 million contingent upfront payment and further annual license fees, ranging from $5.0 million to $40.0 million annually, inclusive of certain sales-based annual license fee increases, through 2034.</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additional information about our revenue recognition policy related to the Vertex License Agreement and BMS collaboration, see Part II, “Item 7. Management’s Discussion and Analysis of Financial Condition and Results of Operations—Critical Accounting Policies and Estimates—Revenue Recognition” included in the Annual Report.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foreseeable future, we expect substantially all of our revenue will be generated from the Vertex License Agreement, our collaboration with BMS, and any other collaborations or license agreements we may enter into.</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Research and development expenses consist primarily of costs incurred for our research, preclinical development, process and scale-up development, manufacture and clinical development of our product candidates, and the performance of development activities under our collaboration agreements. These costs are expensed as incurred and include: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costs associated with our continued development of EDIT-401 as we progress EDIT-401 to an investigational new drug (“IND”) application and/or foreign equivalent submission and commence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employee-related expenses including salaries, benefits, and stock-based compensation expense;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costs associated with conducting our other preclinical, process and scale-up development, manufacturing, quality, clinical and regulatory activities, including fees paid to third-party professional consultants, service providers and suppliers;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costs of purchasing lab supplies and non-capital equipment used in our preclinical activities and in manufacturing preclinical and clinical study materials;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0668a39958304f3485ee1a9fe3340ae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costs incurred for the research and development activities under our collaboration agreements;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facility costs including rent, depreciation, and maintenance expenses;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fees for acquiring and maintaining licenses under our third-party licensing agreements, including any sublicensing or success payments made to our licensors.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this time, we cannot reasonably estimate or know the nature, timing, and estimated costs of the efforts that will be necessary to complete the development of any product candidates we may identify and develop. This is due to the numerous risks and uncertainties associated with developing such product candidates, including the uncertainty of:</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successful completion of preclinical studies, IND-enabling studies, and natural history studies;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successful initiation of, enrollment in, and completion of, clinical trials;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receipt of marketing approvals from applicable regulatory authorities;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establishing commercial manufacturing capabilities or making arrangements with third-party manufacturers;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obtaining and maintaining patent and trade secret protection and non-patent exclusivity;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launching commercial sales of a product, if and when approved, whether alone or in collaboration with others;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acceptance of a product, if and when approved, by patients, the medical community, and third-party payors;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effectively competing with other therapies and treatment options;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continued acceptable safety profile following approval;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enforcing and defending intellectual property and proprietary rights and claims;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achieving desirable medicinal properties for the intended indications.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change in the outcome of any of these variables with respect to the development of any product candidates we develop would significantly change the costs, timing, and viability associated with the development of that product candidate.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activities are central to our business model. We expect research and development expenses to increase in future periods to support EDIT-401 preclinical activities and to fund our clinical trials.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primarily of salaries and other related costs, including stock-based compensation for personnel in executive, finance, investor relations, business development, legal, corporate affairs, information technology, facilities, and human resource functions. Other significant costs include corporate facility costs not otherwise included in research and development expenses, legal fees related to intellectual property and corporate matters, and fees for accounting and consulting services.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anticipate that our general and administrative expenses that support continued research and development activities will remain consistent in the near future. We anticipate that expenses associated with operating as a public company, including costs for audit, legal, regulatory, and tax-related services, director and officer insurance premiums, and investor relation costs will remain flat in the near future. With respect to reimbursement of third-party intellectual property-related expenses specifically, given the ongoing nature of the opposition and interference proceedings involving the patents licensed to us under the Cas9-I License Agreement, we anticipate general and administrative expenses associated with reimbursement of third-party intellectual property-related expense will continue to fluctuate as the interference proceedings continue.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0668a39958304f3485ee1a9fe3340ae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Restructuring and Impairment Charges</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In December 2024, our board of directors approved the discontinuation of the clinical development of our </w:t>
      </w:r>
      <w:r>
        <w:rPr>
          <w:rFonts w:ascii="Times New Roman;serif" w:hAnsi="Times New Roman;serif"/>
          <w:b w:val="false"/>
          <w:i/>
          <w:color w:val="000000"/>
          <w:sz w:val="20"/>
        </w:rPr>
        <w:t>ex vivo</w:t>
      </w:r>
      <w:r>
        <w:rPr>
          <w:color w:val="000000"/>
        </w:rPr>
        <w:t xml:space="preserve"> </w:t>
      </w:r>
      <w:r>
        <w:rPr>
          <w:rFonts w:ascii="Times New Roman;serif" w:hAnsi="Times New Roman;serif"/>
          <w:b w:val="false"/>
          <w:color w:val="000000"/>
          <w:sz w:val="20"/>
        </w:rPr>
        <w:t xml:space="preserve">reni-cel program (the “Discontinuation”). As part of the Discontinuation, our board of directors approved a reduction in our employee workforce by approximately 180 positions, or by approximately 65% (the “Reduction”). Restructuring charges associated with the Discontinuation consist primarily of expenses in connection with the wind-down of various activities related to clinical development of reni-cel, including contract termination costs, impairment charges and non-cash charges, and expenses related to the Reduction, primarily consisting of severance payments and employee benefit costs. The actions associated with the Discontinuation and Reduction commenced in December 2024 and were substantially completed by December 31, 2025.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Other Income, Net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other income, net consisted primarily of interest income on cash and cash equivalents as well as interest expense accretion related to the liability for the sale of future revenues. For the three months ended March 31, 2025, other income, net consisted primarily of interest income and the amortization of premiums or discounts on marketable securities and interest accretion related to the liability for the sale of future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management’s discussion and analysis of our financial condition and results of operations is based on our condensed consolidated financial statements, which have been prepared in accordance with United States generally accepted accounting principles. The preparation of our condensed consolidated financial statements requires us to make judgments and estimates that affect the reported amounts of assets, liabilities, revenues, and expenses, and the disclosure of contingent assets and liabilities in our condensed consolidated financial statements. We base our estimates on historical experience, known trends and events, and various other factors that we believe to be reasonable under the circumstances.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condensed consolidated financial statements prospectively from the date of change in estimates.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we had the following critical accounting policies and estimates as described in Part II, “Item 7. Management’s Discussion and Analysis of Financial Condition and Results of Operations—Critical Accounting Policies and Estimates” in the Annual Report.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We recognize revenue in accordance with Financial Accounting Standards Board (“FASB”) Accounting Standards Codification (“ASC”), Topic 606, </w:t>
      </w:r>
      <w:r>
        <w:rPr>
          <w:rFonts w:ascii="Times New Roman;serif" w:hAnsi="Times New Roman;serif"/>
          <w:b w:val="false"/>
          <w:i/>
          <w:color w:val="000000"/>
          <w:sz w:val="20"/>
        </w:rPr>
        <w:t>Revenue Recognition</w:t>
      </w:r>
      <w:r>
        <w:rPr>
          <w:color w:val="000000"/>
        </w:rPr>
        <w:t xml:space="preserve"> </w:t>
      </w:r>
      <w:r>
        <w:rPr>
          <w:rFonts w:ascii="Times New Roman;serif" w:hAnsi="Times New Roman;serif"/>
          <w:b w:val="false"/>
          <w:color w:val="000000"/>
          <w:sz w:val="20"/>
        </w:rPr>
        <w:t xml:space="preserve">(“ASC 606”). Accordingly, we recognize revenue following the five step model prescribed under Accounting Standards Updates No. 2014-09, </w:t>
      </w:r>
      <w:r>
        <w:rPr>
          <w:rFonts w:ascii="Times New Roman;serif" w:hAnsi="Times New Roman;serif"/>
          <w:b w:val="false"/>
          <w:i/>
          <w:color w:val="000000"/>
          <w:sz w:val="20"/>
        </w:rPr>
        <w:t>Revenue from Contracts</w:t>
      </w:r>
      <w:r>
        <w:rPr>
          <w:color w:val="000000"/>
        </w:rPr>
        <w:t xml:space="preserve"> </w:t>
      </w:r>
      <w:r>
        <w:rPr>
          <w:rFonts w:ascii="Times New Roman;serif" w:hAnsi="Times New Roman;serif"/>
          <w:b w:val="false"/>
          <w:i/>
          <w:color w:val="000000"/>
          <w:sz w:val="20"/>
        </w:rPr>
        <w:t>with Customers</w:t>
      </w:r>
      <w:r>
        <w:rPr>
          <w:rFonts w:ascii="Times New Roman;serif" w:hAnsi="Times New Roman;serif"/>
          <w:b w:val="false"/>
          <w:color w:val="000000"/>
          <w:sz w:val="20"/>
        </w:rPr>
        <w:t xml:space="preserve">: (i) identify contract(s) with a customer; (ii) identify the performance obligations in the contract; (iii) determine the transaction price; (iv) allocate the transaction price to the performance obligations in the contract; and (v) recognize revenues when (or as) we satisfy the performance obligation. We only apply the five-step model to contracts when it is probable that we will collect the consideration we are entitled to in exchange for the goods or services we transfer to the customer. At contract inception, once the contract is determined to be within the scope of ASC 606, we assess the goods or services promised within each contract and determine those that are performance obligations, and whether each promised good or service is distinct. We then recognize as revenue the amount of the transaction price that is allocated to the respective performance obligation when (or as) the performance obligation is satisfied. As part of the accounting for these arrangements, we must develop assumptions that require judgment to determine the standalone selling price for each performance obligation identified in the contract and use judgment in the determination of the transaction price and the application of the constraint. The determination of standalone selling price has not had a significant impact on the accounting for our revenue arrangements given the nature of the performance obligations. We have also not been required to apply significant judgment in determining the transaction price given the nature of the variable consideration and the application of the constraint.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0668a39958304f3485ee1a9fe3340ae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Accrued Research and Development Expenses</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part of the process of preparing our financial statements, we are required to estimate our accrued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financial statements based on facts and circumstances known to us at that time. Examples of estimated accrued research and development expenses include fees paid to clinical research organizations, investigative sites in connection with clinical trials, sponsored research organizations, service providers in connection with preclinical development activities, and service providers related to product manufacturing, development, and distribution of clinical supplies.</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base our accrued expenses related to clinical trials on our estimates of the services performed and efforts expended pursuant to our contractual arrangements, including those with clinical research organizations. The financial terms of these agreements are sometimes subject to negotiation, vary from contract to contract and may result in uneven payment flows. There may be instances in which payments made to our service providers will exceed the level of services performed and result in a prepayment of the clinical expense. Payments under some of these contracts depend on factors such as the successful enrollment of patients and the completion of clinical milestones. In accruing service fees, we estimate the time period over which services will be performed and the level of effort to be expended in each period. If the actual timing of the performance of services or the level of effort varies from our estimate, we adjust the accrual or prepaid accordingly.</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Although we do not expect our estimates to be materially different from expenses actually incurred, if our estimates of the status and timing of services performed differs from the actual status and timing of services performed, we may report amounts that are too high or too low in any particular period. To date, there have been no material differences from our estimates to the amounts actually incurred.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Restructuring</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record liabilities for costs associated with restructuring activities in the period in which the liability is incurred. Typical costs associated with restructuring activities include employee termination benefits, contract termination costs and on-going contract costs for which there is no economic benefit. For costs associated with employee terminations in which the employee is subject to an existing benefit arrangement, the post-employment benefits are recognized when probable and estimable. Other employee termination costs are measured and recognized on the communication date, unless there is a required future service period, in which case, the expense is recognized over the service period. Contract termination costs are recognized upon termination of the contract and costs for on-going contracts for which there is no future benefit are recognized at fair value on the cease-use date.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made estimates and judgments regarding the amount and timing of our restructuring expense and liability, including current and future period termination benefits and other exit costs to be incurred when related actions take place. Restructuring charges are reflected in our condensed consolidated statements of operations. Actual results may differ from these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0668a39958304f3485ee1a9fe3340ae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Comparison of the Three Months Ended March 31, 2026 and 2025</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three months ended March 31, 2026 and 2025, together with the changes in those items in dollars (in thousands) and the respective percentages of change:</w:t>
      </w:r>
    </w:p>
    <w:tbl>
      <w:tblPr>
        <w:tblW w:w="10205" w:type="dxa"/>
        <w:jc w:val="left"/>
        <w:tblInd w:w="0" w:type="dxa"/>
        <w:tblLayout w:type="fixed"/>
        <w:tblCellMar>
          <w:top w:w="28" w:type="dxa"/>
          <w:left w:w="28" w:type="dxa"/>
          <w:bottom w:w="28" w:type="dxa"/>
          <w:right w:w="28" w:type="dxa"/>
        </w:tblCellMar>
      </w:tblPr>
      <w:tblGrid>
        <w:gridCol w:w="1586"/>
        <w:gridCol w:w="1387"/>
        <w:gridCol w:w="1394"/>
        <w:gridCol w:w="211"/>
        <w:gridCol w:w="785"/>
        <w:gridCol w:w="109"/>
        <w:gridCol w:w="109"/>
        <w:gridCol w:w="109"/>
        <w:gridCol w:w="109"/>
        <w:gridCol w:w="211"/>
        <w:gridCol w:w="785"/>
        <w:gridCol w:w="109"/>
        <w:gridCol w:w="109"/>
        <w:gridCol w:w="109"/>
        <w:gridCol w:w="109"/>
        <w:gridCol w:w="237"/>
        <w:gridCol w:w="811"/>
        <w:gridCol w:w="123"/>
        <w:gridCol w:w="109"/>
        <w:gridCol w:w="109"/>
        <w:gridCol w:w="109"/>
        <w:gridCol w:w="312"/>
        <w:gridCol w:w="297"/>
        <w:gridCol w:w="867"/>
      </w:tblGrid>
      <w:tr>
        <w:trPr/>
        <w:tc>
          <w:tcPr>
            <w:tcW w:w="1586"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 Change</w:t>
            </w:r>
          </w:p>
        </w:tc>
      </w:tr>
      <w:tr>
        <w:trPr/>
        <w:tc>
          <w:tcPr>
            <w:tcW w:w="4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and other research and development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(1,827)</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(8,993)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8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8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impairment charges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(40,853)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8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80,821 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(52,987)</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8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8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related to sale of future revenues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8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8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8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(24,982)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(76,088)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51,106 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8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our results of operations, we have included the respective percentage of changes, unless greater than 100% or less than (100)%, in which case we have denoted such changes as not meaningful (n/m).</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Collaboration and Other Research and Development Revenues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Collaboration and other research and development revenues were $2.8 million for the three months ended March 31, 2026 compared to $4.7 million for the same period in 2025. The decrease from the three months ended March 31, 2025 is primarily attributable to the recognition of the remaining deferred revenue upon conclusion of a collaboration agreement with a strategic partner in 2025.</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decreased by $9.0 million to $17.6 million for the three months ended March 31, 2026 compared to $26.6 million for the same period in 2025. The following table summarizes our research and development expenses for the three months ended March 31, 2026 and 2025, together with the changes in those items in dollars (in thousands) and the respective percentages of change:</w:t>
      </w:r>
    </w:p>
    <w:tbl>
      <w:tblPr>
        <w:tblW w:w="9289" w:type="dxa"/>
        <w:jc w:val="left"/>
        <w:tblInd w:w="0" w:type="dxa"/>
        <w:tblLayout w:type="fixed"/>
        <w:tblCellMar>
          <w:top w:w="28" w:type="dxa"/>
          <w:left w:w="28" w:type="dxa"/>
          <w:bottom w:w="28" w:type="dxa"/>
          <w:right w:w="28" w:type="dxa"/>
        </w:tblCellMar>
      </w:tblPr>
      <w:tblGrid>
        <w:gridCol w:w="1263"/>
        <w:gridCol w:w="1113"/>
        <w:gridCol w:w="1119"/>
        <w:gridCol w:w="211"/>
        <w:gridCol w:w="721"/>
        <w:gridCol w:w="109"/>
        <w:gridCol w:w="109"/>
        <w:gridCol w:w="109"/>
        <w:gridCol w:w="109"/>
        <w:gridCol w:w="211"/>
        <w:gridCol w:w="721"/>
        <w:gridCol w:w="109"/>
        <w:gridCol w:w="109"/>
        <w:gridCol w:w="109"/>
        <w:gridCol w:w="109"/>
        <w:gridCol w:w="259"/>
        <w:gridCol w:w="776"/>
        <w:gridCol w:w="136"/>
        <w:gridCol w:w="109"/>
        <w:gridCol w:w="109"/>
        <w:gridCol w:w="109"/>
        <w:gridCol w:w="318"/>
        <w:gridCol w:w="318"/>
        <w:gridCol w:w="924"/>
      </w:tblGrid>
      <w:tr>
        <w:trPr/>
        <w:tc>
          <w:tcPr>
            <w:tcW w:w="126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 Change</w:t>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related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(5,903)</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Sublicense and license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(8,993)</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0668a39958304f3485ee1a9fe3340ae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decrease in research and development expenses for the three months ended March 31, 2026 compared to the three months ended March 31, 2025 was primarily attributable to:</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approximately $5.9 million in decreased employee-related expenses related to reduced headcount associated with the Reduction;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approximately $4.0 million in decreased external research and development expenses, primarily resulting from reduced clinical and manufacturing costs due to the Discontinuation, partially offset by costs attributable to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research and discovery;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approximately $2.1 million in decreased facility expenses primarily due to the end of leases for manufacturing space due to the Discontinuation;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approximately $0.4 million in decreased stock-based compensation expenses.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decreases were partially offset by approximately $2.4 million in increased sublicense and license fees related to the achievement of certain milestones under a collaboration agreement in the three months ended March 31, 2026 for which there was no similar activity in the three months ended March 31, 2025 and $1.0 million in increased other expenses.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decreased by $3.1 million to $10.2 million for the three months ended March 31, 2026 compared to $13.4 million for the three months ended March 31, 2025. The following table summarizes our general and administrative expenses for the three months ended March 31, 2026 and 2025, together with the changes in those items in dollars (in thousands) and the respective percentages of change:</w:t>
      </w:r>
    </w:p>
    <w:tbl>
      <w:tblPr>
        <w:tblW w:w="9438" w:type="dxa"/>
        <w:jc w:val="left"/>
        <w:tblInd w:w="0" w:type="dxa"/>
        <w:tblLayout w:type="fixed"/>
        <w:tblCellMar>
          <w:top w:w="28" w:type="dxa"/>
          <w:left w:w="28" w:type="dxa"/>
          <w:bottom w:w="28" w:type="dxa"/>
          <w:right w:w="28" w:type="dxa"/>
        </w:tblCellMar>
      </w:tblPr>
      <w:tblGrid>
        <w:gridCol w:w="1317"/>
        <w:gridCol w:w="1160"/>
        <w:gridCol w:w="1167"/>
        <w:gridCol w:w="211"/>
        <w:gridCol w:w="721"/>
        <w:gridCol w:w="109"/>
        <w:gridCol w:w="109"/>
        <w:gridCol w:w="109"/>
        <w:gridCol w:w="109"/>
        <w:gridCol w:w="211"/>
        <w:gridCol w:w="721"/>
        <w:gridCol w:w="109"/>
        <w:gridCol w:w="109"/>
        <w:gridCol w:w="109"/>
        <w:gridCol w:w="109"/>
        <w:gridCol w:w="259"/>
        <w:gridCol w:w="776"/>
        <w:gridCol w:w="136"/>
        <w:gridCol w:w="109"/>
        <w:gridCol w:w="109"/>
        <w:gridCol w:w="109"/>
        <w:gridCol w:w="318"/>
        <w:gridCol w:w="318"/>
        <w:gridCol w:w="924"/>
      </w:tblGrid>
      <w:tr>
        <w:trPr/>
        <w:tc>
          <w:tcPr>
            <w:tcW w:w="1317"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 Change</w:t>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related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(2,332)</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Intellectual property and patent related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and other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9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general and administrative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(3,141)</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9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decrease in general and administrative expenses for the three months ended March 31, 2026 compared to the three months ended March 31, 2025 was primarily attributable to:</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approximately $2.3 million in decreased employee-related expenses related to reduced headcount associated with the Reduction;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approximately $0.8 million in decreased professional service expenses due to reduced general business support needs;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approximately $0.5 million in decreased stock-based compensation expenses related to reduced headcount associated with the Reduction;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approximately $0.4 million in decreased facility and other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0668a39958304f3485ee1a9fe3340ae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decreases were partially offset by approximately $0.9 million in increased intellectual property and patent related legal fees.</w:t>
      </w:r>
    </w:p>
    <w:p>
      <w:pPr>
        <w:pStyle w:val="TextBody"/>
        <w:bidi w:val="0"/>
        <w:spacing w:lineRule="auto" w:line="288" w:before="240" w:after="283"/>
        <w:jc w:val="left"/>
        <w:rPr/>
      </w:pPr>
      <w:r>
        <w:rPr>
          <w:rFonts w:ascii="Times New Roman;serif" w:hAnsi="Times New Roman;serif"/>
          <w:b w:val="false"/>
          <w:i/>
          <w:color w:val="000000"/>
          <w:sz w:val="20"/>
        </w:rPr>
        <w:t>Restructuring and Impairment Charges</w:t>
      </w:r>
      <w:r>
        <w:rPr>
          <w:color w:val="000000"/>
        </w:rPr>
        <w:t xml:space="preserve">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we recorded no expense related to restructuring and impairment compared to $40.9 million for the three months ended March 31, 2025 due to the Discontinuation and the Reduction. The following table summarizes our restructuring charges for the three months ended March 31, 2026 and 2025, together with the changes in those items in dollars (in thousands) and the respective percentages of change: </w:t>
      </w:r>
    </w:p>
    <w:tbl>
      <w:tblPr>
        <w:tblW w:w="10205" w:type="dxa"/>
        <w:jc w:val="left"/>
        <w:tblInd w:w="0" w:type="dxa"/>
        <w:tblLayout w:type="fixed"/>
        <w:tblCellMar>
          <w:top w:w="28" w:type="dxa"/>
          <w:left w:w="28" w:type="dxa"/>
          <w:bottom w:w="28" w:type="dxa"/>
          <w:right w:w="28" w:type="dxa"/>
        </w:tblCellMar>
      </w:tblPr>
      <w:tblGrid>
        <w:gridCol w:w="1733"/>
        <w:gridCol w:w="1496"/>
        <w:gridCol w:w="1506"/>
        <w:gridCol w:w="230"/>
        <w:gridCol w:w="445"/>
        <w:gridCol w:w="118"/>
        <w:gridCol w:w="118"/>
        <w:gridCol w:w="118"/>
        <w:gridCol w:w="118"/>
        <w:gridCol w:w="230"/>
        <w:gridCol w:w="790"/>
        <w:gridCol w:w="118"/>
        <w:gridCol w:w="109"/>
        <w:gridCol w:w="109"/>
        <w:gridCol w:w="109"/>
        <w:gridCol w:w="217"/>
        <w:gridCol w:w="801"/>
        <w:gridCol w:w="112"/>
        <w:gridCol w:w="109"/>
        <w:gridCol w:w="109"/>
        <w:gridCol w:w="109"/>
        <w:gridCol w:w="306"/>
        <w:gridCol w:w="277"/>
        <w:gridCol w:w="818"/>
      </w:tblGrid>
      <w:tr>
        <w:trPr/>
        <w:tc>
          <w:tcPr>
            <w:tcW w:w="1733"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c>
          <w:tcPr>
            <w:tcW w:w="4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 Change</w:t>
            </w:r>
          </w:p>
        </w:tc>
      </w:tr>
      <w:tr>
        <w:trPr/>
        <w:tc>
          <w:tcPr>
            <w:tcW w:w="4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termination benefits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(3,509)</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Costs for ongoing contracts and terminated contracts </w:t>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28,875 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(28,875)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8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Acceleration of expense for change in useful life estimate and lease termination</w:t>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8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8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restructuring and impairment charges</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40,853 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(40,853)</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8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restructuring and impairment charges for the three months ended March 31, 2025 were primarily attributable to reni-cel related contract costs, accelerated expense recognized due to changes in useful life estimates for leasehold improvements, software, and a right-of-use asset, and impairment charges related to the sale of certain assets, resulting from the actions associated with the Discontinuation and the Reduction.</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Other Income, Net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March 31, 2025 other income, net was less than $0.1 million and $0.1 million, respectively. The decrease is attributable to reductions in investment income due to a decrease in our investments for the three months ended March 31, 2026 compared to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lineRule="auto" w:line="268" w:before="240" w:after="283"/>
        <w:ind w:left="0" w:right="0" w:firstLine="720"/>
        <w:jc w:val="left"/>
        <w:rPr/>
      </w:pPr>
      <w:r>
        <w:rPr>
          <w:rFonts w:ascii="Times New Roman;serif" w:hAnsi="Times New Roman;serif"/>
          <w:b w:val="false"/>
          <w:color w:val="000000"/>
          <w:sz w:val="20"/>
        </w:rPr>
        <w:t>As of March 31, 2026, we have raised an aggregate of $1.1 billion in net proceeds through the sale of shares of our common stock in public offerings and at-the-market offerings</w:t>
      </w:r>
      <w:r>
        <w:rPr>
          <w:rFonts w:ascii="Times New Roman;serif" w:hAnsi="Times New Roman;serif"/>
          <w:b w:val="false"/>
          <w:color w:val="000000"/>
          <w:sz w:val="20"/>
          <w:shd w:fill="FFFFFF" w:val="clear"/>
        </w:rPr>
        <w:t xml:space="preserve">. We also have funded our business from our research collaboration with BMS through its wholly owned subsidiary Juno Therapeutics, our former strategic alliance with Allergan (which was terminated in August 2020), payments received under the DRI Agreement in connection with the Vertex License Agreement, and payments under the Vertex License Agreement. </w:t>
      </w:r>
      <w:r>
        <w:rPr>
          <w:rFonts w:ascii="Times New Roman;serif" w:hAnsi="Times New Roman;serif"/>
          <w:b w:val="false"/>
          <w:color w:val="000000"/>
          <w:sz w:val="20"/>
        </w:rPr>
        <w:t xml:space="preserve">As of March 31, 2026, we had cash, cash equivalents of $123.6 million. </w:t>
      </w:r>
    </w:p>
    <w:p>
      <w:pPr>
        <w:pStyle w:val="TextBody"/>
        <w:bidi w:val="0"/>
        <w:spacing w:lineRule="auto" w:line="288" w:before="240" w:after="283"/>
        <w:ind w:left="0" w:right="0" w:firstLine="720"/>
        <w:jc w:val="left"/>
        <w:rPr/>
      </w:pPr>
      <w:r>
        <w:rPr>
          <w:rFonts w:ascii="Times New Roman;serif" w:hAnsi="Times New Roman;serif"/>
          <w:b w:val="false"/>
          <w:color w:val="000000"/>
          <w:sz w:val="20"/>
          <w:shd w:fill="FFFFFF" w:val="clear"/>
        </w:rPr>
        <w:t xml:space="preserve">In May 2021, we entered into a common stock sales agreement with TD Securities (USA) LLC (as successor to Cowen and Company, LLC) (“TD Cowen”), under which we from time to time can issue and sell shares of our common stock through TD Cowen in at-the-market offerings for aggregate gross sale proceeds of up to $300.0 million. We amended the common stock sales agreement with TD Cowen in February 2024 in connection with filing a new registration statement. In March 2025, we further amended our common stock sales agreement with TD Cowen in connection with amending our existing shelf registration statement following the loss of our status as a “well-known seasoned issuer” (as defined under Rule 405 of the Securities Act of 1933, as amended), reducing the amount of shares of common stock we may issue and sell through TD Cowen to aggregate gross sale proceeds of up to $150.0 million (the “ATM Facility”). As of March 31, 2026, we have sold </w:t>
      </w:r>
      <w:r>
        <w:rPr>
          <w:rFonts w:ascii="Times New Roman;serif" w:hAnsi="Times New Roman;serif"/>
          <w:b w:val="false"/>
          <w:color w:val="000000"/>
          <w:sz w:val="20"/>
        </w:rPr>
        <w:t>14,327,365</w:t>
      </w:r>
      <w:r>
        <w:rPr>
          <w:color w:val="000000"/>
          <w:shd w:fill="FFFFFF" w:val="clear"/>
        </w:rPr>
        <w:t xml:space="preserve"> </w:t>
      </w:r>
      <w:r>
        <w:rPr>
          <w:rFonts w:ascii="Times New Roman;serif" w:hAnsi="Times New Roman;serif"/>
          <w:b w:val="false"/>
          <w:color w:val="000000"/>
          <w:sz w:val="20"/>
          <w:shd w:fill="FFFFFF" w:val="clear"/>
        </w:rPr>
        <w:t xml:space="preserve">shares of our common stock under the ATM Facility at a weighted average price of </w:t>
      </w:r>
      <w:r>
        <w:rPr>
          <w:rFonts w:ascii="Times New Roman;serif" w:hAnsi="Times New Roman;serif"/>
          <w:b w:val="false"/>
          <w:color w:val="000000"/>
          <w:sz w:val="20"/>
        </w:rPr>
        <w:t>$3.07</w:t>
      </w:r>
      <w:r>
        <w:rPr>
          <w:color w:val="000000"/>
          <w:shd w:fill="FFFFFF" w:val="clear"/>
        </w:rPr>
        <w:t xml:space="preserve"> </w:t>
      </w:r>
      <w:r>
        <w:rPr>
          <w:rFonts w:ascii="Times New Roman;serif" w:hAnsi="Times New Roman;serif"/>
          <w:b w:val="false"/>
          <w:color w:val="000000"/>
          <w:sz w:val="20"/>
          <w:shd w:fill="FFFFFF" w:val="clear"/>
        </w:rPr>
        <w:t xml:space="preserve">per share for aggregate gross proceeds of </w:t>
      </w:r>
      <w:r>
        <w:rPr>
          <w:rFonts w:ascii="Times New Roman;serif" w:hAnsi="Times New Roman;serif"/>
          <w:b w:val="false"/>
          <w:color w:val="000000"/>
          <w:sz w:val="20"/>
        </w:rPr>
        <w:t>$43.9 million</w:t>
      </w:r>
      <w:r>
        <w:rPr>
          <w:color w:val="000000"/>
          <w:shd w:fill="FFFFFF" w:val="clear"/>
        </w:rPr>
        <w:t xml:space="preserve"> </w:t>
      </w:r>
      <w:r>
        <w:rPr>
          <w:rFonts w:ascii="Times New Roman;serif" w:hAnsi="Times New Roman;serif"/>
          <w:b w:val="false"/>
          <w:color w:val="000000"/>
          <w:sz w:val="20"/>
          <w:shd w:fill="FFFFFF" w:val="clear"/>
        </w:rPr>
        <w:t xml:space="preserve">and have </w:t>
      </w:r>
      <w:r>
        <w:rPr>
          <w:rFonts w:ascii="Times New Roman;serif" w:hAnsi="Times New Roman;serif"/>
          <w:b w:val="false"/>
          <w:color w:val="000000"/>
          <w:sz w:val="20"/>
        </w:rPr>
        <w:t>$106.1 million</w:t>
      </w:r>
      <w:r>
        <w:rPr>
          <w:color w:val="000000"/>
          <w:shd w:fill="FFFFFF" w:val="clear"/>
        </w:rPr>
        <w:t xml:space="preserve"> </w:t>
      </w:r>
      <w:r>
        <w:rPr>
          <w:rFonts w:ascii="Times New Roman;serif" w:hAnsi="Times New Roman;serif"/>
          <w:b w:val="false"/>
          <w:color w:val="000000"/>
          <w:sz w:val="20"/>
          <w:shd w:fill="FFFFFF" w:val="clear"/>
        </w:rPr>
        <w:t xml:space="preserve">of shares of our common stock remaining available for issuance and sale under the ATM Facility. </w:t>
      </w:r>
    </w:p>
    <w:p>
      <w:pPr>
        <w:pStyle w:val="TextBody"/>
        <w:bidi w:val="0"/>
        <w:spacing w:lineRule="auto" w:line="288" w:before="240" w:after="283"/>
        <w:ind w:left="0" w:right="0" w:firstLine="720"/>
        <w:jc w:val="left"/>
        <w:rPr/>
      </w:pPr>
      <w:r>
        <w:rPr>
          <w:rFonts w:ascii="Times New Roman;serif" w:hAnsi="Times New Roman;serif"/>
          <w:b w:val="false"/>
          <w:color w:val="000000"/>
          <w:sz w:val="20"/>
          <w:shd w:fill="FFFFFF" w:val="clear"/>
        </w:rPr>
        <w:t xml:space="preserve">In addition to our existing cash and cash equivalents, we are eligible to earn milestone and other payments under our collaboration with BMS and our other collaboration and license agreements. Our ability to earn applicable milestone and other payments and the timing of earning these amounts are dependent upon the timing and outcome of development, regulatory and commercial activities and, as such, are uncertain at this time. As of </w:t>
      </w:r>
      <w:r>
        <w:rPr>
          <w:rFonts w:ascii="Times New Roman;serif" w:hAnsi="Times New Roman;serif"/>
          <w:b w:val="false"/>
          <w:color w:val="000000"/>
          <w:sz w:val="20"/>
        </w:rPr>
        <w:t>March 31, 2026</w:t>
      </w:r>
      <w:r>
        <w:rPr>
          <w:rFonts w:ascii="Times New Roman;serif" w:hAnsi="Times New Roman;serif"/>
          <w:b w:val="false"/>
          <w:color w:val="000000"/>
          <w:sz w:val="20"/>
          <w:shd w:fill="FFFFFF" w:val="clear"/>
        </w:rPr>
        <w:t xml:space="preserve">, our right to contingent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0668a39958304f3485ee1a9fe3340ae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payments under our collaboration with BMS, as well as the retained portions of the contingent upfront payment and other amounts under the Vertex License Agreement, are our only significant committed potential external source of funds.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Cash Flows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our cash flows for the three months ended March 31, 2026 and 2025 (in thousands):</w:t>
      </w:r>
    </w:p>
    <w:tbl>
      <w:tblPr>
        <w:tblW w:w="8213" w:type="dxa"/>
        <w:jc w:val="left"/>
        <w:tblInd w:w="0" w:type="dxa"/>
        <w:tblLayout w:type="fixed"/>
        <w:tblCellMar>
          <w:top w:w="28" w:type="dxa"/>
          <w:left w:w="28" w:type="dxa"/>
          <w:bottom w:w="28" w:type="dxa"/>
          <w:right w:w="28" w:type="dxa"/>
        </w:tblCellMar>
      </w:tblPr>
      <w:tblGrid>
        <w:gridCol w:w="2028"/>
        <w:gridCol w:w="1785"/>
        <w:gridCol w:w="1796"/>
        <w:gridCol w:w="211"/>
        <w:gridCol w:w="796"/>
        <w:gridCol w:w="109"/>
        <w:gridCol w:w="109"/>
        <w:gridCol w:w="109"/>
        <w:gridCol w:w="109"/>
        <w:gridCol w:w="211"/>
        <w:gridCol w:w="796"/>
        <w:gridCol w:w="154"/>
      </w:tblGrid>
      <w:tr>
        <w:trPr/>
        <w:tc>
          <w:tcPr>
            <w:tcW w:w="2028"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(22,997)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Net Cash Used in Operating Activities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use of cash in all periods resulted primarily from our net losses adjusted for non-cash charges and changes in components of working capital.</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approximately $23.1 million for the three months ended March 31, 2026, which primarily consisted of operating expenses related to our ongoing research and preclinical efforts and supporting business operations.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operating activities was approximately $47.8 million for the three months ended March 31, 2025, which primarily consisted of operating expenses related to increasing our research efforts, the progression of clinical and manufacturing activities in support of our former reni-cel program, and supporting business operations.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Net Cash Provided by Investing Activities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was approximately $0.1 million for the three months ended March 31, 2026, primarily related to proceeds from the sale of property and equipment of $0.2 million, partially offset by the purchase of property and equipment of $0.1 million.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investing activities was approximately $56.4 million for the three months ended March 31, 2025, primarily related to the proceeds from the maturities of marketable securities of $56.5 million.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Net Cash Provided by (Used in) Financing Activities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there was no cash provided by or used in financing activities.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was approximately $1.4 million for the three months ended March 31, 2025, primarily related to the repayment of our liability for the sale of future revenues with DRI of $2.9 million. This was offset by the proceeds from the issuance of common stock from our ATM Facility of $1.4 million.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Funding Requirements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future expenses to remain relatively consistent with the current period. Our expenses for the foreseeable future will support preclinical studies and prepare for the clinical development of EDIT-401; commence clinical trials for EDIT-401; continue our current research programs and our preclinical development of product candidates from our current research programs; seek to identify additional product candidates and research programs; initiate preclinical testing and clinical trials for other product candidates we identify and develop; maintain, expand, and protect our intellectual property portfolio, including reimbursing our licensors for expenses related to the intellectual property that we in-license from such licensors; and incur costs associated with operating as a public company. In addition, if we obtain marketing approval for any product candidate that we identify and develop, we expect to incur significant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0668a39958304f3485ee1a9fe3340ae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commercialization expenses related to product sales, marketing, manufacturing, and distribution to the extent that such sales, marketing, and distribution are not the responsibility of a collaborator. We do not expect to generate significant recurring revenue unless and until we obtain regulatory approval for and commercialize a product candidate.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pStyle w:val="TextBody"/>
        <w:bidi w:val="0"/>
        <w:spacing w:lineRule="auto" w:line="288" w:before="240" w:after="283"/>
        <w:ind w:left="0" w:right="0" w:firstLine="720"/>
        <w:jc w:val="left"/>
        <w:rPr/>
      </w:pPr>
      <w:r>
        <w:rPr>
          <w:rFonts w:ascii="Times New Roman;serif" w:hAnsi="Times New Roman;serif"/>
          <w:b w:val="false"/>
          <w:color w:val="000000"/>
          <w:sz w:val="20"/>
        </w:rPr>
        <w:t>We expect that our existing cash and cash equivalents on March 31, 2026 will enable us to fund our operating expenses and capital expenditure requirements into the third quarter of 2027</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shd w:fill="FFFFFF" w:val="clear"/>
        </w:rPr>
        <w:t>Our forecast of the period of time through which our existing cash and cash equivalents will be adequate to support our operations is a forward-looking statement and involves significant risks and uncertainties. We have based this forecast on assumptions that may prove to be wrong, and actual results could vary materially from our expectations, which may adversely affect our capital resources and liquidity. We could utilize our available capital resources sooner than we currently expect. The amount and timing of future funding requirements, both near- and long-term, will depend on many factors, including, but not limited to</w:t>
      </w:r>
      <w:r>
        <w:rPr>
          <w:rFonts w:ascii="Times New Roman;serif" w:hAnsi="Times New Roman;serif"/>
          <w:b w:val="false"/>
          <w:color w:val="000000"/>
          <w:sz w:val="20"/>
        </w:rPr>
        <w: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costs of progressing the preclinical and clinical development of EDIT-401;</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scope, progress, results, and costs of drug discovery, preclinical development, laboratory testing, and any clinical or natural history study trials for product candidates we develop;</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 costs of preparing, filing, and prosecuting patent applications, maintaining and enforcing our intellectual property and proprietary rights, and defending intellectual property-related claims;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costs, timing, and outcome of regulatory review of the product candidates we develop;</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costs of establishing and maintaining a supply chain for the development and manufacture of our product candidates;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costs of future activities, including product sales, medical affairs, marketing, manufacturing, and distribution, for any product candidates for which we receive regulatory approval;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success of our collaboration with BMS, including whether BMS exercises any of its options to extend the research program term and/or to additional research programs under our collaboration;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establish and maintain additional collaborations on favorable terms, if at all;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 extent to which we acquire or in-license other medicines and technologies;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costs of reimbursing our licensors for the prosecution and maintenance of the patent rights in-licensed by us;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establish and maintain healthcare coverage and adequate reimbursement for any product candidates for which we receive regulatory approval.</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even if we successfully identify and develop product candidates that are approved, we will require significant additional funding in order to launch and commercialize our product candidates and may not achieve commercial success. Our commercial revenues, if any, will be derived from sales of genomic medicines that we do not expect to be commercially available for many years, if at all. Accordingly, we will need to continue to rely on additional financing to achieve our business objectives. Adequate additional financing may not be available to us on acceptable terms, or at all.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issuance of equity or convertible debt securities, our stockholders’ ownership interests will be diluted, and the terms of these securities may include liquidation or other preferences that adversely affect the rights of our stockholders. Debt financing, if available, would result in increased fixed payment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0668a39958304f3485ee1a9fe3340ae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obligations and may involve agreements that include covenants limiting or restricting our ability to take specific actions, such as incurring additional debt, making capital expenditures, or declaring dividends.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left"/>
        <w:rPr>
          <w:rFonts w:ascii="Times New Roman;serif" w:hAnsi="Times New Roman;serif"/>
          <w:b/>
          <w:color w:val="000000"/>
          <w:sz w:val="20"/>
        </w:rPr>
      </w:pPr>
      <w:r>
        <w:rPr>
          <w:rFonts w:ascii="Times New Roman;serif" w:hAnsi="Times New Roman;serif"/>
          <w:b/>
          <w:color w:val="000000"/>
          <w:sz w:val="20"/>
        </w:rPr>
        <w:t>Contractual Obligations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2026, we had operating leases with future minimum lease payments for a total of $19.3 million, of which $5.9 million will be payable in 2026. These minimum lease payments exclude our share of the facility operating expenses, real-estate taxes, and other costs that are reimbursable to the landlord under the leases.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2023, we entered into a license and service agreement pursuant to which we leased manufacturing space for our continued research and development activities. The lease commenced April 1, 2024. In September 2024, we modified the lease, and as a result of the modification the lease payments decreased and the notification period for the termination of the license and service agreement increased from 12 months’ prior written notice to 18 months’ prior written notice. In January 2025, we gave our termination notice on the license and service agreement, which resulted in the end of the term of the agreement being July 2026 and $8.9 million of remaining payments owed. In April 2025, we modified the lease to terminate on April 30, 2025 with a final fixed payment of $3.7 million.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2024, we entered into the DRI Agreement under which we sold, transferred, assigned, and conveyed to DRI certain future license fees and other payments owed to us by Vertex under the Vertex License Agreement in exchange for an upfront cash payment by DRI to us of $57.0 million. Under the DRI Agreement, DRI is purchasing up to 100% of certain future fixed and sales-based annual license fees that the Company is entitled to receive under the Vertex License Agreement, which fees range from $5.0 million to $40.0 million per year including increases based on sales. In addition, DRI is purchasing a mid-double-digit percentage of the $50.0 million contingent upfront payment that the Company may receive under the Vertex License Agreement, in each case after subtracting amounts owed by us to our licensors, The Broad Institute, Inc. and the President and Fellows of Harvard College. The Company has retained rights to certain portions of certain other sales-based annual license fees and the contingent upfront payment that may become due under the Vertex License Agreement, and the amounts that correspond to our licensor obligations.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agreements with certain institutions to license intellectual property include potential milestone payments and success fees, sublicense fees, royalty fees, licensing maintenance fees, and reimbursement of patent maintenance costs that we may be required to pay. Our agreements to license intellectual property include potential milestone payments that are dependent upon the development of products using the intellectual property licensed under the agreements and contingent upon the achievement of development or regulatory approval milestones, as well as commercial milestones. These potential obligations are contingent upon future events and the timing and likelihood of such potential obligations are not known with certainty. For further information regarding these agreements, please see Part I, “Item 1. Business—Our Collaborations and Licensing Strategy” in the Annual Report.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also enter into contracts in the normal course of business with contract research organizations, contract manufacturing organizations, and other vendors to assist in the performance of our research and development activities and other services and products for operating purposes. These contracts generally provide for termination at any time upon prior notice.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exposed to market risk related to changes in interest rates. As of March 31, 2026, we had cash and cash equivalents of $123.6 million, primarily held in money market mutual funds. Our primary exposure to market risk is interest rate sensitivity, which is affected by changes in the general level of U.S. interest rates, particularly because our investments, including cash equivalents, are in the form, or may be in the form of, money market funds or marketable securities and are or may be invested in U.S. Treasury and U.S. government agency obligations. Due to the short-term maturities and low risk profiles of our investments, an immediate 100 basis point change in interest rates would not have a material effect on the fair market value of our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0668a39958304f3485ee1a9fe3340ae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While we contract with certain vendors and institutions internationally, substantially all of our total liabilities as of March 31, 2026 were denominated in the United States dollar and we believe that we do not have any material exposure to foreign currency exchange rate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240" w:after="283"/>
        <w:ind w:left="0" w:right="0" w:firstLine="720"/>
        <w:jc w:val="left"/>
        <w:rPr/>
      </w:pPr>
      <w:r>
        <w:rPr>
          <w:rFonts w:ascii="Times New Roman;serif" w:hAnsi="Times New Roman;serif"/>
          <w:b w:val="false"/>
          <w:color w:val="000000"/>
          <w:sz w:val="20"/>
          <w:shd w:fill="FFFFFF" w:val="clear"/>
        </w:rPr>
        <w:t xml:space="preserve">Our management, with the participation of our principal executive officer (our Chief Executive Officer) and our principal financial officer (our Chief Financial Officer), evaluated the effectiveness of our disclosure controls and procedures as of </w:t>
      </w:r>
      <w:r>
        <w:rPr>
          <w:rFonts w:ascii="Times New Roman;serif" w:hAnsi="Times New Roman;serif"/>
          <w:b w:val="false"/>
          <w:color w:val="000000"/>
          <w:sz w:val="20"/>
        </w:rPr>
        <w:t>March 31, 2026</w:t>
      </w:r>
      <w:r>
        <w:rPr>
          <w:rFonts w:ascii="Times New Roman;serif" w:hAnsi="Times New Roman;serif"/>
          <w:b w:val="false"/>
          <w:color w:val="000000"/>
          <w:sz w:val="20"/>
          <w:shd w:fill="FFFFFF" w:val="clear"/>
        </w:rPr>
        <w:t xml:space="preserve">. The term “disclosure controls and procedures,” as defined in Rules 13a-15(e) and 15d-15(e) under the Securities Exchange Act of 1934, as amended (the “Exchange Act”), means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w:t>
      </w:r>
      <w:r>
        <w:rPr>
          <w:rFonts w:ascii="Times New Roman;serif" w:hAnsi="Times New Roman;serif"/>
          <w:b w:val="false"/>
          <w:color w:val="000000"/>
          <w:sz w:val="20"/>
        </w:rPr>
        <w:t>March 31, 2026</w:t>
      </w:r>
      <w:r>
        <w:rPr>
          <w:rFonts w:ascii="Times New Roman;serif" w:hAnsi="Times New Roman;serif"/>
          <w:b w:val="false"/>
          <w:color w:val="000000"/>
          <w:sz w:val="20"/>
          <w:shd w:fill="FFFFFF" w:val="clear"/>
        </w:rPr>
        <w:t>, our Chief Executive Officer and Chief Financial Officer concluded that, as of such date, our disclosure controls and procedures were effective at the reasonable assurance level.</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were no changes in our internal control over financial reporting that occurred during the period covered by this Quarterly Report on Form 10-Q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0668a39958304f3485ee1a9fe3340ae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become involved in litigation or other legal proceedings relating to claims arising from the ordinary course of business. There can be no assurance that any proceedings that result from these third-party actions will be resolved in our favor. In addition, if they are not resolved in our favor, there can be no assurance that the result will not have a material adverse effect on our business, financial condition, results of operations, or prospects. Certain of our intellectual property rights, including ones licensed to us under our licensing agreements, are subject to, and from time to time may be subject to, priority and validity disputes. For additional information regarding these matters, see Part I, “Item 1A. Risk Factors—Risks Related to Our Intellectual Property” in our Annual Report on Form 10-K for the year ended December 31, 2025 (the “Annual Report”). Regardless of outcome, litigation or other legal proceedings can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Information set forth in this Quarterly Report on Form 10-Q, including below, and in the sections entitled “Summary of Risk Factors” and Part I, “Item 1A. Risk Factors” in the Annual Report, includes risks which could materially affect our business, financial condition, results of operations, or prospects. These risks, as well as other risks and uncertainties, could materially and adversely affect our business, results of operations and financial condition, which in turn could materially and adversely affect the trading price of shares of our common stock. Additional risks not currently known to us or that we currently deem to be immaterial may also harm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Some of our in-licensed patents are subject to priority and validity disputes. In addition, our owned and in-licensed patents, patent applications and other intellectual property may be subject to further priority and validity disputes, and other similar intellectual property proceedings including inventorship disputes. If we or our licensors are unsuccessful in any of these proceedings, we may be required to obtain licenses from third parties, which may not be available on commercially reasonable terms or at all, or to cease the development, manufacture, and commercialization of one or more of the product candidates we develop, which could have a material adverse impact on our business.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U.S. patents and a U.S. patent application directed to CRISPR/Cas9 that are co-owned by the Broad Institute and the Massachusetts Institute of Technology (“MIT”), and in some cases Harvard (collectively referred to as “Broad”), and in-licensed by us were involved in a first interference with a U.S. patent application that is co-owned by the University of California, the University of Vienna, and Emmanuelle Charpentier (collectively referred to “CVC”). An interference is a proceeding in USPTO before the Patent Trial and Appeal Board of the USPTO (“PTAB”) to determine priority of invention of the subject matter of patent claims filed by different parties. In this first interference, the PTAB made a judgment of no interference-in-fact in favor of the Broad, which was upheld on appeal. This decision was final and bars any further interference between the same parties for claims to the same invention that was considered in the interference. As a result of this decision, the U.S. patents and application that we in-license from the Broad and others were not modified or revoked.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24, 2019, the PTAB declared a second interference between certain pending U.S. patent applications that are co-owned by CVC and certain U.S. patents and a U.S. patent application that are co-owned by Broad and in-licensed by us. Most of the Broad U.S. patents and the patent application that are involved in the second interference were also part of the first interference. The invention that was considered in the first interference related to a method involving contacting a target DNA in a eukaryotic cell with certain defined CRISPR/Cas9 components for the purpose of cleaving or editing that target DNA molecule or modulating transcription of at least one gene encoded thereon. The second interference is directed to a different invention, namely a eukaryotic cell comprising a target DNA and certain defined CRISPR/Cas9 components including a single molecule guide RNA that are capable of cleaving or editing the target DNA molecule.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10, 2020, the PTAB granted Broad’s motion for priority benefit while denying CVC priority benefit to their two earliest provisional patent applications. As a result, Broad entered the priority phase of the interference as “Senior Party” while CVC remained the “Junior Party” for purposes of determining which entity was the first to invent the inventions at issue. On February 28, 2022, the PTAB issued a decision regarding the priority phase of the interference determining that Broad was the first entity to invent the claims at issue. This decision was appealed by CVC and the Broad cross-appealed. On May 12, 2025, the U.S. Court of Appeals for the Federal Circuit (“CAFC”) affirmed-in-part and vacated-in-part the PTAB’s previous decision and remanded it back to the PTAB for further review. On March 26,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0668a39958304f3485ee1a9fe3340ae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PTAB reaffirmed its previous decision favoring Broad. CVC retains the right to appeal the PTAB’s decision to the CAFC. It is uncertain if CVC will appeal and, if appealed, when or in what manner the CAFC will act on any such appeal.</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December 14, 2020, the PTAB, declared two new interferences involving a pending U.S. patent application that is owned by ToolGen, Inc. (the “ToolGen application”). One of the two interferences is between the ToolGen application and certain U.S. patents and U.S. patent applications that are co-owned by Broad and in-licensed by us. Most of the Broad U.S. patents and patent applications that are involved in the interference with ToolGen are also part of the second interference with CVC. The other ToolGen interference is between the same ToolGen application and the U.S. patent applications that are co-owned by CVC and involved in the second interference with Broad. The claims in ToolGen’s patent application relate to a mammalian cell with a CRISPR/Cas system comprising a codon optimized nucleic acid encoding a Cas9 polypeptide with a nuclear localization signal and a single-molecule guide RNA that, together, are capable of forming a Cas9/RNA complex that mediates double stranded cleavage of a target nucleic acid sequence. On September 28, 2022, the PTAB suspended both of these interferences. Following the decision on remand by the PTAB in March 2026 in the second interference between Broad and CVC, the suspension in the interference between ToolGen and Broad has been lifted. We cannot predict with any certainty how long this interference proceeding will take. The interference between ToolGen and CVC remains suspended.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21, 2021, the PTAB declared two new interferences involving a pending U.S. patent application owned by Sigma-Aldrich (the “Sigma-Aldrich application”). One of the two new interferences is between the Sigma-Aldrich application and certain U.S. patents and U.S. patent applications that are co-owned by Broad and in-licensed by us. The other Sigma interference is between the same Sigma-Aldrich application and the U.S. patent applications that are co-owned by CVC. Most of the Broad U.S. patents and patent applications that are involved in the interference with Sigma-Aldrich are also part of the concurrent interferences with CVC and ToolGen. The claims in Sigma-Aldrich’s application relate to a method for modifying a chromosomal sequence in a eukaryotic cell by integrating a donor sequence into that chromosomal sequence. These methods use a CRISPR/Cas9 system comprising a Cas9 polypeptide with a nuclear localization signal, a guide RNA, and a donor sequence that, together, are capable of mediating double stranded cleavage and repair of a target nucleic acid sequence leading to integration of the donor sequence into the chromosomal sequence. On December 14, 2022, the PTAB suspended both of these interferences. It is uncertain when these suspensions will be lifted.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result of these declarations of interference, five parallel adversarial proceedings in the USPTO before the PTAB have been initiated – the patent interferences between Broad and CVC, Broad and ToolGen, CVC and ToolGen, Broad and Sigma-Aldrich, and CVC and Sigma-Aldrich. We cannot predict with any certainty how long each interference proceeding will take. It is also possible that other third parties may seek to become a party to these interferences.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owned and in-licensed patents and patent applications are, or may in the future become, subject to validity disputes in the USPTO and other foreign patent offices. For example, a request for ex parte re-examination was filed with the USPTO on February 16, 2016 against a U.S. patent that we have in-licensed from Broad, which is involved in certain of the interferences. The request for ex parte re-examination was granted on May 9, 2016 thereby initiating a re-examination procedure between the USPTO and Broad, acting on behalf of itself and MIT. The PTAB has suspended the re-examination noting that it has jurisdiction over any file that involves a patent involved in an interference. It is uncertain when the PTAB will lift the suspension. If Broad is unsuccessful during the re-examination, the patent in question may be revoked or narrowed, which could have a material adverse effect on the scope of our rights under such patent.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or our licensors may also be subject to claims that former employees, collaborators, or other third parties have an interest in our owned or in-licensed patents or patent applications, or other intellectual property rights as an inventor or co-inventor. If we are unable to obtain an exclusive license to any such third-party co-owners’ interest in such patents, patent applications or other intellectual property rights, such co-owners may be able to license their rights to other third parties, including our competitors. In addition, we may need the cooperation of any such co-owners to enforce any patents, including any patents that issue from patent applications, against third parties, and such cooperation may not be provided to us. Any of the foregoing could have a material adverse effect on the conduct of our business, financial condition, results of operations, and prospects.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or our licensors are subject to and may in the future become a party to similar proceedings or priority disputes in Europe or other foreign jurisdictions. For example, certain European patents that we have in-licensed from Broad have been revoked in their entirety by the European Patent Office Opposition Division (the “Opposition Division”). Certain other European patents that we have in-licensed from Broad were maintained with amended patent claims. Certain of these decisions have been appealed by both Broad and the opposing party(s), and it is uncertain when or in what manner the Boards of Appeal will act on these appeals. The Opposition Division has also initiated opposition proceedings against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0668a39958304f3485ee1a9fe3340ae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certain other European patents that we have in-licensed from Broad. The European Patent Office opposition proceedings may involve issues including, but not limited to, procedural formalities related to filing the European patent application, priority, and the patentability of the involved claims. In view of certain arguments made by the third parties against the revoked patents and similar arguments made by the third parties against other in-licensed European patents under opposition, the opposition proceedings may lead to the revocation of certain additional in-licensed European patents. The loss of priority for, or the loss of, these European patents could have a material adverse effect on the conduct of our business. One or more of the third parties that have filed oppositions against these European patents or other third parties may file future oppositions against other European patents that we in-license or own. There may be other oppositions against these European patents that have not yet been filed or that have not yet been made available to the public.</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or our licensors are unsuccessful in any patent related disputes, including interference proceedings, patent oppositions, re-examinations, or other priority, inventorship, or validity disputes to which we or they are subject (including any of the proceedings discussed above), we may lose valuable intellectual property rights through the loss of one or more patents owned or licensed or our owned or licensed patent claims may be narrowed, invalidated, or held unenforceable. In addition, if we or our licensors are unsuccessful in any inventorship disputes to which we or they are subject, we may lose valuable intellectual property rights, such as exclusive ownership of, or the exclusive right to use, our owned or in-licensed patents and patent applications. If we or our licensors are unsuccessful in any interference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may be non-exclusive or may not be available at all. If we are unable to obtain and maintain such licenses, we may need to cease the development, manufacture, and commercialization of one or more of the product candidates we develop. The loss of exclusivity or the narrowing of our owned and in-licensed patent claims could limit our ability to stop others from using or commercializing similar or identical technology and products. Any of the foregoing could result in a material adverse effect on our business, financial condition, results of operations, or prospects. Even if we are successful in any interference proceeding or other priority, inventorship, or validity disputes, it could result in substantial costs and be a distraction to our management and other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Director and Officer Trading Arrangements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portion of the compensation of our directors and officers (as defined in Rule 16a-1(f) under the Securities Exchange Act of 1934, as amended (the “Exchange Act”)) is in the form of equity awards and, from time to time, directors and officers may engage in open-market transactions with respect to the securities acquired pursuant to such equity awards or other of our securities, including to satisfy tax withholding obligations when equity awards vest or are exercised, and for diversification or other personal reasons.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Transactions in our securities by directors and officers are required to be made in accordance with our insider trading policy, which requires that the transactions be in accordance with applicable U.S. federal securities laws that prohibit trading while in possession of material nonpublic information. Rule 10b5-1 under the Exchange Act provides an affirmative defense that enables directors and officers to prearrange transactions in our securities in a manner that avoids concerns about initiating transactions while in possession of material nonpublic information.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 of our directors or officers adopted or terminated a Rule 10b5-1 trading arrangement or a non-Rule 10b5-1 trading arrangement (each as defined in Item 408(c) of Regulation S-K) during the quarterly period covered by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0668a39958304f3485ee1a9fe3340ae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950"/>
        <w:gridCol w:w="2565"/>
        <w:gridCol w:w="3657"/>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0" w:type="dxa"/>
            <w:tcBorders/>
            <w:vAlign w:val="center"/>
          </w:tcPr>
          <w:p>
            <w:pPr>
              <w:pStyle w:val="TableContents"/>
              <w:bidi w:val="0"/>
              <w:spacing w:before="0" w:after="283"/>
              <w:jc w:val="left"/>
              <w:rPr>
                <w:sz w:val="4"/>
                <w:szCs w:val="4"/>
              </w:rPr>
            </w:pPr>
            <w:r>
              <w:rPr>
                <w:sz w:val="4"/>
                <w:szCs w:val="4"/>
              </w:rPr>
            </w:r>
          </w:p>
        </w:tc>
        <w:tc>
          <w:tcPr>
            <w:tcW w:w="2565" w:type="dxa"/>
            <w:tcBorders/>
            <w:vAlign w:val="center"/>
          </w:tcPr>
          <w:p>
            <w:pPr>
              <w:pStyle w:val="TableContents"/>
              <w:bidi w:val="0"/>
              <w:spacing w:before="0" w:after="283"/>
              <w:jc w:val="left"/>
              <w:rPr>
                <w:sz w:val="4"/>
                <w:szCs w:val="4"/>
              </w:rPr>
            </w:pPr>
            <w:r>
              <w:rPr>
                <w:sz w:val="4"/>
                <w:szCs w:val="4"/>
              </w:rPr>
            </w:r>
          </w:p>
        </w:tc>
        <w:tc>
          <w:tcPr>
            <w:tcW w:w="365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 of Exhibit</w:t>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dit-20260331xex311.htm">
              <w:r>
                <w:rPr>
                  <w:rStyle w:val="InternetLink"/>
                  <w:rFonts w:ascii="Times New Roman;serif" w:hAnsi="Times New Roman;serif"/>
                  <w:b w:val="false"/>
                  <w:color w:val="0000FF"/>
                  <w:sz w:val="20"/>
                  <w:u w:val="single"/>
                </w:rPr>
                <w:t>Rule 13a-14(a) Certification of Principal Executive Officer</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dit-20260331xex312.htm">
              <w:r>
                <w:rPr>
                  <w:rStyle w:val="InternetLink"/>
                  <w:rFonts w:ascii="Times New Roman;serif" w:hAnsi="Times New Roman;serif"/>
                  <w:b w:val="false"/>
                  <w:color w:val="0000FF"/>
                  <w:sz w:val="20"/>
                  <w:u w:val="single"/>
                </w:rPr>
                <w:t>Rule 13a-14(a) Certification of Principal Financial Officer</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dit-20260331xex321.htm">
              <w:r>
                <w:rPr>
                  <w:rStyle w:val="InternetLink"/>
                  <w:rFonts w:ascii="Times New Roman;serif" w:hAnsi="Times New Roman;serif"/>
                  <w:b w:val="false"/>
                  <w:color w:val="0000FF"/>
                  <w:sz w:val="20"/>
                  <w:u w:val="single"/>
                </w:rPr>
                <w:t>Certification of Principal Executive Officer and Principal Financial Officer pursuant to 18 U.S.C. §1350</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statements from the Company’s Quarterly Report on Form 10-Q for the quarter ended March 31, 2026, formatted in Inline XBRL (eXtensible Business Reporting Language): (i) Condensed Consolidated Balance Sheets (unaudited), (ii) Condensed Consolidated Statements of Operations (unaudited), (iii) Condensed Consolidated Statements of Comprehensive Loss (unaudited), (iv) Condensed Consolidated Statements of Stockholders’ Equity (unaudited), (v) Condensed Consolidated Statements of Cash Flows (unaudited) and (vi) Notes to Condensed Consolidated Financial Statements (unaudited), tagged as blocks of text and including detailed tags.</w:t>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 and included in Exhibit 101)</w:t>
            </w:r>
          </w:p>
        </w:tc>
      </w:tr>
    </w:tbl>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lineRule="auto" w:line="288" w:before="0" w:after="0"/>
        <w:ind w:left="0" w:right="0" w:hanging="360"/>
        <w:jc w:val="left"/>
        <w:rPr/>
      </w:pPr>
      <w:r>
        <w:rPr>
          <w:rFonts w:ascii="Times New Roman;serif" w:hAnsi="Times New Roman;serif"/>
          <w:b w:val="false"/>
          <w:color w:val="000000"/>
          <w:sz w:val="20"/>
        </w:rPr>
        <w:t>+    </w:t>
      </w:r>
      <w:r>
        <w:rPr>
          <w:rFonts w:ascii="Times New Roman;serif" w:hAnsi="Times New Roman;serif"/>
          <w:b w:val="false"/>
          <w:color w:val="212529"/>
          <w:sz w:val="20"/>
          <w:shd w:fill="FFFFFF" w:val="clear"/>
        </w:rPr>
        <w:t>The certifications furnished in Exhibit 32.1 that accompany this Quarterly Report on Form 10-Q are not deemed “filed” for purposes of Section 18 of the Securities Exchange Act of 1934, as amended. Such certifications are not to be deemed to be incorporated by reference into any filings under the Securities Act of 1933, as amended, or the Securities Exchange Act of 1934, as amended, except to the extent that the registrant specifically incorporates them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0668a39958304f3485ee1a9fe3340ae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Pursuant to the requirements of the Securities Exchange Act of 1934, the registrant has duly caused this report to be signed on its behalf by the undersigned thereunto duly authorized. </w:t>
      </w:r>
    </w:p>
    <w:tbl>
      <w:tblPr>
        <w:tblW w:w="5318" w:type="dxa"/>
        <w:jc w:val="left"/>
        <w:tblInd w:w="0" w:type="dxa"/>
        <w:tblLayout w:type="fixed"/>
        <w:tblCellMar>
          <w:top w:w="28" w:type="dxa"/>
          <w:left w:w="28" w:type="dxa"/>
          <w:bottom w:w="28" w:type="dxa"/>
          <w:right w:w="28" w:type="dxa"/>
        </w:tblCellMar>
      </w:tblPr>
      <w:tblGrid>
        <w:gridCol w:w="629"/>
        <w:gridCol w:w="553"/>
        <w:gridCol w:w="558"/>
        <w:gridCol w:w="373"/>
        <w:gridCol w:w="373"/>
        <w:gridCol w:w="373"/>
        <w:gridCol w:w="718"/>
        <w:gridCol w:w="718"/>
        <w:gridCol w:w="1023"/>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EDITAS MEDICINE,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May 5, 2026</w:t>
            </w:r>
          </w:p>
        </w:tc>
        <w:tc>
          <w:tcPr>
            <w:tcW w:w="1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Amy Parison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Amy Parison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br/>
              <w:t xml:space="preserve">(Principal Financial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200" w:after="283"/>
        <w:jc w:val="right"/>
        <w:rPr>
          <w:rFonts w:ascii="sans-serif" w:hAnsi="sans-serif"/>
          <w:b/>
          <w:color w:val="000000"/>
          <w:sz w:val="22"/>
        </w:rPr>
      </w:pPr>
      <w:r>
        <w:rPr>
          <w:rFonts w:ascii="sans-serif" w:hAnsi="sans-serif"/>
          <w:b/>
          <w:color w:val="000000"/>
          <w:sz w:val="22"/>
        </w:rPr>
        <w:t>Exhibit 31.1</w:t>
      </w:r>
    </w:p>
    <w:p>
      <w:pPr>
        <w:pStyle w:val="TextBody"/>
        <w:bidi w:val="0"/>
        <w:spacing w:lineRule="auto" w:line="288" w:before="200" w:after="283"/>
        <w:jc w:val="center"/>
        <w:rPr>
          <w:rFonts w:ascii="sans-serif" w:hAnsi="sans-serif"/>
          <w:b/>
          <w:color w:val="000000"/>
          <w:sz w:val="22"/>
        </w:rPr>
      </w:pPr>
      <w:r>
        <w:rPr>
          <w:rFonts w:ascii="sans-serif" w:hAnsi="sans-serif"/>
          <w:b/>
          <w:color w:val="000000"/>
          <w:sz w:val="22"/>
        </w:rPr>
        <w:t>CERTIFICATIONS</w:t>
      </w:r>
    </w:p>
    <w:p>
      <w:pPr>
        <w:pStyle w:val="TextBody"/>
        <w:bidi w:val="0"/>
        <w:spacing w:lineRule="auto" w:line="288" w:before="200" w:after="283"/>
        <w:jc w:val="left"/>
        <w:rPr>
          <w:rFonts w:ascii="sans-serif" w:hAnsi="sans-serif"/>
          <w:b w:val="false"/>
          <w:color w:val="000000"/>
          <w:sz w:val="22"/>
        </w:rPr>
      </w:pPr>
      <w:r>
        <w:rPr>
          <w:rFonts w:ascii="sans-serif" w:hAnsi="sans-serif"/>
          <w:b w:val="false"/>
          <w:color w:val="000000"/>
          <w:sz w:val="22"/>
        </w:rPr>
        <w:t>I, Gilmore O’Neill, certify that:</w:t>
      </w:r>
    </w:p>
    <w:p>
      <w:pPr>
        <w:pStyle w:val="TextBody"/>
        <w:bidi w:val="0"/>
        <w:spacing w:lineRule="auto" w:line="288" w:before="200" w:after="283"/>
        <w:ind w:left="0" w:right="0" w:hanging="360"/>
        <w:jc w:val="left"/>
        <w:rPr>
          <w:rFonts w:ascii="sans-serif" w:hAnsi="sans-serif"/>
          <w:b w:val="false"/>
          <w:color w:val="000000"/>
          <w:sz w:val="22"/>
        </w:rPr>
      </w:pPr>
      <w:r>
        <w:rPr>
          <w:rFonts w:ascii="sans-serif" w:hAnsi="sans-serif"/>
          <w:b w:val="false"/>
          <w:color w:val="000000"/>
          <w:sz w:val="22"/>
        </w:rPr>
        <w:t>1.I have reviewed this Quarterly Report on Form 10-Q of Editas Medicine, Inc.;</w:t>
      </w:r>
    </w:p>
    <w:p>
      <w:pPr>
        <w:pStyle w:val="TextBody"/>
        <w:bidi w:val="0"/>
        <w:spacing w:lineRule="auto" w:line="288" w:before="200" w:after="283"/>
        <w:ind w:left="0" w:right="0" w:hanging="360"/>
        <w:jc w:val="left"/>
        <w:rPr>
          <w:rFonts w:ascii="sans-serif" w:hAnsi="sans-serif"/>
          <w:b w:val="false"/>
          <w:color w:val="000000"/>
          <w:sz w:val="22"/>
        </w:rPr>
      </w:pPr>
      <w:r>
        <w:rPr>
          <w:rFonts w:ascii="sans-serif" w:hAnsi="sans-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sans-serif" w:hAnsi="sans-serif"/>
          <w:b w:val="false"/>
          <w:color w:val="000000"/>
          <w:sz w:val="22"/>
        </w:rPr>
      </w:pPr>
      <w:r>
        <w:rPr>
          <w:rFonts w:ascii="sans-serif" w:hAnsi="sans-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rFonts w:ascii="sans-serif" w:hAnsi="sans-serif"/>
          <w:b w:val="false"/>
          <w:color w:val="000000"/>
          <w:sz w:val="22"/>
        </w:rPr>
      </w:pPr>
      <w:r>
        <w:rPr>
          <w:rFonts w:ascii="sans-serif" w:hAnsi="sans-serif"/>
          <w:b w:val="false"/>
          <w:color w:val="000000"/>
          <w:sz w:val="22"/>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left"/>
        <w:rPr>
          <w:rFonts w:ascii="sans-serif" w:hAnsi="sans-serif"/>
          <w:b w:val="false"/>
          <w:color w:val="000000"/>
          <w:sz w:val="22"/>
        </w:rPr>
      </w:pPr>
      <w:r>
        <w:rPr>
          <w:rFonts w:ascii="sans-serif" w:hAnsi="sans-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left"/>
        <w:rPr>
          <w:rFonts w:ascii="sans-serif" w:hAnsi="sans-serif"/>
          <w:b w:val="false"/>
          <w:color w:val="000000"/>
          <w:sz w:val="22"/>
        </w:rPr>
      </w:pPr>
      <w:r>
        <w:rPr>
          <w:rFonts w:ascii="sans-serif" w:hAnsi="sans-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left"/>
        <w:rPr>
          <w:rFonts w:ascii="sans-serif" w:hAnsi="sans-serif"/>
          <w:b w:val="false"/>
          <w:color w:val="000000"/>
          <w:sz w:val="22"/>
        </w:rPr>
      </w:pPr>
      <w:r>
        <w:rPr>
          <w:rFonts w:ascii="sans-serif" w:hAnsi="sans-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left"/>
        <w:rPr>
          <w:rFonts w:ascii="sans-serif" w:hAnsi="sans-serif"/>
          <w:b w:val="false"/>
          <w:color w:val="000000"/>
          <w:sz w:val="22"/>
        </w:rPr>
      </w:pPr>
      <w:r>
        <w:rPr>
          <w:rFonts w:ascii="sans-serif" w:hAnsi="sans-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left"/>
        <w:rPr>
          <w:rFonts w:ascii="sans-serif" w:hAnsi="sans-serif"/>
          <w:b w:val="false"/>
          <w:color w:val="000000"/>
          <w:sz w:val="22"/>
        </w:rPr>
      </w:pPr>
      <w:r>
        <w:rPr>
          <w:rFonts w:ascii="sans-serif" w:hAnsi="sans-serif"/>
          <w:b w:val="false"/>
          <w:color w:val="000000"/>
          <w:sz w:val="22"/>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left"/>
        <w:rPr>
          <w:rFonts w:ascii="sans-serif" w:hAnsi="sans-serif"/>
          <w:b w:val="false"/>
          <w:color w:val="000000"/>
          <w:sz w:val="22"/>
        </w:rPr>
      </w:pPr>
      <w:r>
        <w:rPr>
          <w:rFonts w:ascii="sans-serif" w:hAnsi="sans-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left"/>
        <w:rPr>
          <w:rFonts w:ascii="sans-serif" w:hAnsi="sans-serif"/>
          <w:b w:val="false"/>
          <w:color w:val="000000"/>
          <w:sz w:val="22"/>
        </w:rPr>
      </w:pPr>
      <w:r>
        <w:rPr>
          <w:rFonts w:ascii="sans-serif" w:hAnsi="sans-serif"/>
          <w:b w:val="false"/>
          <w:color w:val="000000"/>
          <w:sz w:val="22"/>
        </w:rPr>
        <w:t>b.Any fraud, whether or not material, that involves management or other employees who have a significant role in the registrant’s internal control over financial reporting.</w:t>
      </w:r>
    </w:p>
    <w:tbl>
      <w:tblPr>
        <w:tblW w:w="5998" w:type="dxa"/>
        <w:jc w:val="left"/>
        <w:tblInd w:w="0" w:type="dxa"/>
        <w:tblLayout w:type="fixed"/>
        <w:tblCellMar>
          <w:top w:w="28" w:type="dxa"/>
          <w:left w:w="28" w:type="dxa"/>
          <w:bottom w:w="28" w:type="dxa"/>
          <w:right w:w="28" w:type="dxa"/>
        </w:tblCellMar>
      </w:tblPr>
      <w:tblGrid>
        <w:gridCol w:w="813"/>
        <w:gridCol w:w="715"/>
        <w:gridCol w:w="721"/>
        <w:gridCol w:w="154"/>
        <w:gridCol w:w="154"/>
        <w:gridCol w:w="156"/>
        <w:gridCol w:w="960"/>
        <w:gridCol w:w="960"/>
        <w:gridCol w:w="1365"/>
      </w:tblGrid>
      <w:tr>
        <w:trPr/>
        <w:tc>
          <w:tcPr>
            <w:tcW w:w="81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2"/>
              </w:rPr>
            </w:pPr>
            <w:r>
              <w:rPr>
                <w:rFonts w:ascii="sans-serif" w:hAnsi="sans-serif"/>
                <w:b w:val="false"/>
                <w:color w:val="000000"/>
                <w:sz w:val="22"/>
              </w:rPr>
              <w:t>Date: May 5, 2026</w:t>
            </w:r>
          </w:p>
        </w:tc>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By:</w:t>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/s/ Gilmore O’Neill</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Gilmore O’Neill</w:t>
              <w:br/>
              <w:t>Chief Executive Officer</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sans-serif" w:hAnsi="sans-serif"/>
          <w:b/>
          <w:color w:val="000000"/>
          <w:sz w:val="22"/>
        </w:rPr>
      </w:pPr>
      <w:r>
        <w:rPr>
          <w:rFonts w:ascii="sans-serif" w:hAnsi="sans-serif"/>
          <w:b/>
          <w:color w:val="000000"/>
          <w:sz w:val="22"/>
        </w:rPr>
        <w:t>Exhibit 31.2</w:t>
      </w:r>
    </w:p>
    <w:p>
      <w:pPr>
        <w:pStyle w:val="TextBody"/>
        <w:bidi w:val="0"/>
        <w:spacing w:lineRule="auto" w:line="288" w:before="200" w:after="283"/>
        <w:jc w:val="center"/>
        <w:rPr>
          <w:rFonts w:ascii="sans-serif" w:hAnsi="sans-serif"/>
          <w:b/>
          <w:color w:val="000000"/>
          <w:sz w:val="22"/>
        </w:rPr>
      </w:pPr>
      <w:r>
        <w:rPr>
          <w:rFonts w:ascii="sans-serif" w:hAnsi="sans-serif"/>
          <w:b/>
          <w:color w:val="000000"/>
          <w:sz w:val="22"/>
        </w:rPr>
        <w:t>CERTIFICATIONS</w:t>
      </w:r>
    </w:p>
    <w:p>
      <w:pPr>
        <w:pStyle w:val="TextBody"/>
        <w:bidi w:val="0"/>
        <w:spacing w:lineRule="auto" w:line="288" w:before="200" w:after="283"/>
        <w:jc w:val="left"/>
        <w:rPr>
          <w:rFonts w:ascii="sans-serif" w:hAnsi="sans-serif"/>
          <w:b w:val="false"/>
          <w:color w:val="000000"/>
          <w:sz w:val="22"/>
        </w:rPr>
      </w:pPr>
      <w:r>
        <w:rPr>
          <w:rFonts w:ascii="sans-serif" w:hAnsi="sans-serif"/>
          <w:b w:val="false"/>
          <w:color w:val="000000"/>
          <w:sz w:val="22"/>
        </w:rPr>
        <w:t>I, Amy Parison, certify that:</w:t>
      </w:r>
    </w:p>
    <w:p>
      <w:pPr>
        <w:pStyle w:val="TextBody"/>
        <w:bidi w:val="0"/>
        <w:spacing w:lineRule="auto" w:line="288" w:before="200" w:after="283"/>
        <w:ind w:left="0" w:right="0" w:hanging="360"/>
        <w:jc w:val="left"/>
        <w:rPr>
          <w:rFonts w:ascii="sans-serif" w:hAnsi="sans-serif"/>
          <w:b w:val="false"/>
          <w:color w:val="000000"/>
          <w:sz w:val="22"/>
        </w:rPr>
      </w:pPr>
      <w:r>
        <w:rPr>
          <w:rFonts w:ascii="sans-serif" w:hAnsi="sans-serif"/>
          <w:b w:val="false"/>
          <w:color w:val="000000"/>
          <w:sz w:val="22"/>
        </w:rPr>
        <w:t>1.I have reviewed this Quarterly Report on Form 10-Q of Editas Medicine, Inc.;</w:t>
      </w:r>
    </w:p>
    <w:p>
      <w:pPr>
        <w:pStyle w:val="TextBody"/>
        <w:bidi w:val="0"/>
        <w:spacing w:lineRule="auto" w:line="288" w:before="200" w:after="283"/>
        <w:ind w:left="0" w:right="0" w:hanging="360"/>
        <w:jc w:val="left"/>
        <w:rPr>
          <w:rFonts w:ascii="sans-serif" w:hAnsi="sans-serif"/>
          <w:b w:val="false"/>
          <w:color w:val="000000"/>
          <w:sz w:val="22"/>
        </w:rPr>
      </w:pPr>
      <w:r>
        <w:rPr>
          <w:rFonts w:ascii="sans-serif" w:hAnsi="sans-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sans-serif" w:hAnsi="sans-serif"/>
          <w:b w:val="false"/>
          <w:color w:val="000000"/>
          <w:sz w:val="22"/>
        </w:rPr>
      </w:pPr>
      <w:r>
        <w:rPr>
          <w:rFonts w:ascii="sans-serif" w:hAnsi="sans-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rFonts w:ascii="sans-serif" w:hAnsi="sans-serif"/>
          <w:b w:val="false"/>
          <w:color w:val="000000"/>
          <w:sz w:val="22"/>
        </w:rPr>
      </w:pPr>
      <w:r>
        <w:rPr>
          <w:rFonts w:ascii="sans-serif" w:hAnsi="sans-serif"/>
          <w:b w:val="false"/>
          <w:color w:val="000000"/>
          <w:sz w:val="22"/>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left"/>
        <w:rPr>
          <w:rFonts w:ascii="sans-serif" w:hAnsi="sans-serif"/>
          <w:b w:val="false"/>
          <w:color w:val="000000"/>
          <w:sz w:val="22"/>
        </w:rPr>
      </w:pPr>
      <w:r>
        <w:rPr>
          <w:rFonts w:ascii="sans-serif" w:hAnsi="sans-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left"/>
        <w:rPr>
          <w:rFonts w:ascii="sans-serif" w:hAnsi="sans-serif"/>
          <w:b w:val="false"/>
          <w:color w:val="000000"/>
          <w:sz w:val="22"/>
        </w:rPr>
      </w:pPr>
      <w:r>
        <w:rPr>
          <w:rFonts w:ascii="sans-serif" w:hAnsi="sans-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left"/>
        <w:rPr>
          <w:rFonts w:ascii="sans-serif" w:hAnsi="sans-serif"/>
          <w:b w:val="false"/>
          <w:color w:val="000000"/>
          <w:sz w:val="22"/>
        </w:rPr>
      </w:pPr>
      <w:r>
        <w:rPr>
          <w:rFonts w:ascii="sans-serif" w:hAnsi="sans-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left"/>
        <w:rPr>
          <w:rFonts w:ascii="sans-serif" w:hAnsi="sans-serif"/>
          <w:b w:val="false"/>
          <w:color w:val="000000"/>
          <w:sz w:val="22"/>
        </w:rPr>
      </w:pPr>
      <w:r>
        <w:rPr>
          <w:rFonts w:ascii="sans-serif" w:hAnsi="sans-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left"/>
        <w:rPr>
          <w:rFonts w:ascii="sans-serif" w:hAnsi="sans-serif"/>
          <w:b w:val="false"/>
          <w:color w:val="000000"/>
          <w:sz w:val="22"/>
        </w:rPr>
      </w:pPr>
      <w:r>
        <w:rPr>
          <w:rFonts w:ascii="sans-serif" w:hAnsi="sans-serif"/>
          <w:b w:val="false"/>
          <w:color w:val="000000"/>
          <w:sz w:val="22"/>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left"/>
        <w:rPr>
          <w:rFonts w:ascii="sans-serif" w:hAnsi="sans-serif"/>
          <w:b w:val="false"/>
          <w:color w:val="000000"/>
          <w:sz w:val="22"/>
        </w:rPr>
      </w:pPr>
      <w:r>
        <w:rPr>
          <w:rFonts w:ascii="sans-serif" w:hAnsi="sans-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left"/>
        <w:rPr>
          <w:rFonts w:ascii="sans-serif" w:hAnsi="sans-serif"/>
          <w:b w:val="false"/>
          <w:color w:val="000000"/>
          <w:sz w:val="22"/>
        </w:rPr>
      </w:pPr>
      <w:r>
        <w:rPr>
          <w:rFonts w:ascii="sans-serif" w:hAnsi="sans-serif"/>
          <w:b w:val="false"/>
          <w:color w:val="000000"/>
          <w:sz w:val="22"/>
        </w:rPr>
        <w:t>b.Any fraud, whether or not material, that involves management or other employees who have a significant role in the registrant’s internal control over financial reporting.</w:t>
      </w:r>
    </w:p>
    <w:tbl>
      <w:tblPr>
        <w:tblW w:w="5907" w:type="dxa"/>
        <w:jc w:val="left"/>
        <w:tblInd w:w="0" w:type="dxa"/>
        <w:tblLayout w:type="fixed"/>
        <w:tblCellMar>
          <w:top w:w="28" w:type="dxa"/>
          <w:left w:w="28" w:type="dxa"/>
          <w:bottom w:w="28" w:type="dxa"/>
          <w:right w:w="28" w:type="dxa"/>
        </w:tblCellMar>
      </w:tblPr>
      <w:tblGrid>
        <w:gridCol w:w="813"/>
        <w:gridCol w:w="715"/>
        <w:gridCol w:w="721"/>
        <w:gridCol w:w="154"/>
        <w:gridCol w:w="154"/>
        <w:gridCol w:w="156"/>
        <w:gridCol w:w="932"/>
        <w:gridCol w:w="932"/>
        <w:gridCol w:w="1330"/>
      </w:tblGrid>
      <w:tr>
        <w:trPr/>
        <w:tc>
          <w:tcPr>
            <w:tcW w:w="81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2"/>
              </w:rPr>
            </w:pPr>
            <w:r>
              <w:rPr>
                <w:rFonts w:ascii="sans-serif" w:hAnsi="sans-serif"/>
                <w:b w:val="false"/>
                <w:color w:val="000000"/>
                <w:sz w:val="22"/>
              </w:rPr>
              <w:t>Date: May 5, 2026</w:t>
            </w:r>
          </w:p>
        </w:tc>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By:</w:t>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/s/ Amy Parison</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Amy Parison</w:t>
              <w:br/>
              <w:t>Chief Financial Officer</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sans-serif" w:hAnsi="sans-serif"/>
          <w:b/>
          <w:color w:val="000000"/>
          <w:sz w:val="22"/>
        </w:rPr>
      </w:pPr>
      <w:r>
        <w:rPr>
          <w:rFonts w:ascii="sans-serif" w:hAnsi="sans-serif"/>
          <w:b/>
          <w:color w:val="000000"/>
          <w:sz w:val="22"/>
        </w:rPr>
        <w:t>Exhibit 32.1</w:t>
      </w:r>
    </w:p>
    <w:p>
      <w:pPr>
        <w:pStyle w:val="TextBody"/>
        <w:bidi w:val="0"/>
        <w:spacing w:lineRule="auto" w:line="288" w:before="200" w:after="283"/>
        <w:jc w:val="center"/>
        <w:rPr>
          <w:rFonts w:ascii="sans-serif" w:hAnsi="sans-serif"/>
          <w:b/>
          <w:color w:val="000000"/>
          <w:sz w:val="22"/>
          <w:shd w:fill="FFFFFF" w:val="clear"/>
        </w:rPr>
      </w:pPr>
      <w:r>
        <w:rPr>
          <w:rFonts w:ascii="sans-serif" w:hAnsi="sans-serif"/>
          <w:b/>
          <w:color w:val="000000"/>
          <w:sz w:val="22"/>
          <w:shd w:fill="FFFFFF" w:val="clear"/>
        </w:rPr>
        <w:t>CERTIFICATIONS OF CEO AND CFO PURSUANT TO 18 U.S.C. SECTION 1350,</w:t>
      </w:r>
    </w:p>
    <w:p>
      <w:pPr>
        <w:pStyle w:val="TextBody"/>
        <w:bidi w:val="0"/>
        <w:spacing w:lineRule="auto" w:line="288" w:before="0" w:after="0"/>
        <w:jc w:val="center"/>
        <w:rPr>
          <w:rFonts w:ascii="sans-serif" w:hAnsi="sans-serif"/>
          <w:b/>
          <w:color w:val="000000"/>
          <w:sz w:val="22"/>
          <w:shd w:fill="FFFFFF" w:val="clear"/>
        </w:rPr>
      </w:pPr>
      <w:r>
        <w:rPr>
          <w:rFonts w:ascii="sans-serif" w:hAnsi="sans-serif"/>
          <w:b/>
          <w:color w:val="000000"/>
          <w:sz w:val="22"/>
          <w:shd w:fill="FFFFFF" w:val="clear"/>
        </w:rPr>
        <w:t>AS ADOPTED PURSUANT TO</w:t>
      </w:r>
    </w:p>
    <w:p>
      <w:pPr>
        <w:pStyle w:val="TextBody"/>
        <w:bidi w:val="0"/>
        <w:spacing w:lineRule="auto" w:line="288" w:before="0" w:after="0"/>
        <w:jc w:val="center"/>
        <w:rPr>
          <w:rFonts w:ascii="sans-serif" w:hAnsi="sans-serif"/>
          <w:b/>
          <w:color w:val="000000"/>
          <w:sz w:val="22"/>
          <w:shd w:fill="FFFFFF" w:val="clear"/>
        </w:rPr>
      </w:pPr>
      <w:r>
        <w:rPr>
          <w:rFonts w:ascii="sans-serif" w:hAnsi="sans-serif"/>
          <w:b/>
          <w:color w:val="000000"/>
          <w:sz w:val="22"/>
          <w:shd w:fill="FFFFFF" w:val="clear"/>
        </w:rPr>
        <w:t>SECTION 906 OF THE SARBANES-OXLEY ACT OF 2002</w:t>
      </w:r>
    </w:p>
    <w:p>
      <w:pPr>
        <w:pStyle w:val="TextBody"/>
        <w:bidi w:val="0"/>
        <w:spacing w:lineRule="auto" w:line="288" w:before="200" w:after="283"/>
        <w:jc w:val="left"/>
        <w:rPr>
          <w:rFonts w:ascii="sans-serif" w:hAnsi="sans-serif"/>
          <w:b w:val="false"/>
          <w:color w:val="000000"/>
          <w:sz w:val="22"/>
          <w:shd w:fill="FFFFFF" w:val="clear"/>
        </w:rPr>
      </w:pPr>
      <w:r>
        <w:rPr>
          <w:rFonts w:ascii="sans-serif" w:hAnsi="sans-serif"/>
          <w:b w:val="false"/>
          <w:color w:val="000000"/>
          <w:sz w:val="22"/>
          <w:shd w:fill="FFFFFF" w:val="clear"/>
        </w:rPr>
        <w:t>In connection with this Quarterly Report on Form 10-Q of Editas Medicine, Inc. (the “Company”) for the period ended March 31, 2026, as filed with the Securities and Exchange Commission on the date hereof (the “Report”), each of the undersigned officers of the Company hereby certifies, pursuant to 18 U.S.C. (section) 1350, as adopted pursuant to (section) 906 of the Sarbanes-Oxley Act of 2002, that to the best of her or his knowledge:</w:t>
      </w:r>
    </w:p>
    <w:p>
      <w:pPr>
        <w:pStyle w:val="TextBody"/>
        <w:bidi w:val="0"/>
        <w:spacing w:lineRule="auto" w:line="288" w:before="200" w:after="283"/>
        <w:ind w:left="0" w:right="0" w:hanging="360"/>
        <w:jc w:val="left"/>
        <w:rPr>
          <w:rFonts w:ascii="sans-serif" w:hAnsi="sans-serif"/>
          <w:b w:val="false"/>
          <w:color w:val="000000"/>
          <w:sz w:val="22"/>
        </w:rPr>
      </w:pPr>
      <w:r>
        <w:rPr>
          <w:rFonts w:ascii="sans-serif" w:hAnsi="sans-serif"/>
          <w:b w:val="false"/>
          <w:color w:val="000000"/>
          <w:sz w:val="22"/>
        </w:rPr>
        <w:t>(1)The Report fully complies with the requirements of Section 13(a) or 15(d) of the Securities Exchange Act of 1934; and</w:t>
      </w:r>
    </w:p>
    <w:p>
      <w:pPr>
        <w:pStyle w:val="TextBody"/>
        <w:bidi w:val="0"/>
        <w:spacing w:lineRule="auto" w:line="288" w:before="200" w:after="283"/>
        <w:ind w:left="0" w:right="0" w:hanging="360"/>
        <w:jc w:val="left"/>
        <w:rPr>
          <w:rFonts w:ascii="sans-serif" w:hAnsi="sans-serif"/>
          <w:b w:val="false"/>
          <w:color w:val="000000"/>
          <w:sz w:val="22"/>
        </w:rPr>
      </w:pPr>
      <w:r>
        <w:rPr>
          <w:rFonts w:ascii="sans-serif" w:hAnsi="sans-serif"/>
          <w:b w:val="false"/>
          <w:color w:val="000000"/>
          <w:sz w:val="22"/>
        </w:rPr>
        <w:t>(2)The information contained in the Report fairly presents, in all material respects, the financial condition and results of operations of the Company.</w:t>
      </w:r>
    </w:p>
    <w:tbl>
      <w:tblPr>
        <w:tblW w:w="5427" w:type="dxa"/>
        <w:jc w:val="left"/>
        <w:tblInd w:w="0" w:type="dxa"/>
        <w:tblLayout w:type="fixed"/>
        <w:tblCellMar>
          <w:top w:w="28" w:type="dxa"/>
          <w:left w:w="28" w:type="dxa"/>
          <w:bottom w:w="28" w:type="dxa"/>
          <w:right w:w="28" w:type="dxa"/>
        </w:tblCellMar>
      </w:tblPr>
      <w:tblGrid>
        <w:gridCol w:w="813"/>
        <w:gridCol w:w="715"/>
        <w:gridCol w:w="721"/>
        <w:gridCol w:w="154"/>
        <w:gridCol w:w="154"/>
        <w:gridCol w:w="156"/>
        <w:gridCol w:w="793"/>
        <w:gridCol w:w="793"/>
        <w:gridCol w:w="1128"/>
      </w:tblGrid>
      <w:tr>
        <w:trPr/>
        <w:tc>
          <w:tcPr>
            <w:tcW w:w="81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2"/>
              </w:rPr>
            </w:pPr>
            <w:r>
              <w:rPr>
                <w:rFonts w:ascii="sans-serif" w:hAnsi="sans-serif"/>
                <w:b w:val="false"/>
                <w:color w:val="000000"/>
                <w:sz w:val="22"/>
              </w:rPr>
              <w:t>Date: May 5, 2026</w:t>
            </w:r>
          </w:p>
        </w:tc>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By:</w:t>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/s/ Gilmore O’Neill</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Gilmore O’Neill</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Chief Executive Officer</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2"/>
              </w:rPr>
            </w:pPr>
            <w:r>
              <w:rPr>
                <w:rFonts w:ascii="sans-serif" w:hAnsi="sans-serif"/>
                <w:b w:val="false"/>
                <w:color w:val="000000"/>
                <w:sz w:val="22"/>
              </w:rPr>
              <w:t>Date: May 5, 2026</w:t>
            </w:r>
          </w:p>
        </w:tc>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By:</w:t>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/s/ Amy Parison</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Amy Parison</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18269</Words>
  <Characters>103981</Characters>
  <CharactersWithSpaces>121233</CharactersWithSpaces>
  <Paragraphs>1572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