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Editas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15,798,999.00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15,798,999.00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15,798,999.00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Consists of (a) 11,111,111 shares of Common Stock and (b) 4,687,888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underlying Common Stock Warrants (the Common Stock Warrants) which are exercisable within 60 days of this Statement. These securities are held of record by TCG Crossover III (as defined in Item 2(a) below). This total excludes 6,423,223 shares of Common Stock subject to Common Stock Warrants which are not exercisable within 60 days of this Statement because the Common Stock Warrants may not be exercised for Common Stock to the extent that doing so would result in the holder of the Common Stock Warrants (together with the holder's affiliates and any other persons acting as a group together with the holder or any of the holder's affiliates) beneficially owning more than 9.99 percent of the shares of Common Stock then outstanding immediately after giving effect to such exercise (the Beneficial Ownership Limitation). TCG Crossover GP III (as defined in Item 2(a) below)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158,149,726 shares, as follows: (a) 153,461,838 shares of Common Stock outstanding as of May 27, 2026, following the underwritten offering that closed on May 27, 2026 (the Offering), as reported by the Issuer (as defined in Item 1(a) below) in its final prospectus filed with the United States Securities and Exchange Commission (the Commission) on May 26, 2026 (the Prospectus), plus (b) 4,687,888 shares of Common Stock underlying Common Stock Warrants which are exercisable within 60 days of this Statement.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15,798,999.00</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62" w:orient="portrait"/>
          <w:cols w:equalWidth="0" w:num="1">
            <w:col w:w="11240"/>
          </w:cols>
          <w:pgMar w:left="320" w:top="102"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15,798,999.00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15,798,999.00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(i) 11,111,111 shares of Common Stock and (ii) 4,687,888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Common Stock Warrants which are exercisable within 60 days of this Statement. These securities are held of record by TCG Crossover III. This total excludes 6,423,223 shares of Common Stock subject to Common Stock Warrants which are not exercisable for Common Stock within 60 days of this Statement due to the Beneficial Ownership Limitation.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158,149,726 shares, as follows: (a) 153,461,838 shares of Common Stock outstanding as of May 27, 2026, following the Offering, as reported by the Issuer in the Prospectus, plus (b) 4,687,888 shares of Common Stock underlying Common Stock Warrants which are exercisable within 60 days of this Statement.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Chen Yu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15,798,999.00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15,798,999.00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80"/>
          </w:cols>
          <w:pgMar w:left="320" w:top="111" w:right="399" w:bottom="32" w:gutter="0" w:footer="0" w:header="0"/>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15,798,999.00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(i) 11,111,111 shares of Common Stock and (ii) 4,687,888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Common Stock Warrants which are exercisable within 60 days of this Statement. These securities are held of record by TCG Crossover III. This total excludes 6,423,223 shares of Common Stock subject to Common Stock Warrants which are not exercisable for Common Stock within 60 days of this Statement due to the Beneficial Ownership Limitation. TCG Crossover GP III is the general partner of TCG Crossover III and may be deemed to have voting, investment, and dispositive power with respect to these securities. Chen Yu is the sole managing member of TCG Crossover GP III and may be deemed to share voting, investment and dispositive power with respect to these securities. Based on 158,149,726 shares, as follows: (a) 153,461,838 shares of Common Stock outstanding as of May 27, 2026, following the Offering, as reported by the Issuer in the Prospectus, plus (b) 4,687,888 shares of Common Stock underlying Common Stock Warrants which are exercisable within 60 days of this Statement.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Editas Medicine,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 Hurley Street, Cambridge, MA 02141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380"/>
        <w:spacing w:after="0" w:line="253" w:lineRule="auto"/>
        <w:rPr>
          <w:sz w:val="20"/>
          <w:szCs w:val="20"/>
          <w:color w:val="auto"/>
        </w:rPr>
      </w:pPr>
      <w:r>
        <w:rPr>
          <w:rFonts w:ascii="Times New Roman" w:cs="Times New Roman" w:eastAsia="Times New Roman" w:hAnsi="Times New Roman"/>
          <w:sz w:val="21"/>
          <w:szCs w:val="21"/>
          <w:color w:val="auto"/>
        </w:rPr>
        <w:t>This joint statement on Schedule 13G is being filed by TCG Crossover Fund III, L.P. (TCG Crossover III), TCG Crossover GP III, LLC (TCG Crossover GP III, and together with TCG Crossover III, the Reporting Entities) and</w:t>
      </w:r>
    </w:p>
    <w:p>
      <w:pPr>
        <w:spacing w:after="0" w:line="1" w:lineRule="exact"/>
        <w:rPr>
          <w:sz w:val="20"/>
          <w:szCs w:val="20"/>
          <w:color w:val="auto"/>
        </w:rPr>
      </w:pPr>
    </w:p>
    <w:p>
      <w:pPr>
        <w:ind w:left="960" w:right="180" w:hanging="912"/>
        <w:spacing w:after="0" w:line="181" w:lineRule="auto"/>
        <w:tabs>
          <w:tab w:leader="none" w:pos="96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w:t>
      </w:r>
    </w:p>
    <w:p>
      <w:pPr>
        <w:ind w:left="960" w:right="120"/>
        <w:spacing w:after="0" w:line="235"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 under the Act is attached to this Statement as Exhibit 1. Other than those securities reported herein as being held directly by such Reporting Person, each Reporting Person disclaims beneficial ownership of all securities reported in this Statement except to the extent of such Reporting Person's pecuniary interest therein.</w:t>
      </w:r>
    </w:p>
    <w:p>
      <w:pPr>
        <w:spacing w:after="0" w:line="15" w:lineRule="exact"/>
        <w:rPr>
          <w:rFonts w:ascii="Times New Roman" w:cs="Times New Roman" w:eastAsia="Times New Roman" w:hAnsi="Times New Roman"/>
          <w:sz w:val="42"/>
          <w:szCs w:val="42"/>
          <w:color w:val="auto"/>
          <w:vertAlign w:val="subscript"/>
        </w:rPr>
      </w:pPr>
    </w:p>
    <w:p>
      <w:pPr>
        <w:ind w:left="96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2"/>
          <w:szCs w:val="42"/>
          <w:color w:val="auto"/>
          <w:vertAlign w:val="subscript"/>
        </w:rPr>
      </w:pPr>
    </w:p>
    <w:p>
      <w:pPr>
        <w:ind w:left="960" w:right="300" w:hanging="912"/>
        <w:spacing w:after="0"/>
        <w:tabs>
          <w:tab w:leader="none" w:pos="96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Reporting Person is 245 Lytton Ave., Suite 350, Palo Alto, CA 94301.</w:t>
      </w:r>
    </w:p>
    <w:p>
      <w:pPr>
        <w:spacing w:after="0" w:line="91"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hanging="912"/>
        <w:spacing w:after="0" w:line="244"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TCG Crossover GP III is a limited liability company organized under the laws of the State of Delaware. TCG Crossover III is a limited partnership organized under the laws of the State of Delaware. The Reporting Individual is a citizen of the United States of America.</w:t>
      </w:r>
    </w:p>
    <w:p>
      <w:pPr>
        <w:sectPr>
          <w:pgSz w:w="11900" w:h="16838" w:orient="portrait"/>
          <w:cols w:equalWidth="0" w:num="1">
            <w:col w:w="11180"/>
          </w:cols>
          <w:pgMar w:left="320" w:top="112" w:right="399" w:bottom="0" w:gutter="0" w:footer="0" w:header="0"/>
        </w:sectPr>
      </w:pPr>
    </w:p>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20"/>
          </w:cols>
          <w:pgMar w:left="320" w:top="112" w:right="399" w:bottom="0" w:gutter="0" w:footer="0" w:header="0"/>
          <w:type w:val="continuous"/>
        </w:sectPr>
      </w:pPr>
    </w:p>
    <w:bookmarkStart w:id="4" w:name="page5"/>
    <w:bookmarkEnd w:id="4"/>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 for each Reporting Person and the corresponding comments.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for each Reporting Person and the corresponding comments.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7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for each Reporting Person and the corresponding comments.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1"/>
          <w:szCs w:val="21"/>
          <w:color w:val="auto"/>
        </w:rPr>
        <w:t>Under certain circumstances set forth in the limited partnership agreement of TCG Crossover III and the limited liability company agreement of TCG Crossover GP III,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p>
      <w:pPr>
        <w:spacing w:after="0" w:line="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2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94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TCG Crossover GP III,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TCG Crossover Fund III, L.P.</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Craig Skaling,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Chen Yu</w:t>
      </w:r>
    </w:p>
    <w:p>
      <w:pPr>
        <w:spacing w:after="0" w:line="152"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Craig Skaling</w:t>
      </w:r>
    </w:p>
    <w:p>
      <w:pPr>
        <w:spacing w:after="0" w:line="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Name/Title: Craig Skaling, as Attorney-in-Fact for Chen Yu</w:t>
      </w:r>
    </w:p>
    <w:p>
      <w:pPr>
        <w:spacing w:after="0" w:line="44" w:lineRule="exact"/>
        <w:rPr>
          <w:sz w:val="20"/>
          <w:szCs w:val="20"/>
          <w:color w:val="auto"/>
        </w:rPr>
      </w:pPr>
    </w:p>
    <w:p>
      <w:pPr>
        <w:ind w:left="538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08" w:lineRule="exact"/>
        <w:rPr>
          <w:sz w:val="20"/>
          <w:szCs w:val="20"/>
          <w:color w:val="auto"/>
        </w:rPr>
      </w:pPr>
    </w:p>
    <w:p>
      <w:pPr>
        <w:jc w:val="center"/>
        <w:ind w:right="81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 Joint Filing Agreement</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5"/>
    </w:lvl>
  </w:abstractNum>
  <w:abstractNum w:abstractNumId="9">
    <w:nsid w:val="216231B"/>
    <w:multiLevelType w:val="hybridMultilevel"/>
    <w:lvl w:ilvl="0">
      <w:lvlJc w:val="left"/>
      <w:lvlText w:val="(%1)"/>
      <w:numFmt w:val="lowerLetter"/>
      <w:start w:val="1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2026-06-03T15:22:11Z</dcterms:created>
  <dcterms:modified xsi:type="dcterms:W3CDTF">2026-06-03T15:22:11Z</dcterms:modified>
</cp:coreProperties>
</file>