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Editas Medicine,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8,226,483.00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8,355,588.00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8,355,588.00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7"/>
        <w:gridCol w:w="9078"/>
      </w:tblGrid>
      <w:tr>
        <w:trPr/>
        <w:tc>
          <w:tcPr>
            <w:tcW w:w="1127"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Editas Medicine, Inc.</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HURLEY ST. CAMBRIDGE MA 02141</w:t>
            </w:r>
          </w:p>
        </w:tc>
      </w:tr>
      <w:tr>
        <w:trPr/>
        <w:tc>
          <w:tcPr>
            <w:tcW w:w="1127"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7"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7"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t xml:space="preserve">CUSIP No.: </w:t>
            </w:r>
          </w:p>
        </w:tc>
      </w:tr>
      <w:tr>
        <w:trPr/>
        <w:tc>
          <w:tcPr>
            <w:tcW w:w="1127"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8355588</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4.97  % </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8226483</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8355588</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27"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Editas Medicine, Inc.. No one person's interest in the common stock of Editas Medicine, Inc. is more than five percent of the total outstanding common shares.</w:t>
            </w:r>
          </w:p>
        </w:tc>
      </w:tr>
      <w:tr>
        <w:trPr/>
        <w:tc>
          <w:tcPr>
            <w:tcW w:w="1127"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7"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r>
        <w:trPr/>
        <w:tc>
          <w:tcPr>
            <w:tcW w:w="1127"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1297</Words>
  <Characters>6793</Characters>
  <CharactersWithSpaces>8008</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