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49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by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w:t>
            </w:r>
          </w:p>
        </w:tc>
        <w:tc>
          <w:tcPr>
            <w:tcW w:w="140" w:type="dxa"/>
            <w:vAlign w:val="bottom"/>
          </w:tcPr>
          <w:p>
            <w:pPr>
              <w:spacing w:after="0"/>
              <w:rPr>
                <w:sz w:val="24"/>
                <w:szCs w:val="24"/>
                <w:color w:val="auto"/>
              </w:rPr>
            </w:pPr>
          </w:p>
        </w:tc>
      </w:tr>
      <w:tr>
        <w:trPr>
          <w:trHeight w:val="309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to the securities has been declared effective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and are not soliciting an</w:t>
            </w:r>
          </w:p>
        </w:tc>
        <w:tc>
          <w:tcPr>
            <w:tcW w:w="140" w:type="dxa"/>
            <w:vAlign w:val="bottom"/>
          </w:tcPr>
          <w:p>
            <w:pPr>
              <w:spacing w:after="0"/>
              <w:rPr>
                <w:sz w:val="24"/>
                <w:szCs w:val="24"/>
                <w:color w:val="auto"/>
              </w:rPr>
            </w:pPr>
          </w:p>
        </w:tc>
      </w:tr>
      <w:tr>
        <w:trPr>
          <w:trHeight w:val="56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relating</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w:t>
            </w:r>
          </w:p>
        </w:tc>
        <w:tc>
          <w:tcPr>
            <w:tcW w:w="140" w:type="dxa"/>
            <w:vAlign w:val="bottom"/>
          </w:tcPr>
          <w:p>
            <w:pPr>
              <w:spacing w:after="0"/>
              <w:rPr>
                <w:sz w:val="24"/>
                <w:szCs w:val="24"/>
                <w:color w:val="auto"/>
              </w:rPr>
            </w:pPr>
          </w:p>
        </w:tc>
      </w:tr>
      <w:tr>
        <w:trPr>
          <w:trHeight w:val="72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statement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are not an</w:t>
            </w:r>
          </w:p>
        </w:tc>
        <w:tc>
          <w:tcPr>
            <w:tcW w:w="140" w:type="dxa"/>
            <w:vAlign w:val="bottom"/>
          </w:tcPr>
          <w:p>
            <w:pPr>
              <w:spacing w:after="0"/>
              <w:rPr>
                <w:sz w:val="24"/>
                <w:szCs w:val="24"/>
                <w:color w:val="auto"/>
              </w:rPr>
            </w:pPr>
          </w:p>
        </w:tc>
      </w:tr>
      <w:tr>
        <w:trPr>
          <w:trHeight w:val="323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 A registration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supplement and the accompanying prospectus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458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supplement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Exchange Commission. This preliminary prospectus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 jurisdiction where the offer or sale is not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spacing w:after="0" w:line="206" w:lineRule="auto"/>
        <w:rPr>
          <w:sz w:val="20"/>
          <w:szCs w:val="20"/>
          <w:color w:val="auto"/>
        </w:rPr>
      </w:pPr>
      <w:r>
        <w:rPr>
          <w:rFonts w:ascii="Times New Roman" w:cs="Times New Roman" w:eastAsia="Times New Roman" w:hAnsi="Times New Roman"/>
          <w:sz w:val="18"/>
          <w:szCs w:val="18"/>
          <w:b w:val="1"/>
          <w:bCs w:val="1"/>
          <w:color w:val="auto"/>
        </w:rPr>
        <w:t> Registration No. 333-277471​</w:t>
      </w:r>
    </w:p>
    <w:p>
      <w:pPr>
        <w:ind w:left="3140"/>
        <w:spacing w:after="0"/>
        <w:rPr>
          <w:sz w:val="20"/>
          <w:szCs w:val="20"/>
          <w:color w:val="auto"/>
        </w:rPr>
      </w:pPr>
      <w:r>
        <w:rPr>
          <w:rFonts w:ascii="Times New Roman" w:cs="Times New Roman" w:eastAsia="Times New Roman" w:hAnsi="Times New Roman"/>
          <w:sz w:val="16"/>
          <w:szCs w:val="16"/>
          <w:b w:val="1"/>
          <w:bCs w:val="1"/>
          <w:color w:val="FC0014"/>
        </w:rPr>
        <w:t>Subject to completion, dated May 26, 2026</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March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1722120</wp:posOffset>
            </wp:positionH>
            <wp:positionV relativeFrom="paragraph">
              <wp:posOffset>90170</wp:posOffset>
            </wp:positionV>
            <wp:extent cx="233172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1720" cy="969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            Shares of Common Stock</w:t>
      </w:r>
    </w:p>
    <w:p>
      <w:pPr>
        <w:spacing w:after="0" w:line="3" w:lineRule="exact"/>
        <w:rPr>
          <w:sz w:val="24"/>
          <w:szCs w:val="24"/>
          <w:color w:val="auto"/>
        </w:rPr>
      </w:pPr>
    </w:p>
    <w:p>
      <w:pPr>
        <w:ind w:left="860" w:right="900" w:firstLine="154"/>
        <w:spacing w:after="0" w:line="256" w:lineRule="auto"/>
        <w:rPr>
          <w:sz w:val="20"/>
          <w:szCs w:val="20"/>
          <w:color w:val="auto"/>
        </w:rPr>
      </w:pPr>
      <w:r>
        <w:rPr>
          <w:rFonts w:ascii="Times New Roman" w:cs="Times New Roman" w:eastAsia="Times New Roman" w:hAnsi="Times New Roman"/>
          <w:sz w:val="24"/>
          <w:szCs w:val="24"/>
          <w:b w:val="1"/>
          <w:bCs w:val="1"/>
          <w:color w:val="auto"/>
        </w:rPr>
        <w:t>Pre-Funded Warrants to Purchase             Shares of Common Stock Common Stock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68580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6" w:lineRule="exact"/>
        <w:rPr>
          <w:sz w:val="24"/>
          <w:szCs w:val="24"/>
          <w:color w:val="auto"/>
        </w:rPr>
      </w:pPr>
    </w:p>
    <w:p>
      <w:pPr>
        <w:ind w:right="240" w:firstLine="360"/>
        <w:spacing w:after="0"/>
        <w:rPr>
          <w:sz w:val="20"/>
          <w:szCs w:val="20"/>
          <w:color w:val="auto"/>
        </w:rPr>
      </w:pPr>
      <w:r>
        <w:rPr>
          <w:rFonts w:ascii="Times New Roman" w:cs="Times New Roman" w:eastAsia="Times New Roman" w:hAnsi="Times New Roman"/>
          <w:sz w:val="16"/>
          <w:szCs w:val="16"/>
          <w:color w:val="auto"/>
        </w:rPr>
        <w:t>We are offering (i)             shares of our common stock and accompanying common stock warrants to purchase shares of our common stock and, (ii) in lieu of common stock to certain investors that so choose, pre-funded warrants to purchase             shares</w:t>
      </w:r>
    </w:p>
    <w:p>
      <w:pPr>
        <w:spacing w:after="0" w:line="1" w:lineRule="exact"/>
        <w:rPr>
          <w:sz w:val="24"/>
          <w:szCs w:val="24"/>
          <w:color w:val="auto"/>
        </w:rPr>
      </w:pPr>
    </w:p>
    <w:p>
      <w:pPr>
        <w:ind w:right="280"/>
        <w:spacing w:after="0" w:line="220" w:lineRule="auto"/>
        <w:rPr>
          <w:sz w:val="20"/>
          <w:szCs w:val="20"/>
          <w:color w:val="auto"/>
        </w:rPr>
      </w:pPr>
      <w:r>
        <w:rPr>
          <w:rFonts w:ascii="Times New Roman" w:cs="Times New Roman" w:eastAsia="Times New Roman" w:hAnsi="Times New Roman"/>
          <w:sz w:val="16"/>
          <w:szCs w:val="16"/>
          <w:color w:val="auto"/>
        </w:rPr>
        <w:t>of our common stock and accompanying common stock warrants to purchase shares of our common stock. Each share of common stock is being offered and sold together with an accompanying common stock warrant to purchase one share of common stock at a</w:t>
      </w:r>
    </w:p>
    <w:p>
      <w:pPr>
        <w:spacing w:after="0" w:line="229" w:lineRule="auto"/>
        <w:rPr>
          <w:sz w:val="20"/>
          <w:szCs w:val="20"/>
          <w:color w:val="auto"/>
        </w:rPr>
      </w:pPr>
      <w:r>
        <w:rPr>
          <w:rFonts w:ascii="Times New Roman" w:cs="Times New Roman" w:eastAsia="Times New Roman" w:hAnsi="Times New Roman"/>
          <w:sz w:val="16"/>
          <w:szCs w:val="16"/>
          <w:color w:val="auto"/>
        </w:rPr>
        <w:t>combined offering price of $            , and each pre-funded warrant is being offered and sold together with an accompanying common</w:t>
      </w:r>
    </w:p>
    <w:p>
      <w:pPr>
        <w:ind w:right="440"/>
        <w:spacing w:after="0" w:line="220" w:lineRule="auto"/>
        <w:rPr>
          <w:sz w:val="20"/>
          <w:szCs w:val="20"/>
          <w:color w:val="auto"/>
        </w:rPr>
      </w:pPr>
      <w:r>
        <w:rPr>
          <w:rFonts w:ascii="Times New Roman" w:cs="Times New Roman" w:eastAsia="Times New Roman" w:hAnsi="Times New Roman"/>
          <w:sz w:val="16"/>
          <w:szCs w:val="16"/>
          <w:color w:val="auto"/>
        </w:rPr>
        <w:t>stock warrant to purchase one share of common stock at a combined offering price of $            , which is equal to the combined offering price per share of common stock and accompanying common stock warrant less the $0.0001 exercise price of each pre-</w:t>
      </w:r>
    </w:p>
    <w:p>
      <w:pPr>
        <w:spacing w:after="0" w:line="229" w:lineRule="auto"/>
        <w:rPr>
          <w:sz w:val="20"/>
          <w:szCs w:val="20"/>
          <w:color w:val="auto"/>
        </w:rPr>
      </w:pPr>
      <w:r>
        <w:rPr>
          <w:rFonts w:ascii="Times New Roman" w:cs="Times New Roman" w:eastAsia="Times New Roman" w:hAnsi="Times New Roman"/>
          <w:sz w:val="16"/>
          <w:szCs w:val="16"/>
          <w:color w:val="auto"/>
        </w:rPr>
        <w:t>funded warrant. Furthermore, to the extent that specified limitations described in the section “Description of Securities We Are</w:t>
      </w:r>
    </w:p>
    <w:p>
      <w:pPr>
        <w:ind w:right="240"/>
        <w:spacing w:after="0" w:line="220" w:lineRule="auto"/>
        <w:rPr>
          <w:sz w:val="20"/>
          <w:szCs w:val="20"/>
          <w:color w:val="auto"/>
        </w:rPr>
      </w:pPr>
      <w:r>
        <w:rPr>
          <w:rFonts w:ascii="Times New Roman" w:cs="Times New Roman" w:eastAsia="Times New Roman" w:hAnsi="Times New Roman"/>
          <w:sz w:val="16"/>
          <w:szCs w:val="16"/>
          <w:color w:val="auto"/>
        </w:rPr>
        <w:t>Offering” restrict the exercise of the common stock warrants, the holder may choose, in lieu of receiving common stock upon exercise of a common stock warrant, to receive a pre-funded warrant to purchase an identical number of shares of common stock it</w:t>
      </w:r>
    </w:p>
    <w:p>
      <w:pPr>
        <w:spacing w:after="0" w:line="229" w:lineRule="auto"/>
        <w:rPr>
          <w:sz w:val="20"/>
          <w:szCs w:val="20"/>
          <w:color w:val="auto"/>
        </w:rPr>
      </w:pPr>
      <w:r>
        <w:rPr>
          <w:rFonts w:ascii="Times New Roman" w:cs="Times New Roman" w:eastAsia="Times New Roman" w:hAnsi="Times New Roman"/>
          <w:sz w:val="16"/>
          <w:szCs w:val="16"/>
          <w:color w:val="auto"/>
        </w:rPr>
        <w:t>would have received upon the exercise of its common stock warrants, except that the applicable exercise price shall instead be the</w:t>
      </w:r>
    </w:p>
    <w:p>
      <w:pPr>
        <w:ind w:right="220"/>
        <w:spacing w:after="0" w:line="220" w:lineRule="auto"/>
        <w:rPr>
          <w:sz w:val="20"/>
          <w:szCs w:val="20"/>
          <w:color w:val="auto"/>
        </w:rPr>
      </w:pPr>
      <w:r>
        <w:rPr>
          <w:rFonts w:ascii="Times New Roman" w:cs="Times New Roman" w:eastAsia="Times New Roman" w:hAnsi="Times New Roman"/>
          <w:sz w:val="16"/>
          <w:szCs w:val="16"/>
          <w:color w:val="auto"/>
        </w:rPr>
        <w:t>exercise price less $0.0001 per share, and the resulting issued pre-funded warrant shall have an exercise price of $0.0001 per share. This prospectus supplement also relates to the offering of the shares of our common stock issuable upon the exercise of such pre-</w:t>
      </w:r>
    </w:p>
    <w:p>
      <w:pPr>
        <w:spacing w:after="0"/>
        <w:rPr>
          <w:sz w:val="20"/>
          <w:szCs w:val="20"/>
          <w:color w:val="auto"/>
        </w:rPr>
      </w:pPr>
      <w:r>
        <w:rPr>
          <w:rFonts w:ascii="Times New Roman" w:cs="Times New Roman" w:eastAsia="Times New Roman" w:hAnsi="Times New Roman"/>
          <w:sz w:val="16"/>
          <w:szCs w:val="16"/>
          <w:color w:val="auto"/>
        </w:rPr>
        <w:t>funded warrants and common stock warrants.</w:t>
      </w:r>
    </w:p>
    <w:p>
      <w:pPr>
        <w:spacing w:after="0" w:line="4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shares of common stock and the pre-funded warrants, on the one hand, and the accompanying common stock warrants, on</w:t>
      </w:r>
    </w:p>
    <w:p>
      <w:pPr>
        <w:spacing w:after="0" w:line="10" w:lineRule="exact"/>
        <w:rPr>
          <w:sz w:val="24"/>
          <w:szCs w:val="24"/>
          <w:color w:val="auto"/>
        </w:rPr>
      </w:pPr>
    </w:p>
    <w:p>
      <w:pPr>
        <w:ind w:right="80"/>
        <w:spacing w:after="0" w:line="220" w:lineRule="auto"/>
        <w:rPr>
          <w:sz w:val="20"/>
          <w:szCs w:val="20"/>
          <w:color w:val="auto"/>
        </w:rPr>
      </w:pPr>
      <w:r>
        <w:rPr>
          <w:rFonts w:ascii="Times New Roman" w:cs="Times New Roman" w:eastAsia="Times New Roman" w:hAnsi="Times New Roman"/>
          <w:sz w:val="16"/>
          <w:szCs w:val="16"/>
          <w:color w:val="auto"/>
        </w:rPr>
        <w:t>the other hand, are immediately separable and will be issued separately, but can only be purchased together in this offering. Each common stock warrant will have an exercise price per share of common stock equal to $             and will be exercisable from the date</w:t>
      </w:r>
    </w:p>
    <w:p>
      <w:pPr>
        <w:spacing w:after="0" w:line="229" w:lineRule="auto"/>
        <w:rPr>
          <w:sz w:val="20"/>
          <w:szCs w:val="20"/>
          <w:color w:val="auto"/>
        </w:rPr>
      </w:pPr>
      <w:r>
        <w:rPr>
          <w:rFonts w:ascii="Times New Roman" w:cs="Times New Roman" w:eastAsia="Times New Roman" w:hAnsi="Times New Roman"/>
          <w:sz w:val="16"/>
          <w:szCs w:val="16"/>
          <w:color w:val="auto"/>
        </w:rPr>
        <w:t>of issuance, subject to the ownership limitation described in this prospectus supplement, and will expire on the earlier of (i) the date</w:t>
      </w:r>
    </w:p>
    <w:p>
      <w:pPr>
        <w:ind w:right="380"/>
        <w:spacing w:after="0" w:line="220" w:lineRule="auto"/>
        <w:rPr>
          <w:sz w:val="20"/>
          <w:szCs w:val="20"/>
          <w:color w:val="auto"/>
        </w:rPr>
      </w:pPr>
      <w:r>
        <w:rPr>
          <w:rFonts w:ascii="Times New Roman" w:cs="Times New Roman" w:eastAsia="Times New Roman" w:hAnsi="Times New Roman"/>
          <w:sz w:val="16"/>
          <w:szCs w:val="16"/>
          <w:color w:val="auto"/>
        </w:rPr>
        <w:t>that is 30 days following the first public announcement by us of Phase 1 clinical data for our product candidate, EDIT-401, that discloses at least three patients in the trial that each demonstrated greater than 80% reduction in LDL -cholesterol as compared to</w:t>
      </w:r>
    </w:p>
    <w:p>
      <w:pPr>
        <w:spacing w:after="0" w:line="229" w:lineRule="auto"/>
        <w:rPr>
          <w:sz w:val="20"/>
          <w:szCs w:val="20"/>
          <w:color w:val="auto"/>
        </w:rPr>
      </w:pPr>
      <w:r>
        <w:rPr>
          <w:rFonts w:ascii="Times New Roman" w:cs="Times New Roman" w:eastAsia="Times New Roman" w:hAnsi="Times New Roman"/>
          <w:sz w:val="16"/>
          <w:szCs w:val="16"/>
          <w:color w:val="auto"/>
        </w:rPr>
        <w:t>baseline with at least one (1) month of follow-up and (ii) the date that is three years after the date of issuance. Each pre-funded</w:t>
      </w:r>
    </w:p>
    <w:p>
      <w:pPr>
        <w:ind w:right="60"/>
        <w:spacing w:after="0" w:line="231" w:lineRule="auto"/>
        <w:rPr>
          <w:sz w:val="20"/>
          <w:szCs w:val="20"/>
          <w:color w:val="auto"/>
        </w:rPr>
      </w:pPr>
      <w:r>
        <w:rPr>
          <w:rFonts w:ascii="Times New Roman" w:cs="Times New Roman" w:eastAsia="Times New Roman" w:hAnsi="Times New Roman"/>
          <w:sz w:val="16"/>
          <w:szCs w:val="16"/>
          <w:color w:val="auto"/>
        </w:rPr>
        <w:t>warrant will have an exercise price per share of common stock equal to $0.0001 and will be exercisable from the date of issuance and will expire on the date the warrant is exercised in full, subject to the ownership limitation described in this prospectus supplement.</w:t>
      </w:r>
    </w:p>
    <w:p>
      <w:pPr>
        <w:spacing w:after="0" w:line="31" w:lineRule="exact"/>
        <w:rPr>
          <w:sz w:val="24"/>
          <w:szCs w:val="24"/>
          <w:color w:val="auto"/>
        </w:rPr>
      </w:pPr>
    </w:p>
    <w:p>
      <w:pPr>
        <w:ind w:right="420" w:firstLine="360"/>
        <w:spacing w:after="0" w:line="265" w:lineRule="auto"/>
        <w:rPr>
          <w:sz w:val="20"/>
          <w:szCs w:val="20"/>
          <w:color w:val="auto"/>
        </w:rPr>
      </w:pPr>
      <w:r>
        <w:rPr>
          <w:rFonts w:ascii="Times New Roman" w:cs="Times New Roman" w:eastAsia="Times New Roman" w:hAnsi="Times New Roman"/>
          <w:sz w:val="16"/>
          <w:szCs w:val="16"/>
          <w:b w:val="1"/>
          <w:bCs w:val="1"/>
          <w:color w:val="auto"/>
        </w:rPr>
        <w:t>Our common stock is listed on The Nasdaq Global Select Market under the symbol “EDIT.” The last reported sale price of our common stock on The Nasdaq Global Select Market on May 22, 2026 was $2.76 per share.</w:t>
      </w:r>
    </w:p>
    <w:p>
      <w:pPr>
        <w:spacing w:after="0" w:line="12" w:lineRule="exact"/>
        <w:rPr>
          <w:sz w:val="24"/>
          <w:szCs w:val="24"/>
          <w:color w:val="auto"/>
        </w:rPr>
      </w:pPr>
    </w:p>
    <w:p>
      <w:pPr>
        <w:ind w:right="260" w:firstLine="36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Investing in our securities involves risks. See “Risk Factors” beginning on page </w:t>
      </w:r>
      <w:r>
        <w:rPr>
          <w:rFonts w:ascii="Times New Roman" w:cs="Times New Roman" w:eastAsia="Times New Roman" w:hAnsi="Times New Roman"/>
          <w:sz w:val="16"/>
          <w:szCs w:val="16"/>
          <w:b w:val="1"/>
          <w:bCs w:val="1"/>
          <w:u w:val="single" w:color="auto"/>
          <w:color w:val="0000EE"/>
        </w:rPr>
        <w:t>S-7</w:t>
      </w:r>
      <w:r>
        <w:rPr>
          <w:rFonts w:ascii="Times New Roman" w:cs="Times New Roman" w:eastAsia="Times New Roman" w:hAnsi="Times New Roman"/>
          <w:sz w:val="16"/>
          <w:szCs w:val="16"/>
          <w:b w:val="1"/>
          <w:bCs w:val="1"/>
          <w:color w:val="auto"/>
        </w:rPr>
        <w:t xml:space="preserve"> of this prospectus supplement, as well as those contained in the accompanying prospectus and in the documents incorporated by reference herein.</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 SHARE OF COMMON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 PRE-FUNDED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7"/>
              </w:rPr>
              <w:t>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WARRANT AND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8"/>
              </w:rPr>
              <w:t>AND ACCOMPANYING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ACCOMPANYING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 COMMON STOCK WARRANT ​ ​ COMMON STOCK WARRANT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440" w:type="dxa"/>
            <w:vAlign w:val="bottom"/>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1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xml:space="preserve">​$                  </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 ​</w:t>
            </w:r>
          </w:p>
        </w:tc>
        <w:tc>
          <w:tcPr>
            <w:tcW w:w="208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xml:space="preserve">​$                  </w:t>
            </w:r>
          </w:p>
        </w:tc>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 ​​$                  </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19"/>
                <w:szCs w:val="19"/>
                <w:color w:val="auto"/>
                <w:vertAlign w:val="superscript"/>
              </w:rPr>
              <w:t>(1)</w:t>
            </w:r>
          </w:p>
        </w:tc>
        <w:tc>
          <w:tcPr>
            <w:tcW w:w="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19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 ​</w:t>
            </w:r>
          </w:p>
        </w:tc>
        <w:tc>
          <w:tcPr>
            <w:tcW w:w="20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7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1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 ​</w:t>
            </w:r>
          </w:p>
        </w:tc>
        <w:tc>
          <w:tcPr>
            <w:tcW w:w="208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72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5073650</wp:posOffset>
            </wp:positionH>
            <wp:positionV relativeFrom="paragraph">
              <wp:posOffset>-427990</wp:posOffset>
            </wp:positionV>
            <wp:extent cx="137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-427990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-427990</wp:posOffset>
            </wp:positionV>
            <wp:extent cx="2314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145415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8" w:lineRule="exact"/>
        <w:rPr>
          <w:sz w:val="24"/>
          <w:szCs w:val="24"/>
          <w:color w:val="auto"/>
        </w:rPr>
      </w:pPr>
    </w:p>
    <w:p>
      <w:pPr>
        <w:ind w:left="360" w:right="160" w:hanging="360"/>
        <w:spacing w:after="0" w:line="280" w:lineRule="auto"/>
        <w:tabs>
          <w:tab w:leader="none" w:pos="3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“Underwriting” beginning on page </w:t>
      </w:r>
      <w:r>
        <w:rPr>
          <w:rFonts w:ascii="Times New Roman" w:cs="Times New Roman" w:eastAsia="Times New Roman" w:hAnsi="Times New Roman"/>
          <w:sz w:val="16"/>
          <w:szCs w:val="16"/>
          <w:u w:val="single" w:color="auto"/>
          <w:color w:val="0000EE"/>
        </w:rPr>
        <w:t>S-22</w:t>
      </w:r>
      <w:r>
        <w:rPr>
          <w:rFonts w:ascii="Times New Roman" w:cs="Times New Roman" w:eastAsia="Times New Roman" w:hAnsi="Times New Roman"/>
          <w:sz w:val="16"/>
          <w:szCs w:val="16"/>
          <w:color w:val="auto"/>
        </w:rPr>
        <w:t xml:space="preserve"> of this prospectus supplement for a description of all compensation payable to the underwriters.</w:t>
      </w:r>
    </w:p>
    <w:p>
      <w:pPr>
        <w:spacing w:after="0" w:line="16" w:lineRule="exact"/>
        <w:rPr>
          <w:sz w:val="24"/>
          <w:szCs w:val="24"/>
          <w:color w:val="auto"/>
        </w:rPr>
      </w:pPr>
    </w:p>
    <w:p>
      <w:pPr>
        <w:ind w:right="200" w:firstLine="360"/>
        <w:spacing w:after="0" w:line="263" w:lineRule="auto"/>
        <w:rPr>
          <w:sz w:val="20"/>
          <w:szCs w:val="20"/>
          <w:color w:val="auto"/>
        </w:rPr>
      </w:pPr>
      <w:r>
        <w:rPr>
          <w:rFonts w:ascii="Times New Roman" w:cs="Times New Roman" w:eastAsia="Times New Roman" w:hAnsi="Times New Roman"/>
          <w:sz w:val="16"/>
          <w:szCs w:val="16"/>
          <w:color w:val="auto"/>
        </w:rPr>
        <w:t>We are a “smaller reporting company” under applicable Securities and Exchange Commission rules and are subject to reduced public company reporting requirements. See “Prospectus Summary — Implications of Being a Smaller Reporting Company.”</w:t>
      </w:r>
    </w:p>
    <w:p>
      <w:pPr>
        <w:spacing w:after="0" w:line="1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w:t>
      </w:r>
    </w:p>
    <w:p>
      <w:pPr>
        <w:spacing w:after="0" w:line="12" w:lineRule="exact"/>
        <w:rPr>
          <w:sz w:val="24"/>
          <w:szCs w:val="24"/>
          <w:color w:val="auto"/>
        </w:rPr>
      </w:pPr>
    </w:p>
    <w:p>
      <w:pPr>
        <w:ind w:right="540"/>
        <w:spacing w:after="0" w:line="231" w:lineRule="auto"/>
        <w:rPr>
          <w:sz w:val="20"/>
          <w:szCs w:val="20"/>
          <w:color w:val="auto"/>
        </w:rPr>
      </w:pPr>
      <w:r>
        <w:rPr>
          <w:rFonts w:ascii="Times New Roman" w:cs="Times New Roman" w:eastAsia="Times New Roman" w:hAnsi="Times New Roman"/>
          <w:sz w:val="16"/>
          <w:szCs w:val="16"/>
          <w:b w:val="1"/>
          <w:bCs w:val="1"/>
          <w:color w:val="auto"/>
        </w:rPr>
        <w:t>securities or passed upon the adequacy or accuracy of this prospectus supplement. Any representation to the contrary is a criminal offense.</w:t>
      </w:r>
    </w:p>
    <w:p>
      <w:pPr>
        <w:spacing w:after="0" w:line="33" w:lineRule="exact"/>
        <w:rPr>
          <w:sz w:val="24"/>
          <w:szCs w:val="24"/>
          <w:color w:val="auto"/>
        </w:rPr>
      </w:pPr>
    </w:p>
    <w:p>
      <w:pPr>
        <w:ind w:right="440" w:firstLine="360"/>
        <w:spacing w:after="0" w:line="263" w:lineRule="auto"/>
        <w:rPr>
          <w:sz w:val="20"/>
          <w:szCs w:val="20"/>
          <w:color w:val="auto"/>
        </w:rPr>
      </w:pPr>
      <w:r>
        <w:rPr>
          <w:rFonts w:ascii="Times New Roman" w:cs="Times New Roman" w:eastAsia="Times New Roman" w:hAnsi="Times New Roman"/>
          <w:sz w:val="16"/>
          <w:szCs w:val="16"/>
          <w:color w:val="auto"/>
        </w:rPr>
        <w:t>The underwriters expect to deliver the shares of common stock, pre-funded warrants and the accompanying common stock warrants against payment on or about May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86995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7" w:lineRule="exact"/>
        <w:rPr>
          <w:sz w:val="24"/>
          <w:szCs w:val="24"/>
          <w:color w:val="auto"/>
        </w:rPr>
      </w:pPr>
    </w:p>
    <w:p>
      <w:pPr>
        <w:ind w:left="1440"/>
        <w:spacing w:after="0"/>
        <w:tabs>
          <w:tab w:leader="none" w:pos="2500" w:val="left"/>
          <w:tab w:leader="none" w:pos="4480" w:val="left"/>
        </w:tabs>
        <w:rPr>
          <w:sz w:val="20"/>
          <w:szCs w:val="20"/>
          <w:color w:val="auto"/>
        </w:rPr>
      </w:pP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Cantor</w:t>
      </w:r>
      <w:r>
        <w:rPr>
          <w:sz w:val="20"/>
          <w:szCs w:val="20"/>
          <w:color w:val="auto"/>
        </w:rPr>
        <w:tab/>
      </w:r>
      <w:r>
        <w:rPr>
          <w:rFonts w:ascii="Times New Roman" w:cs="Times New Roman" w:eastAsia="Times New Roman" w:hAnsi="Times New Roman"/>
          <w:sz w:val="29"/>
          <w:szCs w:val="29"/>
          <w:b w:val="1"/>
          <w:bCs w:val="1"/>
          <w:color w:val="auto"/>
        </w:rPr>
        <w:t>​​ Wells Fargo Securities ​</w:t>
      </w:r>
    </w:p>
    <w:p>
      <w:pPr>
        <w:spacing w:after="0" w:line="200" w:lineRule="exact"/>
        <w:rPr>
          <w:sz w:val="24"/>
          <w:szCs w:val="24"/>
          <w:color w:val="auto"/>
        </w:rPr>
      </w:pPr>
    </w:p>
    <w:p>
      <w:pPr>
        <w:sectPr>
          <w:pgSz w:w="11900" w:h="16838" w:orient="portrait"/>
          <w:cols w:equalWidth="0" w:num="2">
            <w:col w:w="900" w:space="240"/>
            <w:col w:w="9140"/>
          </w:cols>
          <w:pgMar w:left="580" w:top="205" w:right="1039" w:bottom="1440" w:gutter="0" w:footer="0" w:header="0"/>
          <w:type w:val="continuous"/>
        </w:sectPr>
      </w:pPr>
    </w:p>
    <w:p>
      <w:pPr>
        <w:spacing w:after="0" w:line="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The date of this prospectus supplement is 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68065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WE ARE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MATERIAL U.S. FEDERAL TAX CONSIDERATIONS HOLDERS OF COMMON STOCK, PRE-</w:t>
      </w:r>
    </w:p>
    <w:p>
      <w:pPr>
        <w:spacing w:after="0" w:line="23" w:lineRule="exact"/>
        <w:rPr>
          <w:sz w:val="20"/>
          <w:szCs w:val="20"/>
          <w:color w:val="auto"/>
        </w:rPr>
      </w:pPr>
    </w:p>
    <w:p>
      <w:pPr>
        <w:ind w:left="1440" w:hanging="180"/>
        <w:spacing w:after="0"/>
        <w:tabs>
          <w:tab w:leader="none" w:pos="1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FUNDED WARRANTS OR COMMON STOCK WARRANTS</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auto"/>
        </w:rPr>
      </w:pPr>
    </w:p>
    <w:p>
      <w:pPr>
        <w:ind w:left="1260" w:right="60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1849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570" w:lineRule="exact"/>
        <w:rPr>
          <w:sz w:val="20"/>
          <w:szCs w:val="20"/>
          <w:color w:val="auto"/>
        </w:rPr>
      </w:pPr>
    </w:p>
    <w:p>
      <w:pPr>
        <w:sectPr>
          <w:pgSz w:w="11900" w:h="16838" w:orient="portrait"/>
          <w:cols w:equalWidth="0" w:num="2">
            <w:col w:w="8760" w:space="180"/>
            <w:col w:w="9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7"/>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ABOUT THIS PROSPECTUS</w:t>
            </w:r>
          </w:p>
        </w:tc>
        <w:tc>
          <w:tcPr>
            <w:tcW w:w="4260" w:type="dxa"/>
            <w:vAlign w:val="bottom"/>
            <w:gridSpan w:val="3"/>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180" w:type="dxa"/>
            <w:vAlign w:val="bottom"/>
            <w:gridSpan w:val="2"/>
            <w:vMerge w:val="restart"/>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40" w:type="dxa"/>
            <w:vAlign w:val="bottom"/>
            <w:gridSpan w:val="1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1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INCORPORAITON BY REFERENCE</w:t>
            </w:r>
          </w:p>
        </w:tc>
        <w:tc>
          <w:tcPr>
            <w:tcW w:w="4180" w:type="dxa"/>
            <w:vAlign w:val="bottom"/>
            <w:gridSpan w:val="2"/>
            <w:vMerge w:val="restart"/>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20" w:type="dxa"/>
            <w:vAlign w:val="bottom"/>
            <w:tcBorders>
              <w:bottom w:val="single" w:sz="8" w:color="CCEEFF"/>
              <w:right w:val="single" w:sz="8" w:color="CCEEFF"/>
            </w:tcBorders>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180" w:type="dxa"/>
            <w:vAlign w:val="bottom"/>
            <w:gridSpan w:val="2"/>
            <w:vMerge w:val="restart"/>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tcBorders>
              <w:right w:val="single" w:sz="8" w:color="0000EE"/>
            </w:tcBorders>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180" w:type="dxa"/>
            <w:vAlign w:val="bottom"/>
            <w:gridSpan w:val="2"/>
            <w:vMerge w:val="restart"/>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0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4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EDITAS MEDICINE, INC.</w:t>
            </w:r>
          </w:p>
        </w:tc>
        <w:tc>
          <w:tcPr>
            <w:tcW w:w="4180" w:type="dxa"/>
            <w:vAlign w:val="bottom"/>
            <w:gridSpan w:val="2"/>
            <w:vMerge w:val="restart"/>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180" w:type="dxa"/>
            <w:vAlign w:val="bottom"/>
            <w:gridSpan w:val="2"/>
            <w:vMerge w:val="restart"/>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64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460" w:type="dxa"/>
            <w:vAlign w:val="bottom"/>
            <w:tcBorders>
              <w:bottom w:val="single" w:sz="8" w:color="CCEEFF"/>
              <w:right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4180" w:type="dxa"/>
            <w:vAlign w:val="bottom"/>
            <w:gridSpan w:val="2"/>
            <w:vMerge w:val="restart"/>
          </w:tcPr>
          <w:p>
            <w:pPr>
              <w:ind w:left="3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4260" w:type="dxa"/>
            <w:vAlign w:val="bottom"/>
            <w:gridSpan w:val="3"/>
            <w:shd w:val="clear" w:color="auto" w:fill="CCEEFF"/>
          </w:tcPr>
          <w:p>
            <w:pPr>
              <w:ind w:left="4080"/>
              <w:spacing w:after="0"/>
              <w:rPr>
                <w:sz w:val="20"/>
                <w:szCs w:val="20"/>
                <w:color w:val="auto"/>
              </w:rPr>
            </w:pPr>
            <w:r>
              <w:rPr>
                <w:rFonts w:ascii="Times New Roman" w:cs="Times New Roman" w:eastAsia="Times New Roman" w:hAnsi="Times New Roman"/>
                <w:sz w:val="18"/>
                <w:szCs w:val="18"/>
                <w:color w:val="0000EE"/>
                <w:w w:val="77"/>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20" w:type="dxa"/>
            <w:vAlign w:val="bottom"/>
            <w:tcBorders>
              <w:bottom w:val="single" w:sz="8" w:color="CCEEFF"/>
              <w:right w:val="single" w:sz="8" w:color="0000EE"/>
            </w:tcBorders>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80" w:type="dxa"/>
            <w:vAlign w:val="bottom"/>
            <w:tcBorders>
              <w:bottom w:val="single" w:sz="8" w:color="CCEEFF"/>
            </w:tcBorders>
            <w:shd w:val="clear" w:color="auto" w:fill="CCEEFF"/>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DEPOSITARY SHARES</w:t>
            </w:r>
          </w:p>
        </w:tc>
        <w:tc>
          <w:tcPr>
            <w:tcW w:w="426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SUBSCRIPTION RIGHTS</w:t>
            </w:r>
          </w:p>
        </w:tc>
        <w:tc>
          <w:tcPr>
            <w:tcW w:w="4260" w:type="dxa"/>
            <w:vAlign w:val="bottom"/>
            <w:gridSpan w:val="3"/>
            <w:shd w:val="clear" w:color="auto" w:fill="CCEEFF"/>
          </w:tcPr>
          <w:p>
            <w:pPr>
              <w:ind w:left="4080"/>
              <w:spacing w:after="0"/>
              <w:rPr>
                <w:sz w:val="20"/>
                <w:szCs w:val="20"/>
                <w:color w:val="auto"/>
              </w:rPr>
            </w:pPr>
            <w:r>
              <w:rPr>
                <w:rFonts w:ascii="Times New Roman" w:cs="Times New Roman" w:eastAsia="Times New Roman" w:hAnsi="Times New Roman"/>
                <w:sz w:val="18"/>
                <w:szCs w:val="18"/>
                <w:color w:val="0000EE"/>
                <w:w w:val="77"/>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80" w:type="dxa"/>
            <w:vAlign w:val="bottom"/>
            <w:tcBorders>
              <w:bottom w:val="single" w:sz="8" w:color="CCEEFF"/>
            </w:tcBorders>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80" w:type="dxa"/>
            <w:vAlign w:val="bottom"/>
            <w:tcBorders>
              <w:bottom w:val="single" w:sz="8" w:color="CCEEFF"/>
            </w:tcBorders>
            <w:shd w:val="clear" w:color="auto" w:fill="CCEEFF"/>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PURCHASE CONTRACTS</w:t>
            </w:r>
          </w:p>
        </w:tc>
        <w:tc>
          <w:tcPr>
            <w:tcW w:w="426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0000EE"/>
                <w:w w:val="77"/>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Pr>
          <w:p>
            <w:pPr>
              <w:spacing w:after="0"/>
              <w:rPr>
                <w:sz w:val="2"/>
                <w:szCs w:val="2"/>
                <w:color w:val="auto"/>
              </w:rPr>
            </w:pPr>
          </w:p>
        </w:tc>
        <w:tc>
          <w:tcPr>
            <w:tcW w:w="4080" w:type="dxa"/>
            <w:vAlign w:val="bottom"/>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4260" w:type="dxa"/>
            <w:vAlign w:val="bottom"/>
            <w:gridSpan w:val="3"/>
            <w:shd w:val="clear" w:color="auto" w:fill="CCEEFF"/>
          </w:tcPr>
          <w:p>
            <w:pPr>
              <w:ind w:left="4080"/>
              <w:spacing w:after="0"/>
              <w:rPr>
                <w:sz w:val="20"/>
                <w:szCs w:val="20"/>
                <w:color w:val="auto"/>
              </w:rPr>
            </w:pPr>
            <w:r>
              <w:rPr>
                <w:rFonts w:ascii="Times New Roman" w:cs="Times New Roman" w:eastAsia="Times New Roman" w:hAnsi="Times New Roman"/>
                <w:sz w:val="18"/>
                <w:szCs w:val="18"/>
                <w:color w:val="0000EE"/>
                <w:w w:val="77"/>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56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380" w:type="dxa"/>
            <w:vAlign w:val="bottom"/>
            <w:tcBorders>
              <w:bottom w:val="single" w:sz="8" w:color="CCEEFF"/>
            </w:tcBorders>
            <w:gridSpan w:val="6"/>
            <w:shd w:val="clear" w:color="auto" w:fill="CCEEFF"/>
          </w:tcPr>
          <w:p>
            <w:pPr>
              <w:spacing w:after="0"/>
              <w:rPr>
                <w:sz w:val="2"/>
                <w:szCs w:val="2"/>
                <w:color w:val="auto"/>
              </w:rPr>
            </w:pPr>
          </w:p>
        </w:tc>
        <w:tc>
          <w:tcPr>
            <w:tcW w:w="4080" w:type="dxa"/>
            <w:vAlign w:val="bottom"/>
            <w:tcBorders>
              <w:bottom w:val="single" w:sz="8" w:color="CCEEFF"/>
            </w:tcBorders>
            <w:shd w:val="clear" w:color="auto" w:fill="CCEEFF"/>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426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0000EE"/>
                <w:w w:val="77"/>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0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1820" w:type="dxa"/>
            <w:vAlign w:val="bottom"/>
            <w:gridSpan w:val="8"/>
          </w:tcPr>
          <w:p>
            <w:pPr>
              <w:spacing w:after="0"/>
              <w:rPr>
                <w:sz w:val="2"/>
                <w:szCs w:val="2"/>
                <w:color w:val="auto"/>
              </w:rPr>
            </w:pPr>
          </w:p>
        </w:tc>
        <w:tc>
          <w:tcPr>
            <w:tcW w:w="4080" w:type="dxa"/>
            <w:vAlign w:val="bottom"/>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4260" w:type="dxa"/>
            <w:vAlign w:val="bottom"/>
            <w:gridSpan w:val="3"/>
            <w:shd w:val="clear" w:color="auto" w:fill="CCEEFF"/>
          </w:tcPr>
          <w:p>
            <w:pPr>
              <w:ind w:left="4080"/>
              <w:spacing w:after="0"/>
              <w:rPr>
                <w:sz w:val="20"/>
                <w:szCs w:val="20"/>
                <w:color w:val="auto"/>
              </w:rPr>
            </w:pPr>
            <w:r>
              <w:rPr>
                <w:rFonts w:ascii="Times New Roman" w:cs="Times New Roman" w:eastAsia="Times New Roman" w:hAnsi="Times New Roman"/>
                <w:sz w:val="18"/>
                <w:szCs w:val="18"/>
                <w:color w:val="0000EE"/>
                <w:w w:val="77"/>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2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bottom w:val="single" w:sz="8" w:color="CCEEFF"/>
            </w:tcBorders>
            <w:gridSpan w:val="3"/>
            <w:shd w:val="clear" w:color="auto" w:fill="CCEEFF"/>
          </w:tcPr>
          <w:p>
            <w:pPr>
              <w:spacing w:after="0"/>
              <w:rPr>
                <w:sz w:val="2"/>
                <w:szCs w:val="2"/>
                <w:color w:val="auto"/>
              </w:rPr>
            </w:pPr>
          </w:p>
        </w:tc>
        <w:tc>
          <w:tcPr>
            <w:tcW w:w="1820" w:type="dxa"/>
            <w:vAlign w:val="bottom"/>
            <w:tcBorders>
              <w:bottom w:val="single" w:sz="8" w:color="CCEEFF"/>
            </w:tcBorders>
            <w:gridSpan w:val="8"/>
            <w:shd w:val="clear" w:color="auto" w:fill="CCEEFF"/>
          </w:tcPr>
          <w:p>
            <w:pPr>
              <w:spacing w:after="0"/>
              <w:rPr>
                <w:sz w:val="2"/>
                <w:szCs w:val="2"/>
                <w:color w:val="auto"/>
              </w:rPr>
            </w:pPr>
          </w:p>
        </w:tc>
        <w:tc>
          <w:tcPr>
            <w:tcW w:w="4080" w:type="dxa"/>
            <w:vAlign w:val="bottom"/>
            <w:tcBorders>
              <w:bottom w:val="single" w:sz="8" w:color="CCEEFF"/>
            </w:tcBorders>
            <w:shd w:val="clear" w:color="auto" w:fill="CCEEFF"/>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6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0000EE"/>
                <w:w w:val="77"/>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20" w:type="dxa"/>
            <w:vAlign w:val="bottom"/>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20" w:type="dxa"/>
            <w:vAlign w:val="bottom"/>
            <w:gridSpan w:val="8"/>
          </w:tcPr>
          <w:p>
            <w:pPr>
              <w:spacing w:after="0"/>
              <w:rPr>
                <w:sz w:val="2"/>
                <w:szCs w:val="2"/>
                <w:color w:val="auto"/>
              </w:rPr>
            </w:pPr>
          </w:p>
        </w:tc>
        <w:tc>
          <w:tcPr>
            <w:tcW w:w="4080" w:type="dxa"/>
            <w:vAlign w:val="bottom"/>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260" w:type="dxa"/>
            <w:vAlign w:val="bottom"/>
            <w:gridSpan w:val="3"/>
            <w:shd w:val="clear" w:color="auto" w:fill="CCEEFF"/>
          </w:tcPr>
          <w:p>
            <w:pPr>
              <w:ind w:left="4080"/>
              <w:spacing w:after="0"/>
              <w:rPr>
                <w:sz w:val="20"/>
                <w:szCs w:val="20"/>
                <w:color w:val="auto"/>
              </w:rPr>
            </w:pPr>
            <w:r>
              <w:rPr>
                <w:rFonts w:ascii="Times New Roman" w:cs="Times New Roman" w:eastAsia="Times New Roman" w:hAnsi="Times New Roman"/>
                <w:sz w:val="18"/>
                <w:szCs w:val="18"/>
                <w:color w:val="0000EE"/>
                <w:w w:val="77"/>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440" w:type="dxa"/>
            <w:vAlign w:val="bottom"/>
            <w:tcBorders>
              <w:bottom w:val="single" w:sz="8" w:color="CCEEFF"/>
            </w:tcBorders>
            <w:gridSpan w:val="13"/>
            <w:shd w:val="clear" w:color="auto" w:fill="CCEEFF"/>
          </w:tcPr>
          <w:p>
            <w:pPr>
              <w:spacing w:after="0"/>
              <w:rPr>
                <w:sz w:val="2"/>
                <w:szCs w:val="2"/>
                <w:color w:val="auto"/>
              </w:rPr>
            </w:pPr>
          </w:p>
        </w:tc>
        <w:tc>
          <w:tcPr>
            <w:tcW w:w="4080" w:type="dxa"/>
            <w:vAlign w:val="bottom"/>
            <w:tcBorders>
              <w:bottom w:val="single" w:sz="8" w:color="CCEEFF"/>
            </w:tcBorders>
            <w:shd w:val="clear" w:color="auto" w:fill="CCEEFF"/>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426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0000EE"/>
                <w:w w:val="77"/>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140" w:type="dxa"/>
            <w:vAlign w:val="bottom"/>
            <w:gridSpan w:val="15"/>
          </w:tcPr>
          <w:p>
            <w:pPr>
              <w:spacing w:after="0"/>
              <w:rPr>
                <w:sz w:val="2"/>
                <w:szCs w:val="2"/>
                <w:color w:val="auto"/>
              </w:rPr>
            </w:pPr>
          </w:p>
        </w:tc>
        <w:tc>
          <w:tcPr>
            <w:tcW w:w="4080" w:type="dxa"/>
            <w:vAlign w:val="bottom"/>
          </w:tcPr>
          <w:p>
            <w:pPr>
              <w:ind w:left="39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343"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or incorporated by reference in this prospectus supplement, in the accompanying prospectus or in any free writing prospectus prepared by or on behalf of us or to which we have referred you. Neither we nor the underwriters take any responsibility for, and can provide no assurance as to the reliability of, any other information that others may give you.</w:t>
      </w:r>
    </w:p>
    <w:p>
      <w:pPr>
        <w:spacing w:after="0" w:line="10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such free writing prospectus do not constitute an offer to sell, or a solicitation of an offer to purchase, the securities offered by this prospectus supplement, the accompanying prospectus and any such free writing prospectus in any jurisdiction to or from any person to whom or from whom it is unlawful to make such offer or solicitation of an offer in such jurisdiction. You should assume that the information appearing in this prospectus supplement, the accompanying prospectus and the documents incorporated by reference herein and in any free writing prospectus that we have authorized for use in connection with this offering is accurate only as of the date of those respective documents. It is important for you to read and consider all information contained in this prospectus supplement and in the accompanying prospectus, including the documents incorporated by reference herein and therein, in making your investment decision. You should also read and consider the information in the documents to which we have referred you in the sections titled “Where You Can Find More Information” and “Incorporation by Reference” in this prospectus supplement and in the accompanying prospectus.</w:t>
      </w:r>
    </w:p>
    <w:p>
      <w:pPr>
        <w:spacing w:after="0" w:line="33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accompanying prospectus comes are advised to inform themselves about and to observe any restrictions relating to the offering and the distribution of this prospectus supplement and accompanying prospectus.</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0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and the accompanying prospectus to “we,” “our,” “us,” and “the Company” refer, collectively, to Editas Medicine, Inc., a Delaware corporation, and its consolidated subsidiaries. When we refer to “you” in this prospectus supplement, we mean all purchasers of the securities being offered by this prospectus supplement and the accompanying prospectus, whether they are the holders or only indirect owners of those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information incorporated by reference herein include “forward-looking statements” within the meaning of Section 27A of the Securities Act of 1933, as amended, or the Securities Act, and Section 21E of the Securities Exchange Act of 1934, as amended, or the Exchange Act. All statements other than statements of historical facts included in this prospectus supplement and the accompanying prospectus and the information incorporated herein by reference,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supplement and the accompanying prospectus and the information incorporated herein by reference are only predictions. We have based these forward-looking statements largely on our expectations and projections about future events and financial trends that we believe may affect our business, financial condition, results of operations, and prospects, in each case as of the time we made such forward-looking statement. These forward-looking statements are subject to a number of risks, uncertainties and assumptions. We have included important factors in the cautionary statements included in this prospectus supplement and the accompanying prospectus and the information incorporated by reference herein, particularly under the heading “Risk Factors” in this prospectus supplement and the accompanying prospectus and in the documents incorporated by reference herein, that could cause actual results or events to differ materially from the forward-looking statements that we make.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or incorporated by reference herein.</w:t>
      </w:r>
    </w:p>
    <w:p>
      <w:pPr>
        <w:spacing w:after="0" w:line="32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prospectus supplement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and we are responsible for such information, no independent source has verified such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0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819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39" w:firstLine="360"/>
        <w:spacing w:after="0" w:line="24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and the accompanying prospectus and in the documents we incorporate herein and therein by reference. This summary does not contain all of the information that you should consider before investing in our securities. You should read this entire prospectus supplement and the accompanying prospectus carefully, especially the “Risk Factors” beginning on page </w:t>
      </w:r>
      <w:r>
        <w:rPr>
          <w:rFonts w:ascii="Times New Roman" w:cs="Times New Roman" w:eastAsia="Times New Roman" w:hAnsi="Times New Roman"/>
          <w:sz w:val="18"/>
          <w:szCs w:val="18"/>
          <w:i w:val="1"/>
          <w:iCs w:val="1"/>
          <w:u w:val="single" w:color="auto"/>
          <w:color w:val="0000EE"/>
        </w:rPr>
        <w:t>S-7</w:t>
      </w:r>
      <w:r>
        <w:rPr>
          <w:rFonts w:ascii="Times New Roman" w:cs="Times New Roman" w:eastAsia="Times New Roman" w:hAnsi="Times New Roman"/>
          <w:sz w:val="18"/>
          <w:szCs w:val="18"/>
          <w:i w:val="1"/>
          <w:iCs w:val="1"/>
          <w:color w:val="auto"/>
        </w:rPr>
        <w:t xml:space="preserve"> of this prospectus supplement and in the “Risk Factor Summary” </w:t>
      </w:r>
      <w:hyperlink r:id="rId28">
        <w:r>
          <w:rPr>
            <w:rFonts w:ascii="Times New Roman" w:cs="Times New Roman" w:eastAsia="Times New Roman" w:hAnsi="Times New Roman"/>
            <w:sz w:val="18"/>
            <w:szCs w:val="18"/>
            <w:i w:val="1"/>
            <w:iCs w:val="1"/>
            <w:color w:val="auto"/>
          </w:rPr>
          <w:t xml:space="preserve">and “Risk Factors” sections of our </w:t>
        </w:r>
        <w:r>
          <w:rPr>
            <w:rFonts w:ascii="Times New Roman" w:cs="Times New Roman" w:eastAsia="Times New Roman" w:hAnsi="Times New Roman"/>
            <w:sz w:val="18"/>
            <w:szCs w:val="18"/>
            <w:i w:val="1"/>
            <w:iCs w:val="1"/>
            <w:u w:val="single" w:color="auto"/>
            <w:color w:val="0000EE"/>
          </w:rPr>
          <w:t>Annual Report on Form 10-K for the fiscal year ended December 31,</w:t>
        </w:r>
      </w:hyperlink>
      <w:r>
        <w:rPr>
          <w:rFonts w:ascii="Times New Roman" w:cs="Times New Roman" w:eastAsia="Times New Roman" w:hAnsi="Times New Roman"/>
          <w:sz w:val="18"/>
          <w:szCs w:val="18"/>
          <w:i w:val="1"/>
          <w:iCs w:val="1"/>
          <w:color w:val="auto"/>
        </w:rPr>
        <w:t xml:space="preserve"> </w:t>
      </w:r>
      <w:hyperlink r:id="rId28">
        <w:r>
          <w:rPr>
            <w:rFonts w:ascii="Times New Roman" w:cs="Times New Roman" w:eastAsia="Times New Roman" w:hAnsi="Times New Roman"/>
            <w:sz w:val="18"/>
            <w:szCs w:val="18"/>
            <w:i w:val="1"/>
            <w:iCs w:val="1"/>
            <w:u w:val="single" w:color="auto"/>
            <w:color w:val="0000EE"/>
          </w:rPr>
          <w:t>2025</w:t>
        </w:r>
        <w:r>
          <w:rPr>
            <w:rFonts w:ascii="Times New Roman" w:cs="Times New Roman" w:eastAsia="Times New Roman" w:hAnsi="Times New Roman"/>
            <w:sz w:val="18"/>
            <w:szCs w:val="18"/>
            <w:i w:val="1"/>
            <w:iCs w:val="1"/>
            <w:color w:val="000000"/>
          </w:rPr>
          <w:t>, as updated by our subsequent filings with the Securities and Exchange Commission, along with our</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consolidated financial statements and notes to those consolidated financial statements and the other information incorporated by reference in this prospectus supplement and the accompanying prospectus, before making an investment decision.</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are a pioneering gene editing company dedicated to developing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utilizing functional upregulation, which aims to increase the expression of a normal gene copy and its normal protein function to treat diseases caused by genetic mutations that eliminate or disrupt normal function. We believe the ability to provide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platform to enable targeted delivery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to multiple cells and tissues, including the liver, hematopoietic stem cells (“HSCs”), and other cells and tissues.</w:t>
      </w:r>
    </w:p>
    <w:p>
      <w:pPr>
        <w:spacing w:after="0" w:line="322" w:lineRule="exact"/>
        <w:rPr>
          <w:sz w:val="20"/>
          <w:szCs w:val="20"/>
          <w:color w:val="auto"/>
        </w:rPr>
      </w:pPr>
    </w:p>
    <w:p>
      <w:pPr>
        <w:ind w:left="128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we announced the nomination of 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This targeted approach has demonstrated in our preclinical studies a greater than 90% mean reduction of LDL-C in non-human primates (“NHPs”) with rapid and dose-dependent effect, across a dose range and with durability through six months, a rapid, dose-dependent mean reduction of approximately 90% in Lp(a), an independent risk factor for atherosclerotic cardiovascular disease (“ASCVD”), and a rapid, dose-dependent mean reduction of approximately 90% in ApoB, a key measure of total plaque-causing cholesterol particles and predictive measure for ASCVD. In addition, in our preclinical studies, including an ongoing Good Laboratory Practice (GLP) toxicology study in NHPs, EDIT-401 was well-tolerated at the therapeutically relevant dose of 1.5 mg/kg with no adverse clinical observations, no notable treatment-related liver enzyme elevations, and no liver histopathology findings in non-GLP toxicology.</w:t>
      </w:r>
    </w:p>
    <w:p>
      <w:pPr>
        <w:spacing w:after="0" w:line="338" w:lineRule="exact"/>
        <w:rPr>
          <w:sz w:val="20"/>
          <w:szCs w:val="20"/>
          <w:color w:val="auto"/>
        </w:rPr>
      </w:pPr>
    </w:p>
    <w:p>
      <w:pPr>
        <w:ind w:left="1280" w:right="4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We plan to submit a Clinical Trial Notification (“CTN”) in Australia to the Therapeutic Goods Administration (TGA) in mid-2026, with the goal of initiating a first-in-human clinical trial of EDIT-401 in patients with Heterozygous Familial Hypercholesterolemia (“HeFH”) later in 2026 and expect to have early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human proof of concept data for EDIT-401 by the end of 2026. We anticipate that the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initially be designed as a two-part Phase 1/2 trial. Part 1 is expected to be a single ascending dose, dose-finding study and is expected to enroll approximately 18 patients with HeFH in three dosing arms. Eligible patients will have a clinical diagnosis of HeFH with an elevated LDL-C despite treatment with two or more lipid lowering therapies. We plan to complete enrollment of Part 1 and have topline data results available in 2027. We expect that Part 2 of the trial will be a single-dose randomized, placebo-controlled expansion study with approximately 28 patients, and that if the data from the Phase 1/2 trial warrant advancing EDIT-401, we would advance EDIT-401 into a single, pivotal randomized, placebo-controlled Phase 3 clinical trial in patients with HeFH, with or without existing ASCVD or coronary artery disease. These clinical trial plans are subject to further discussion and alignment with regulatory authorities. We have also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spacing w:after="0" w:line="263" w:lineRule="auto"/>
        <w:rPr>
          <w:sz w:val="20"/>
          <w:szCs w:val="20"/>
          <w:color w:val="auto"/>
        </w:rPr>
      </w:pPr>
      <w:r>
        <w:rPr>
          <w:rFonts w:ascii="Times New Roman" w:cs="Times New Roman" w:eastAsia="Times New Roman" w:hAnsi="Times New Roman"/>
          <w:sz w:val="18"/>
          <w:szCs w:val="18"/>
          <w:color w:val="auto"/>
        </w:rPr>
        <w:t>received pre-IND feedback from the U.S. Food and Drug Administration on our nonclinical package, CMC plans, and study design to support an Investigational New Drug Application (“IND”) for EDIT-401, which we believe provides optionality for submitting an IND supportive of our anticipated clinical development strategy.</w:t>
      </w:r>
    </w:p>
    <w:p>
      <w:pPr>
        <w:spacing w:after="0" w:line="332" w:lineRule="exact"/>
        <w:rPr>
          <w:sz w:val="20"/>
          <w:szCs w:val="20"/>
          <w:color w:val="auto"/>
        </w:rPr>
      </w:pPr>
    </w:p>
    <w:p>
      <w:pPr>
        <w:ind w:left="1280" w:right="5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discovery and development efforts further include HSCs and other cells and tissues. Building on our experience in our clinical trials of renizgamglogene autogedtemcel (“reni-cel”), we have achieved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preclinical proof-of-concept data of HSC editing in NHPs. In addition, we previously announced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delivery to two additional cell types in humanized mice using our proprietary LNP targeting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demonstrating the “plug ‘n play” potential of our proprietary extrahepatic LNP platform. We intend to continue optimizing candidates for our HSC program and exploring other cell types and tissues for development, but plan to focus our resources on the advancement of our lead EDIT-401 program to human proof-of-concept.</w:t>
      </w:r>
    </w:p>
    <w:p>
      <w:pPr>
        <w:spacing w:after="0" w:line="337"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are pursuing the right combination of gene editing and targeted delivery tools through internal development and the in-licensing of complementary technologies to build our preclinical pipeline and accelerate the achievement of our goal of delivering lifesaving medicines to patients with previously untreatable diseases. Through in-licensing of complementary technologies, we can expand our existing gene editing platform and further drive the development of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pipeline. We also actively seek opportunities to out-license and partner our robust intellectual property portfolio to drive the development of CRISPR-based medicines in therapeutic areas outside of our core focus and to provide non-dilutive capital.</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48" w:lineRule="exact"/>
        <w:rPr>
          <w:sz w:val="20"/>
          <w:szCs w:val="20"/>
          <w:color w:val="auto"/>
        </w:rPr>
      </w:pPr>
    </w:p>
    <w:p>
      <w:pPr>
        <w:ind w:left="1280" w:right="639" w:firstLine="360"/>
        <w:spacing w:after="0" w:line="261" w:lineRule="auto"/>
        <w:rPr>
          <w:sz w:val="20"/>
          <w:szCs w:val="20"/>
          <w:color w:val="auto"/>
        </w:rPr>
      </w:pPr>
      <w:r>
        <w:rPr>
          <w:rFonts w:ascii="Times New Roman" w:cs="Times New Roman" w:eastAsia="Times New Roman" w:hAnsi="Times New Roman"/>
          <w:sz w:val="18"/>
          <w:szCs w:val="18"/>
          <w:color w:val="auto"/>
        </w:rPr>
        <w:t>Our executive offices are located at 11 Hurley Street, Cambridge, Massachusetts, 02141, and our telephone number is (617) 401-9000. Our website address is www.editasmedicine.com. We have included our website address in this prospectus supplement as an inactive textual reference only. Information contained on, or that can be accessed through, our website is not part of this prospectus supplement.</w:t>
      </w:r>
    </w:p>
    <w:p>
      <w:pPr>
        <w:spacing w:after="0" w:line="112"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The Editas logo is our trademark. The other trademarks, trade names, and service marks appearing in this prospectus supplement belong to their respective holders.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539" w:firstLine="360"/>
        <w:spacing w:after="0" w:line="257" w:lineRule="auto"/>
        <w:rPr>
          <w:sz w:val="20"/>
          <w:szCs w:val="20"/>
          <w:color w:val="auto"/>
        </w:rPr>
      </w:pPr>
      <w:r>
        <w:rPr>
          <w:rFonts w:ascii="Times New Roman" w:cs="Times New Roman" w:eastAsia="Times New Roman" w:hAnsi="Times New Roman"/>
          <w:sz w:val="18"/>
          <w:szCs w:val="18"/>
          <w:color w:val="auto"/>
        </w:rPr>
        <w:t>We are a “smaller reporting company” as defined under Rule 405 of the Securities Act. We may continue to be a smaller reporting company if either (i) the market value of our stock held by non-affiliates was less than $250 million on the last business day of our most recently completed second fiscal quarter or</w:t>
      </w:r>
    </w:p>
    <w:p>
      <w:pPr>
        <w:spacing w:after="0" w:line="1" w:lineRule="exact"/>
        <w:rPr>
          <w:sz w:val="20"/>
          <w:szCs w:val="20"/>
          <w:color w:val="auto"/>
        </w:rPr>
      </w:pPr>
    </w:p>
    <w:p>
      <w:pPr>
        <w:ind w:left="1280" w:right="619" w:hanging="2"/>
        <w:spacing w:after="0" w:line="253" w:lineRule="auto"/>
        <w:tabs>
          <w:tab w:leader="none" w:pos="15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plan to rely on exemptions from certain disclosure and other requirements that are applicable to other public companies that are not smaller reporting companies.</w:t>
      </w:r>
    </w:p>
    <w:p>
      <w:pPr>
        <w:spacing w:after="0" w:line="106"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supplement and that we provide to our investors may be different than what you might receive from other public reporting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warrants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shares.</w:t>
      </w:r>
    </w:p>
    <w:p>
      <w:pPr>
        <w:spacing w:after="0" w:line="158" w:lineRule="exact"/>
        <w:rPr>
          <w:sz w:val="20"/>
          <w:szCs w:val="20"/>
          <w:color w:val="auto"/>
        </w:rPr>
      </w:pPr>
    </w:p>
    <w:p>
      <w:pPr>
        <w:ind w:left="240" w:right="599"/>
        <w:spacing w:after="0" w:line="271" w:lineRule="auto"/>
        <w:rPr>
          <w:sz w:val="20"/>
          <w:szCs w:val="20"/>
          <w:color w:val="auto"/>
        </w:rPr>
      </w:pPr>
      <w:r>
        <w:rPr>
          <w:rFonts w:ascii="Times New Roman" w:cs="Times New Roman" w:eastAsia="Times New Roman" w:hAnsi="Times New Roman"/>
          <w:sz w:val="18"/>
          <w:szCs w:val="18"/>
          <w:color w:val="auto"/>
        </w:rPr>
        <w:t>Each share of common stock is being offered and sold together with an accompanying common stock warrant to purchase one share of common stock at a combined offering price of $            .</w:t>
      </w:r>
    </w:p>
    <w:p>
      <w:pPr>
        <w:spacing w:after="0" w:line="78" w:lineRule="exact"/>
        <w:rPr>
          <w:sz w:val="20"/>
          <w:szCs w:val="20"/>
          <w:color w:val="auto"/>
        </w:rPr>
      </w:pPr>
    </w:p>
    <w:p>
      <w:pPr>
        <w:ind w:left="240" w:right="519"/>
        <w:spacing w:after="0" w:line="256" w:lineRule="auto"/>
        <w:rPr>
          <w:sz w:val="20"/>
          <w:szCs w:val="20"/>
          <w:color w:val="auto"/>
        </w:rPr>
      </w:pPr>
      <w:r>
        <w:rPr>
          <w:rFonts w:ascii="Times New Roman" w:cs="Times New Roman" w:eastAsia="Times New Roman" w:hAnsi="Times New Roman"/>
          <w:sz w:val="18"/>
          <w:szCs w:val="18"/>
          <w:color w:val="auto"/>
        </w:rPr>
        <w:t>We are also offering, in lieu of common stock to certain investors that so choose, pre-funded warrants to purchase                    shares of our common stock. Each pre-funded warrant is being offered and sold together with an accompanying common stock warrant to purchase one share of common stock at a combined offering price of $            .</w:t>
      </w:r>
    </w:p>
    <w:p>
      <w:pPr>
        <w:spacing w:after="0" w:line="322" w:lineRule="exact"/>
        <w:rPr>
          <w:sz w:val="20"/>
          <w:szCs w:val="20"/>
          <w:color w:val="auto"/>
        </w:rPr>
      </w:pPr>
    </w:p>
    <w:p>
      <w:pPr>
        <w:ind w:left="240" w:right="399"/>
        <w:spacing w:after="0" w:line="263" w:lineRule="auto"/>
        <w:rPr>
          <w:sz w:val="20"/>
          <w:szCs w:val="20"/>
          <w:color w:val="auto"/>
        </w:rPr>
      </w:pPr>
      <w:r>
        <w:rPr>
          <w:rFonts w:ascii="Times New Roman" w:cs="Times New Roman" w:eastAsia="Times New Roman" w:hAnsi="Times New Roman"/>
          <w:sz w:val="18"/>
          <w:szCs w:val="18"/>
          <w:color w:val="auto"/>
        </w:rPr>
        <w:t xml:space="preserve">The purchase price of each pre-funded warrant will equal the price per share at which shares of common stock are being sold to the public in this offering, minus $0.0001, and the exercise price of each pre-funded warrant will equal $0.0001 per share. Each pre-funded warrant will be immediately exercisable for one share of common stock. Each pre-funded warrant will be exercisable at any time from the date of issuance and will expire on the date the warrant is exercised in full, subject to an ownership limitation described herein. See “Description of Securities We Are Offering” on page </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 xml:space="preserve"> of this prospectus supplement. This prospectus supplement also relates to the offering of the shares of common stock issuable upon the exercise of such pre-funded warrants issued in this offering.</w:t>
      </w:r>
    </w:p>
    <w:p>
      <w:pPr>
        <w:spacing w:after="0" w:line="92" w:lineRule="exact"/>
        <w:rPr>
          <w:sz w:val="20"/>
          <w:szCs w:val="20"/>
          <w:color w:val="auto"/>
        </w:rPr>
      </w:pPr>
    </w:p>
    <w:p>
      <w:pPr>
        <w:ind w:left="240" w:right="419"/>
        <w:spacing w:after="0" w:line="253" w:lineRule="auto"/>
        <w:rPr>
          <w:sz w:val="20"/>
          <w:szCs w:val="20"/>
          <w:color w:val="auto"/>
        </w:rPr>
      </w:pPr>
      <w:r>
        <w:rPr>
          <w:rFonts w:ascii="Times New Roman" w:cs="Times New Roman" w:eastAsia="Times New Roman" w:hAnsi="Times New Roman"/>
          <w:sz w:val="18"/>
          <w:szCs w:val="18"/>
          <w:color w:val="auto"/>
        </w:rPr>
        <w:t>We are also offering common stock warrants to purchase                    shares of our common stock. Each share of our common stock or pre-funded warrant is being offered and sold together with an accompanying common stock warrant to purchase one share of our common stock. Each common stock warrant will have an exercise price of $            per share of common stock and will be exercisable from the date of issuance until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w:t>
      </w:r>
    </w:p>
    <w:p>
      <w:pPr>
        <w:spacing w:after="0" w:line="208" w:lineRule="exact"/>
        <w:rPr>
          <w:sz w:val="20"/>
          <w:szCs w:val="20"/>
          <w:color w:val="auto"/>
        </w:rPr>
      </w:pPr>
    </w:p>
    <w:p>
      <w:pPr>
        <w:ind w:left="240" w:right="419" w:hanging="10"/>
        <w:spacing w:after="0" w:line="251" w:lineRule="auto"/>
        <w:tabs>
          <w:tab w:leader="none" w:pos="5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of follow-up and (ii) the date that is three years after the date of issuance. The common stock and the pre-funded warrants, on the one hand, and the accompanying common stock warrants, on the other hand, are immediately separable and will be issued separately, but can only be purchased together in this offering. See “Description of Securities We Are Offering” on page </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 xml:space="preserve"> of this prospectus supplement. This prospectus supplement also relates to the offering of the shares of common stock issuable upon the exercise of such common stock warrants issued in this offering.</w:t>
      </w:r>
    </w:p>
    <w:p>
      <w:pPr>
        <w:spacing w:after="0" w:line="200" w:lineRule="exact"/>
        <w:rPr>
          <w:sz w:val="20"/>
          <w:szCs w:val="20"/>
          <w:color w:val="auto"/>
        </w:rPr>
      </w:pPr>
    </w:p>
    <w:p>
      <w:pPr>
        <w:sectPr>
          <w:pgSz w:w="11900" w:h="16838" w:orient="portrait"/>
          <w:cols w:equalWidth="0" w:num="2">
            <w:col w:w="4160" w:space="560"/>
            <w:col w:w="5159"/>
          </w:cols>
          <w:pgMar w:left="580" w:top="97" w:right="1440" w:bottom="1440" w:gutter="0" w:footer="0" w:header="0"/>
          <w:type w:val="continuous"/>
        </w:sectPr>
      </w:pPr>
    </w:p>
    <w:p>
      <w:pPr>
        <w:spacing w:after="0" w:line="2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 w:right="419" w:hanging="10"/>
        <w:spacing w:after="0" w:line="266" w:lineRule="auto"/>
        <w:tabs>
          <w:tab w:leader="none" w:pos="1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assuming full exercise of the pre-funded warrants being issued in this offering and no exercise of the common stock warrants being issued in this offering.</w:t>
      </w:r>
    </w:p>
    <w:p>
      <w:pPr>
        <w:spacing w:after="0" w:line="68" w:lineRule="exact"/>
        <w:rPr>
          <w:sz w:val="20"/>
          <w:szCs w:val="20"/>
          <w:color w:val="auto"/>
        </w:rPr>
      </w:pPr>
    </w:p>
    <w:p>
      <w:pPr>
        <w:ind w:left="10" w:right="579"/>
        <w:spacing w:after="0" w:line="253"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            million, excluding any future exercise of pre-funded warrants and common stock warrants, after deducting underwriting discounts and commissions and estimated offering expenses payable by us. We currently intend to use the net proceeds to us from this offering for progression of EDIT-401, including clinical development and manufacturing, and for working capital and other general corporate purposes. See “Use of Proceeds” in this prospectus supplement for more information.</w:t>
      </w:r>
    </w:p>
    <w:p>
      <w:pPr>
        <w:spacing w:after="0" w:line="84" w:lineRule="exact"/>
        <w:rPr>
          <w:sz w:val="20"/>
          <w:szCs w:val="20"/>
          <w:color w:val="auto"/>
        </w:rPr>
      </w:pPr>
    </w:p>
    <w:p>
      <w:pPr>
        <w:ind w:left="10" w:right="519"/>
        <w:spacing w:after="0" w:line="258" w:lineRule="auto"/>
        <w:rPr>
          <w:sz w:val="20"/>
          <w:szCs w:val="20"/>
          <w:color w:val="auto"/>
        </w:rPr>
      </w:pPr>
      <w:r>
        <w:rPr>
          <w:rFonts w:ascii="Times New Roman" w:cs="Times New Roman" w:eastAsia="Times New Roman" w:hAnsi="Times New Roman"/>
          <w:sz w:val="18"/>
          <w:szCs w:val="18"/>
          <w:color w:val="auto"/>
        </w:rPr>
        <w:t xml:space="preserve">See “Risk Factors” beginning on page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 xml:space="preserve"> and the other information included in, or incorporated by reference into, this prospectus supplement for a discussion of certain factors you should carefully consider before deciding to invest in our securities.</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“EDIT”</w:t>
      </w:r>
    </w:p>
    <w:p>
      <w:pPr>
        <w:spacing w:after="0" w:line="158" w:lineRule="exact"/>
        <w:rPr>
          <w:sz w:val="20"/>
          <w:szCs w:val="20"/>
          <w:color w:val="auto"/>
        </w:rPr>
      </w:pPr>
    </w:p>
    <w:p>
      <w:pPr>
        <w:sectPr>
          <w:pgSz w:w="11900" w:h="16838" w:orient="portrait"/>
          <w:cols w:equalWidth="0" w:num="2">
            <w:col w:w="4480" w:space="470"/>
            <w:col w:w="4929"/>
          </w:cols>
          <w:pgMar w:left="580" w:top="97" w:right="1440" w:bottom="1440" w:gutter="0" w:footer="0" w:header="0"/>
          <w:type w:val="continuous"/>
        </w:sectPr>
      </w:pPr>
    </w:p>
    <w:p>
      <w:pPr>
        <w:ind w:left="1280" w:right="45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97,906,282 shares of our common stock outstanding as of April 30, 2026.</w:t>
      </w:r>
    </w:p>
    <w:p>
      <w:pPr>
        <w:spacing w:after="0" w:line="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excludes:</w:t>
      </w:r>
    </w:p>
    <w:p>
      <w:pPr>
        <w:spacing w:after="0" w:line="117" w:lineRule="exact"/>
        <w:rPr>
          <w:sz w:val="20"/>
          <w:szCs w:val="20"/>
          <w:color w:val="auto"/>
        </w:rPr>
      </w:pPr>
    </w:p>
    <w:p>
      <w:pPr>
        <w:ind w:left="1820" w:right="9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12,138,251 shares of common stock issuable upon exercise of stock options outstanding as of April 30, 2026, at a weighted-average exercise price of $5.99 per share;</w:t>
      </w:r>
    </w:p>
    <w:p>
      <w:pPr>
        <w:spacing w:after="0" w:line="53"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484,778 shares of common stock issuable upon vesting of restricted stock unit awards outstanding as of April 30, 2026;</w:t>
      </w:r>
    </w:p>
    <w:p>
      <w:pPr>
        <w:spacing w:after="0" w:line="53"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8,664,223 additional shares of common stock reserved as of April 30, 2026 for future issuance under our Amended and Restated 2015 Stock Incentive Plan; and</w:t>
      </w:r>
    </w:p>
    <w:p>
      <w:pPr>
        <w:spacing w:after="0" w:line="53"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2,685,252 additional shares of common stock reserved as of April 30, 2026 for future issuance under our 2015 Employee Stock Purchase Plan.</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this prospectus supplement reflects and assumes:</w:t>
      </w:r>
    </w:p>
    <w:p>
      <w:pPr>
        <w:spacing w:after="0" w:line="117" w:lineRule="exact"/>
        <w:rPr>
          <w:sz w:val="20"/>
          <w:szCs w:val="20"/>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of the outstanding restricted stock units described above;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exercise of the pre-funded warrants being issued in this offering;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common stock warrants being issued in this offering.</w:t>
      </w:r>
    </w:p>
    <w:p>
      <w:pPr>
        <w:spacing w:after="0" w:line="158"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 this prospectus supplement does not reflect the issuance of up to $106.1 million of shares of our common stock that remain available for sale as of the date of this prospectus supplement under our “at-the-market” program with TD Securities (USA) LLC.</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deciding whether to invest in our securities, you should consider carefully the risks and uncertainties described below and under the sections captioned “Risk Factor Summary” and “Risk Factors” contained in our most recent Annual Report on Form 10-K, as updated by our subsequent filings with the Securities and Exchange Commission, which are incorporated by reference herein in their entirety, together with the other information in this prospectus supplement and the accompanying prospectus, or incorporated by reference herein, and in any free writing prospectus that we authorize for use in connection with this offering. If any of these risks actually occurs, our business, financial condition, results of operations or cash flow could suffer materially. In such event, the trading price of our common stock could decline and you might lose all or part of your investment.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will suffer immediate dilution of your investment.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combined offering price of our common stock and accompanying common stock warrants (and our pre -funded warrants and accompanying common stock warrants) in this offering is substantially higher than the net tangible book value per share of our outstanding common stock. Therefore, if you purchase securities in this offering, you will pay a price per share that substantially exceeds our net tangible book value per share after giving effect to this offering. To the extent shares subsequently are issued upon exercise of outstanding options or vesting of restricted stock unit awards, or upon exercise of the pre-funded warrants or common stock warrants being offered in this offering, you will incur further dilution. Based on a combined offering price of $            per share of common stock and accompanying common stock warrant and a combined offering price of $            for each pre-funded warrant and accompanying common stock warrant (and assuming full exercise of the pre-funded warrants being offered in this offering and no exercise of the common stock warrants), you will experience immediate dilution of $             per share of common stock, representing the difference between our as adjusted net tangible book value per share as of March 31, 2026, after giving effect to this offering, and the combined offering prices. For additional information on the dilution that you will experience immediately after this offering, see “Dilution.”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purchase price of securities in this offering. We may sell shares or other securities in any other offering at a price per share that is less than the purchase price of securities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purchase price paid by investors in this offering.</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may also in certain circumstances issue shares of our common stock in satisfaction of certain payment obligations of ours under certain license agreements to which we are a party and promissory notes that we may issue in the future in connection with these license agreements. To the extent that we issue these shares for consideration per share that is less than the purchase price paid by investors in this offering, you will incur further dilution. For more information, see “Business-Our Collaborations and Licensing</w:t>
      </w:r>
    </w:p>
    <w:p>
      <w:pPr>
        <w:spacing w:after="0" w:line="1" w:lineRule="exact"/>
        <w:rPr>
          <w:sz w:val="20"/>
          <w:szCs w:val="20"/>
          <w:color w:val="auto"/>
        </w:rPr>
      </w:pPr>
    </w:p>
    <w:p>
      <w:pPr>
        <w:ind w:left="1260" w:right="879"/>
        <w:spacing w:after="0" w:line="245" w:lineRule="auto"/>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auto"/>
          </w:rPr>
          <w:t xml:space="preserve">Strategy” in our </w:t>
        </w:r>
        <w:r>
          <w:rPr>
            <w:rFonts w:ascii="Times New Roman" w:cs="Times New Roman" w:eastAsia="Times New Roman" w:hAnsi="Times New Roman"/>
            <w:sz w:val="18"/>
            <w:szCs w:val="18"/>
            <w:u w:val="single" w:color="auto"/>
            <w:color w:val="0000EE"/>
          </w:rPr>
          <w:t>Annual Report on Form 10-K for the year ended December 31, 2025, as filed with the</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Securities and Exchange Commission on March 9,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by reference herein.</w:t>
        </w:r>
      </w:hyperlink>
    </w:p>
    <w:p>
      <w:pPr>
        <w:spacing w:after="0" w:line="176"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7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and marketable securities,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w:t>
      </w:r>
    </w:p>
    <w:p>
      <w:pPr>
        <w:spacing w:after="0" w:line="3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development of our product candidates. Pending their use to fund operations, we may invest our cash, cash equivalents and marketable securities in a manner that does not produce income or that loses value.</w:t>
      </w:r>
    </w:p>
    <w:p>
      <w:pPr>
        <w:spacing w:after="0" w:line="144"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9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future debt financing arrangements may contain terms prohibiting or limiting the amount of dividends that may be declared or paid on our common stock. As a result, capital appreciation, if any, of our common stock will be your sole source of gain for the foreseeable future.</w:t>
      </w:r>
    </w:p>
    <w:p>
      <w:pPr>
        <w:spacing w:after="0" w:line="17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the pre-funded warrants or the common stock warrants being offered in this offering.</w:t>
      </w:r>
    </w:p>
    <w:p>
      <w:pPr>
        <w:spacing w:after="0" w:line="16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or the common stock warrants being offered in this offering, and we do not expect a market to develop. In addition, we do not intend to list the pre-funded warrants or the common stock warrants on the Nasdaq Global Select Market or any other national securities exchange or nationally recognized trading system. Without an active trading market, the liquidity of the pre-funded warrants and the common stock warrants will be limited.</w:t>
      </w:r>
    </w:p>
    <w:p>
      <w:pPr>
        <w:spacing w:after="0" w:line="191"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any meaningful amount of, or potentially any, additional funds upon the exercise of the pre-funded warrants; however, any exercise would increase the number of shares eligible for future resale in the public market and result in dilution to our stockholders.</w:t>
      </w:r>
    </w:p>
    <w:p>
      <w:pPr>
        <w:spacing w:after="0" w:line="10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Each pre-funded warrant will be exercisable until it is fully exercised and by means of payment of the nominal cash purchase price upon exercise or by way of a cashless exercise, meaning that the holder may not pay a cash purchase price upon exercise, but instead would receive upon such exercise the number of shares of our common stock determined according to the formula set forth in the pre-funded warrant. Accordingly, we will not receive any meaningful, or potentially any, additional funds upon the exercise of the pre-funded warrants. To the extent such pre-funded warrants are exercised, additional shares of common stock will be issued for nominal or no additional consideration, which will result in dilution to the then existing holders of our common stock and will increase the number of shares eligible for resale in the public market.</w:t>
      </w:r>
    </w:p>
    <w:p>
      <w:pPr>
        <w:spacing w:after="0" w:line="392" w:lineRule="exact"/>
        <w:rPr>
          <w:sz w:val="20"/>
          <w:szCs w:val="20"/>
          <w:color w:val="auto"/>
        </w:rPr>
      </w:pPr>
    </w:p>
    <w:p>
      <w:pPr>
        <w:jc w:val="both"/>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Except for the right to participate in certain dividends and distributions, holders of the pre-funded warrants and common stock warrants will have no rights as common stockholders until such holders exercise their pre-funded warrants or common stock warrants and acquire our common stock.</w:t>
      </w:r>
    </w:p>
    <w:p>
      <w:pPr>
        <w:spacing w:after="0" w:line="101"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Until holders of the pre -funded warrants and common stock warrants exercise their applicable pre-funded warrants or common stock warrants and acquire shares of our common stock, except for the right to participate in certain dividends and distributions, such holders will have no rights with respect to the shares of our common stock underlying such warrants. Upon exercise of the warrants, the holders will be entitled to exercise the rights of a common stockholder only as to matters for which the record date occurs after the exercise date.</w:t>
      </w:r>
    </w:p>
    <w:p>
      <w:pPr>
        <w:spacing w:after="0" w:line="200" w:lineRule="exact"/>
        <w:rPr>
          <w:sz w:val="20"/>
          <w:szCs w:val="20"/>
          <w:color w:val="auto"/>
        </w:rPr>
      </w:pPr>
    </w:p>
    <w:p>
      <w:pPr>
        <w:spacing w:after="0" w:line="202" w:lineRule="exact"/>
        <w:rPr>
          <w:sz w:val="20"/>
          <w:szCs w:val="20"/>
          <w:color w:val="auto"/>
        </w:rPr>
      </w:pPr>
    </w:p>
    <w:p>
      <w:pPr>
        <w:ind w:left="1260" w:right="8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the pre-funded warrants or common stock warrants that they hold for common stock.</w:t>
      </w:r>
    </w:p>
    <w:p>
      <w:pPr>
        <w:spacing w:after="0" w:line="9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 holder of the pre-funded warrants or common stock will not be entitled to exercise any portion of such pre-funded warrants or common stock warrants for common stock if, upon giving effect to such exercise, the holder would beneficially own an aggregate number of shares of our common stock (together with its attribution parties) that exceeds 4.99% or 9.99%, at the initial election of the holder, of the number of shares of our common stock that would be outstanding immediately after giving effect to the exercise, as such percentage ownership is set forth in accordance with the terms of the pre-funded warrants and common stock warrants. The common stock warrants may still be exercised for pre- funded warrants. A holder of pre-funded warrants may elect to increase the maximum ownership percentage under the pre-funded warrants to any other percentage not in excess of 19.99% upon at least 61 days’ prior notice from the holder to us. As</w:t>
      </w: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a result, you may not be able to exercise your pre-funded warrants or common stock warrants for shares of our common stock at a time when it would be financially beneficial for you to do so.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common stock warrants are speculative.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holders of the common stock warrants may exercise their right to acquire the common stock and pay an exercise price per share equal to $            , subject to certain adjustments, prior to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 (1) month of follow-up and</w:t>
      </w:r>
    </w:p>
    <w:p>
      <w:pPr>
        <w:spacing w:after="0" w:line="3" w:lineRule="exact"/>
        <w:rPr>
          <w:sz w:val="20"/>
          <w:szCs w:val="20"/>
          <w:color w:val="auto"/>
        </w:rPr>
      </w:pPr>
    </w:p>
    <w:p>
      <w:pPr>
        <w:ind w:left="1260" w:right="419"/>
        <w:spacing w:after="0" w:line="252" w:lineRule="auto"/>
        <w:tabs>
          <w:tab w:leader="none" w:pos="15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three years after the date of issuance, after which date any such unexercised warrants will expire and have no further value. Moreover, following this offering, the market value of the common stock warrants, if any, is uncertain and there can be no assurance that the market value of such warrants will equal or exceed their imputed offering price. There can be no assurance that the market price of the common stock will ever equal or exceed the exercise price of the common stock warrants, and consequently, it may not ever be profitable for holders of such warrants to exercise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(or pre-funded warrants in lieu thereof) and accompanying common stock warrants in this offering will be approximately $            , excluding any future exercises of pre-funded warrants and common stock warrants, and after deducting the underwriting discounts and commissions and estimated offering expenses payable by us. We will receive nominal proceeds, if any, from the exercise of the pre-funded warrants. If all of the common stock warrants sold in this offering were to be exercised in cash for shares of our common stock at an exercise price per share equal to $            , we would receive additional proceeds of approximately $            . We cannot predict when or if the common stock warrants will be exercised, and the common stock warrants may expire and never be exercised.</w:t>
      </w:r>
    </w:p>
    <w:p>
      <w:pPr>
        <w:spacing w:after="0" w:line="34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to us from this offering for progression of EDIT-401, including clinical development and manufacturing, and for working capital and other general corporate purposes. We believe opportunities may exist from time to time to expand our current business through acquisitions of or license or collaboration agreements with complementary companies, products, or technologies. While we have no current agreements, commitments or understandings for any specific acquisitions or license or collaboration agreements at this time, we may use a portion of the net proceeds for these purposes.</w:t>
      </w:r>
    </w:p>
    <w:p>
      <w:pPr>
        <w:spacing w:after="0" w:line="32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expected use of the net proceeds to us from this offering represents our intentions based upon our current plans and business conditions. The amounts and timing of our actual expenditures may vary significantly depending on numerous factors, including the progress of our research and development efforts, the status of and results from pre-clinical studies and clinical trials, any collaborations that we may enter into with third parties for our programs, and any unforeseen cash needs. As a result, our management will retain broad discretion over the allocation of the net proceeds from this offering. As of March 31, 2026, we had cash and cash equivalents of $123.6 million. We estimate that the net proceeds from this offering, together with our existing cash and cash equivalents, and assuming no exercise of the common stock warrants being issued in this offering, will be sufficient to enable us to fund our operating expenses and capital expenditure requirements into the                     . We have based this estimate on assumptions that may prove to be wrong, and we could use our available capital resources sooner than we currently expect. We do not expect that the net proceeds from this offering and our existing cash, cash equivalents and marketable securities will be sufficient to enable us to fund the completion of development of any product candidates we may develop.</w:t>
      </w:r>
    </w:p>
    <w:p>
      <w:pPr>
        <w:spacing w:after="0" w:line="347"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Pending our use of the proceeds as described above, we intend to invest the proceeds in short-term, interest-bearing, investment-grade securities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0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If you invest in our securities in this offering, your ownership interest will be diluted to the extent of the difference between the public offering price per share of our common stock (or pre-funded warrant in lieu thereof) and the as adjusted net tangible book value per share of our common stock immediately after this offering. Our net tangible book value as of March 31, 2026 was $4.4 million, or $0.05 per share of common stock based upon 97,901,034 shares outstanding as of March 31, 2026. Net tangible book value per share is equal to our total tangible assets, less our total liabilities, divided by the total number of shares outstanding as of March 31, 2026.</w:t>
      </w:r>
    </w:p>
    <w:p>
      <w:pPr>
        <w:spacing w:after="0" w:line="80" w:lineRule="exact"/>
        <w:rPr>
          <w:sz w:val="20"/>
          <w:szCs w:val="20"/>
          <w:color w:val="auto"/>
        </w:rPr>
      </w:pPr>
    </w:p>
    <w:p>
      <w:pPr>
        <w:ind w:left="1260" w:right="799" w:firstLine="360"/>
        <w:spacing w:after="0" w:line="237" w:lineRule="auto"/>
        <w:rPr>
          <w:sz w:val="20"/>
          <w:szCs w:val="20"/>
          <w:color w:val="auto"/>
        </w:rPr>
      </w:pPr>
      <w:r>
        <w:rPr>
          <w:rFonts w:ascii="Times New Roman" w:cs="Times New Roman" w:eastAsia="Times New Roman" w:hAnsi="Times New Roman"/>
          <w:sz w:val="18"/>
          <w:szCs w:val="18"/>
          <w:color w:val="auto"/>
        </w:rPr>
        <w:t>After giving effect to our issuance and sale of (i)               shares of our common stock and accompanying common stock warrants to purchase               shares of our common stock at a combined offering price of $              per share of common stock and accompanying common stock warrant and</w:t>
      </w:r>
    </w:p>
    <w:p>
      <w:pPr>
        <w:spacing w:after="0" w:line="1" w:lineRule="exact"/>
        <w:rPr>
          <w:sz w:val="20"/>
          <w:szCs w:val="20"/>
          <w:color w:val="auto"/>
        </w:rPr>
      </w:pPr>
    </w:p>
    <w:p>
      <w:pPr>
        <w:ind w:left="1260" w:right="479"/>
        <w:spacing w:after="0" w:line="229" w:lineRule="auto"/>
        <w:tabs>
          <w:tab w:leader="none" w:pos="15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pre-funded warrants to purchase               shares of our common stock and accompanying common stock warrants to purchase               shares of our common stock at a combined offering price of $              per pre-funded warrant and accompanying common stock warrant, and after deducting underwriting discounts and commissions and estimated offering expenses payable by us (and assuming full exercise of the pre-funded warrants being issued in this offering and no exercise of the common stock warrants being issued in this offering), our as adjusted net tangible book value as of March 31, 2026 would have been $             </w:t>
      </w:r>
    </w:p>
    <w:p>
      <w:pPr>
        <w:spacing w:after="0" w:line="3" w:lineRule="exact"/>
        <w:rPr>
          <w:rFonts w:ascii="Times New Roman" w:cs="Times New Roman" w:eastAsia="Times New Roman" w:hAnsi="Times New Roman"/>
          <w:sz w:val="18"/>
          <w:szCs w:val="18"/>
          <w:color w:val="auto"/>
        </w:rPr>
      </w:pPr>
    </w:p>
    <w:p>
      <w:pPr>
        <w:ind w:left="1260" w:right="419"/>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              per share. This represents an immediate increase in as adjusted net tangible book value per share of $              to existing stockholders and immediate dilution of $              in as adjusted net tangible book value per share to new investors purchasing common stock or pre-funded warrants in this offering. Dilution per share to new investors is determined by subtracting as adjusted net tangible book value per share after this offering from the public offering purchase price paid by new investors. The following table illustrates this dilution on a per share basis: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Combined public offering price per share and accompanying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-119380</wp:posOffset>
            </wp:positionV>
            <wp:extent cx="474916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300" w:type="dxa"/>
            <w:vAlign w:val="bottom"/>
            <w:gridSpan w:val="5"/>
          </w:tcPr>
          <w:p>
            <w:pPr>
              <w:ind w:left="40"/>
              <w:spacing w:after="0" w:line="25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u w:val="single" w:color="auto"/>
                <w:color w:val="auto"/>
                <w:vertAlign w:val="superscript"/>
              </w:rPr>
              <w:t>$</w:t>
            </w:r>
            <w:r>
              <w:rPr>
                <w:rFonts w:ascii="Times New Roman" w:cs="Times New Roman" w:eastAsia="Times New Roman" w:hAnsi="Times New Roman"/>
                <w:sz w:val="29"/>
                <w:szCs w:val="29"/>
                <w:color w:val="auto"/>
                <w:vertAlign w:val="superscript"/>
              </w:rPr>
              <w:t>0.05</w:t>
            </w:r>
            <w:r>
              <w:rPr>
                <w:rFonts w:ascii="Times New Roman" w:cs="Times New Roman" w:eastAsia="Times New Roman" w:hAnsi="Times New Roman"/>
                <w:sz w:val="16"/>
                <w:szCs w:val="16"/>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48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82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0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20" w:type="dxa"/>
            <w:vAlign w:val="bottom"/>
            <w:gridSpan w:val="3"/>
          </w:tcPr>
          <w:p>
            <w:pPr>
              <w:ind w:lef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480" w:type="dxa"/>
            <w:vAlign w:val="bottom"/>
            <w:tcBorders>
              <w:top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060" w:type="dxa"/>
            <w:vAlign w:val="bottom"/>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82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57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45770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-574040</wp:posOffset>
            </wp:positionV>
            <wp:extent cx="4749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56" w:lineRule="exact"/>
        <w:rPr>
          <w:sz w:val="20"/>
          <w:szCs w:val="20"/>
          <w:color w:val="auto"/>
        </w:rPr>
      </w:pPr>
    </w:p>
    <w:p>
      <w:pPr>
        <w:ind w:left="1260" w:right="539" w:firstLine="360"/>
        <w:spacing w:after="0" w:line="239" w:lineRule="auto"/>
        <w:rPr>
          <w:sz w:val="20"/>
          <w:szCs w:val="20"/>
          <w:color w:val="auto"/>
        </w:rPr>
      </w:pPr>
      <w:r>
        <w:rPr>
          <w:rFonts w:ascii="Times New Roman" w:cs="Times New Roman" w:eastAsia="Times New Roman" w:hAnsi="Times New Roman"/>
          <w:sz w:val="18"/>
          <w:szCs w:val="18"/>
          <w:color w:val="auto"/>
        </w:rPr>
        <w:t>If the holders of common stock warrants exercised all common stock warrants offered in this offering in full for shares of common stock, our as adjusted net tangible book value per share after this offering would be $            , representing an immediate increase in net tangible book value per share of $            to existing stockholders and immediate dilution of $            in as adjusted net tangible book value per share to investors participating in this offering.</w:t>
      </w:r>
    </w:p>
    <w:p>
      <w:pPr>
        <w:spacing w:after="0" w:line="63"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foregoing table and calculations are based on 97,901,034 shares of our common stock outstanding as of March 31, 2026, and excludes:</w:t>
      </w:r>
    </w:p>
    <w:p>
      <w:pPr>
        <w:spacing w:after="0" w:line="41" w:lineRule="exact"/>
        <w:rPr>
          <w:sz w:val="20"/>
          <w:szCs w:val="20"/>
          <w:color w:val="auto"/>
        </w:rPr>
      </w:pPr>
    </w:p>
    <w:p>
      <w:pPr>
        <w:ind w:left="1800" w:right="10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12,624,535 shares of common stock issuable upon exercise of stock options outstanding as of March 31, 2026, at a weighted-average exercise price of $6.35 per share;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493,689 shares of common stock issuable upon vesting of restricted stock unit awards outstanding as of March 31, 2026;</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8,174,276 shares of common stock reserved as of March 31, 2026 for future issuance under our Amended and Restated 2015 Stock Incentive Plan;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2,685,252 shares of common stock reserved as of March 31, 2026 for future issuance under our 2015 Employee Stock Purchase Plan.</w:t>
      </w:r>
    </w:p>
    <w:p>
      <w:pPr>
        <w:spacing w:after="0" w:line="40"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 supplement reflects and assumes no exercise of the outstanding options described above, no vesting of the outstanding restricted stock units described above, full exercise of the pre -funded warrants being issued in this offering and no exercise of the common stock warrants being issued in this offering. The information in this prospectus supplement does not reflect the issuance of up to $106.1 million of shares of our common stock that remain available for sale as of the date of this prospectus supplement under our “at-the-market” program with TD Securities (USA) LLC.</w:t>
      </w: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12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common stock, pre-funded warrants and common stock warrants being offered in this offering. The following description is subject in all respects to the provisions contained in the instruments governing the applicable security.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heading “Description of Capital Stock” in the accompanying prospectus. Our authorized capital stock consists of 390,000,000 shares of common stock, par value $0.0001 per share, and 5,000,000 shares of preferred stock, par value $0.0001 per share.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06"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purchasers. The form of pre-funded warrant will be filed as an exhibit to a Current Report on Form 8-K that we expect to file with the SEC.</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pre-funded warrants will expire on the date the pre-funded warrant is exercised in full.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subject to the exercisability limitations described below. The holder of the pre-funded warrant may exercise the pre-funded warrant by delivering an exercise notice, completed and duly signed, and 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 No fractional shares of our common stock will be issued in connection with the exercise of a pre-funded warrant. In lieu of fractional shares that would otherwise be issuable, the number of shares of common stock to be issued shall be rounded down to the next whole number.</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0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that, upon giving effect to such exercise, would cause: (1) the aggregate number of shares of our common stock beneficially owned by such holder (together with its affiliates) to exceed 4.99% or 9.99%, as elected by the holder, of the number of shares of our common stock outstanding immediately after giving effect to the exercise; or (2) the combined voting power of our securities beneficially owned by such holder (together with its affiliates) to exceed 4.99% or 9.99%, as elected by the holder, of the combined voting power of all of our securities outstanding immediately after giving effect to the exercise, as such percentage ownership is determined in accordance with the terms of the pre-funded warrant. However, any holder of a pre-funded warrant may increase or decrease</w:t>
      </w:r>
    </w:p>
    <w:p>
      <w:pPr>
        <w:spacing w:after="0" w:line="6"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such percentage to any other percentage not in excess of 19.99% provided that such increase will not be effective until the 61st day after notice from the holder is delivered to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1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exercise price of our common stock purchasable upon the exercise of the pre-funded warrants is $0.0001 per share.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as well as upon any distribution of assets, including cash, stock or</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19"/>
        <w:spacing w:after="0" w:line="282" w:lineRule="auto"/>
        <w:rPr>
          <w:sz w:val="20"/>
          <w:szCs w:val="20"/>
          <w:color w:val="auto"/>
        </w:rPr>
      </w:pPr>
      <w:r>
        <w:rPr>
          <w:rFonts w:ascii="Times New Roman" w:cs="Times New Roman" w:eastAsia="Times New Roman" w:hAnsi="Times New Roman"/>
          <w:sz w:val="18"/>
          <w:szCs w:val="18"/>
          <w:color w:val="auto"/>
        </w:rPr>
        <w:t>other securities, property, options, evidence of indebtedness or any other assets, to our stockholders. The exercise price of the pre-funded warrants will not be adjusted below the par value of our common stock.</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06"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06"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 funded warrants on the Nasdaq Global Select Market, any other national securities exchange or any other nationally recognized trading system.</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1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 and generally including any merger or consolidation with or into another person in which we are not the surviving entity, the sale of all or substantially all of our assets, the acquisition of more than 50% of our outstanding common stock, or any person or group becoming the beneficial owner of more than 50% of the voting power of our outstanding common stock, or any reclassification or compulsory share exchange pursuant to which our common stock is effectively converted into or exchanged for other securities, cash or property), the holders of the pre-funded warrant will have the right to receive, upon exercise of the pre-funded warrant, the same amount and kind of securities, cash or property that such holders would have been entitled to receive had they exercised the pre-funded warrant immediately prior to such fundamental transaction, without regard to any limitations on exercise contained in the pre-funded warrant.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0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and except for the right to participate in certain dividends and distributions, the holder of a pre -funded warrant does not have the rights or privileges of a holder of our common stock, including any voting rights, until such holder exercises the pre-funded warrant.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0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common stock warrants will be issued as individual warrant agreements to the purchasers. The form of common stock warrant will be filed as an exhibit to a Current Report on Form 8-K that we expect to file with the SEC.</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 and Exercisability</w:t>
      </w:r>
    </w:p>
    <w:p>
      <w:pPr>
        <w:spacing w:after="0" w:line="10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common stock warrants will be exercisable from the date of issuance and will expire on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 (1) month of follow-up and (ii) the date that is three years after the date of issuance. The common stock warrants will be exercisable solely by means of a cash exercise at the option of each holder, in whole or in part, by delivering to us a duly executed exercise notice and the exercise price, subject to a limited exception as set forth in the common stock warrant.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06" w:lineRule="exact"/>
        <w:rPr>
          <w:sz w:val="20"/>
          <w:szCs w:val="20"/>
          <w:color w:val="auto"/>
        </w:rPr>
      </w:pPr>
    </w:p>
    <w:p>
      <w:pPr>
        <w:ind w:left="1260" w:right="639" w:firstLine="360"/>
        <w:spacing w:after="0" w:line="253" w:lineRule="auto"/>
        <w:rPr>
          <w:sz w:val="20"/>
          <w:szCs w:val="20"/>
          <w:color w:val="auto"/>
        </w:rPr>
      </w:pPr>
      <w:r>
        <w:rPr>
          <w:rFonts w:ascii="Times New Roman" w:cs="Times New Roman" w:eastAsia="Times New Roman" w:hAnsi="Times New Roman"/>
          <w:sz w:val="18"/>
          <w:szCs w:val="18"/>
          <w:color w:val="auto"/>
        </w:rPr>
        <w:t>We may not effect the exercise of any common stock warrant, and a holder will not be entitled to exercise any portion of any common stock warrant that, upon giving effect to such exercise, would cause:</w:t>
      </w:r>
    </w:p>
    <w:p>
      <w:pPr>
        <w:ind w:left="1260" w:right="579"/>
        <w:spacing w:after="0"/>
        <w:tabs>
          <w:tab w:leader="none" w:pos="15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our common stock beneficially owned by such holder (together with its affiliates) to exceed 4.99% or 9.99%, as elected by the holder, of the number of shares of our common stock outstanding immediately after giving effect to the exercise; or (2) the combined voting power of our</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securities beneficially owned by such holder (together with its affiliates) to exceed 4.99% or 9.99%,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elected by the holder, of the combined voting power of all of our securities outstanding immediately after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giving effect to the exercise, as such percentage ownership is determined in accordance with the terms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common stock warrant. However, any holder of a common stock warrant may increase or decrease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percentage to any other percentage not in excess of 19.99% provided that any such increase will not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until the 61st day after notice from the holder is delivered to us.</w:t>
      </w:r>
    </w:p>
    <w:p>
      <w:pPr>
        <w:spacing w:after="0" w:line="9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To the extent that specified limitations described above restrict the exercise of the common stock warrants, a holder may choose, in lieu of receiving common stock upon exercise of such warrants, to receive a pre-funded warrant to purchase an identical number of shares of common stock it would have received upon the exercise of its common stock warrants; except that the applicable exercise price shall instead be the exercise price less $0.0001 per share, and the resulting issued pre-funded warrant shall have an exercise price of $0.0001 per share.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0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exercise price per share of our common stock purchasable upon the exercise of the common stock warrants is $            , or $            per pre-funded warrant if the holder elects to exercise the common stock warrant for pre-funded warrants. The exercise price of the common stock warrants and the number of shares of our common stock issuable upon exercise of the common stock warrants are subject to appropriate adjustment in the event of certain stock dividends and distributions, stock splits, stock combinations, reclassifications or similar events affecting our common stock, as well as upon any distribution of assets, including cash, stock or other securities, property, options, evidence of indebtedness or any other assets, to our stockholders. The exercise price of the common stock warrants will not be adjusted below the par value of our common stock.</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06"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Subject to applicable laws, the common stock warrants may be offered for sale, sold, transferred or assigned without our consent.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1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stock warrants, and we do not expect a market to develop. We do not intend to list the common stock warrants on the Nasdaq Global Select Market, any other national securities exchange or any other nationally recognized trading system.</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0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common stock warrant, and generally including any merger or consolidation with or into another person in which we are not the surviving entity, the sale of all or substantially all of our assets, the acquisition of more than 50% of our outstanding common stock, or any person or group becoming the beneficial owner of more than 50% of the voting power of our outstanding common stock, or any reclassification or compulsory share exchange pursuant to which our common stock is effectively converted into or exchanged for other securities, cash or property), the holders of the common stock warrant will have the right to receive, upon exercise of the common stock warrant, the same amount and kind of securities, cash or property that such holders would have been entitled to receive had they exercised the common stock warrant immediately prior to such fundamental transaction, without regard to any limitations on exercise contained in the common stock warrant.</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0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and except for the right to participate in certain dividends and distributions, the holder of a common stock warrant does not have the rights or privileges of a holder of our common stock, including any voting rights, until such holder receives shares of our common stock upon the due exercise of a common stock warrant.</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HOLDERS OF COMMON STOCK, PRE-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FUNDED WARRANTS OR COMMON STOCK WARRANTS</w:t>
      </w:r>
    </w:p>
    <w:p>
      <w:pPr>
        <w:spacing w:after="0" w:line="12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and estate tax considerations relating to ownership and disposition of our common stock, pre-funded warrants or common stock warrants acquired in this offering.</w:t>
      </w:r>
    </w:p>
    <w:p>
      <w:pPr>
        <w:spacing w:after="0" w:line="109"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(other than a partnership or other pass -through entity) of our common stock, pre-funded warrants or common stock warrants that is, for U.S. federal income tax purposes:</w:t>
      </w:r>
    </w:p>
    <w:p>
      <w:pPr>
        <w:spacing w:after="0" w:line="61"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800" w:right="519" w:hanging="180"/>
        <w:spacing w:after="0" w:line="263"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33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“non-U.S. holder” is, for U.S. federal income tax purposes, a beneficial owner of common stock, pre-funded warrants or common stock warrants that is not a U.S. holder or a partnership or other pass-through entity for U.S. federal income tax purposes.</w:t>
      </w:r>
    </w:p>
    <w:p>
      <w:pPr>
        <w:spacing w:after="0" w:line="10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or arrangements that are pass- through entities for U.S. federal income tax purposes or persons who hold their shares of our common stock, pre -funded warrants or common stock warrants through partnerships or such other pass-through entities or arrangements. A partner in a partnership or other pass-through entity that will hold our common stock, pre-funded warrants or common stock warrants should consult his, her or its own tax advisor regarding the tax consequences of the ownership and disposition of our common stock, pre-funded warrants or common stock warrants through a partnership or other pass-through entity, as applicable.</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based on current provisions of the Internal Revenue Code of 1986, or the Code,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holders described in this prospectus supplement. We have not requested a ruling from the Internal Revenue Service, or the IRS, with respect to the statements made and the conclusions reached in the following discussion and there can be no assurance that the IRS will not challenge one or more of the tax consequences described in this prospectus supplement.</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assume in this discussion that each holder holds shares of our common stock, pre-funded warrants or common stock warrants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aspects of U.S. state, local or non-U.S. taxes, gift or estate taxes, except as described below with respect to non-U.S. holders, any minimum tax, the special tax accounting rules under Section 451(b) of the Code or the Medicare tax on net investment income. This discussion also does not consider any specific facts or circumstances that may apply to a holder and does not address the special tax rules applicable to particular holders, such as:</w:t>
      </w:r>
    </w:p>
    <w:p>
      <w:pPr>
        <w:spacing w:after="0" w:line="288"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investment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including “qualified foreign pension funds” as defined in Section 897(l)(2) of the Code and entities all of the interests of which are held by qualified foreign pension funds;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pre-funded warrants or common stock warrants under the constructive sale provisions of the Code;</w:t>
      </w:r>
    </w:p>
    <w:p>
      <w:pPr>
        <w:spacing w:after="0" w:line="94"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pre-funded warrants or common stock warrants as part of a straddle, hedge, conversion transaction, synthetic security or other integrated investment or who have elected to mark securities to market;</w:t>
      </w:r>
    </w:p>
    <w:p>
      <w:pPr>
        <w:spacing w:after="0" w:line="10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5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or pre-funded warrants that constitute “qualified small business stock” under Section 1202 of the Code, or “Section 1244 stock” under Section 1244 of the Code;</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and</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and former citizens or former long-term residents of the United States.</w:t>
      </w:r>
    </w:p>
    <w:p>
      <w:pPr>
        <w:spacing w:after="0" w:line="140" w:lineRule="exact"/>
        <w:rPr>
          <w:sz w:val="20"/>
          <w:szCs w:val="20"/>
          <w:color w:val="auto"/>
        </w:rPr>
      </w:pPr>
    </w:p>
    <w:p>
      <w:pPr>
        <w:ind w:left="1260" w:right="879" w:firstLine="360"/>
        <w:spacing w:after="0" w:line="270"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AND IS NOT INTENDED TO BE, LEGAL OR TAX ADVICE. PROSPECTIVE INVESTORS SHOULD CONSULT THEIR OWN TAX ADVISORS REGARDING THE U.S. FEDERAL, STATE, LOCAL, AND NON-U.S. INCOME, ESTATE AND OTHER TAX CONSIDERATIONS OF ACQUIRING, HOLDING AND DISPOSING OF OUR COMMON STOCK, PRE-FUNDED WARRANTS OR COMMON STOCK WARRANTS.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Purchase Price to Common Stock, Pre-funded Warrants and Common Stock Warrants</w:t>
      </w:r>
    </w:p>
    <w:p>
      <w:pPr>
        <w:spacing w:after="0" w:line="16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For U.S. federal income tax purposes, a holder’s acquisition of the common stock warrants and common stock or pre-funded warrants, as applicable, should be treated as the acquisition of an “investment unit” consisting of one share of common stock or one pre-funded warrant, as applicable, and a warrant to acquire one share of our common stock, subject to adjustment. The purchase price for each investment unit will be allocated between these two components in proportion to their relative fair market values at the time the unit is purchased by the holder. This allocation of the purchase price for each unit will establish the holder’s initial tax basis for U.S. federal income tax purposes in the common stock or pre-funded warrant, as applicable, and the common stock warrant included in each unit. The separation of the share of common stock or pre-funded warrant, as applicable, and the common stock warrant included in each unit should not be a taxable event for U.S. federal income tax purposes. Each holder should consult his, her or its own tax advisor regarding the allocation of the purchase price for a unit.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Pre-Funded Warrants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Although it is not entirely free from doubt, a pre-funded warrant should be treated as a share of our</w:t>
      </w:r>
    </w:p>
    <w:p>
      <w:pPr>
        <w:spacing w:after="0" w:line="27"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common stock for U.S. federal income tax purposes and a holder of pre-funded warrants should generally be taxed in the same manner as a holder of common stock as described below. Accordingly, upon exercise, no gain or loss should be recognized and the holding period of a pre-funded warrant should carry over to the share of common stock received. Similarly, the tax basis of the pre-funded warrant should carry over to the share of common stock received upon exercise increased by the exercise price per share. Our characterization is not binding on the IRS, and the IRS may treat our pre-funded warrants as warrants to acquire shares of our common stock. In that case, the amount and character of a holder’s gain with respect to an investment in pre-funded warrants pursuant to this offering could be materially different than the discussion set forth below. Each holder should consult his, her or its own tax advisor regarding the risks associated with the acquisition of a pre-funded warrant pursuant to this offering (including potential alternative characterizations). The balance of this discussion generally assumes that the characterization described above is respected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and Expiration of Common Stock Warrants</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 general, a U.S. holder will not recognize gain or loss for U.S. federal income tax purposes upon exercise of a common stock warrant. The U.S. holder will take a tax basis in the shares acquired on the exercise of a common stock warrant equal to the exercise price of the warrant, increased by the U.S. holder’s adjusted tax basis in the common stock warrant exercised (as determined pursuant to the rules discussed above). The U.S. holder’s holding period in the shares of our common stock acquired on exercise of the common stock warrant will begin on the date of exercise of the warrant (or possibly, the day after), and will not include any period for which the U.S. holder held the warrant.</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lapse or expiration of a common stock warrant will be treated as if the U.S. holder sold or exchanged the common stock warrant and recognized a loss in an amount equal to the U.S. holder’s tax basis in the common stock warrant. Any such loss generally will be a capital loss and will be long-term capital loss if the common stock warrant is held for more than one year. The deductibility of capital losses is subject to limitations.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Adjustments to and Distributions on the Common Stock Warrants</w:t>
      </w:r>
    </w:p>
    <w:p>
      <w:pPr>
        <w:spacing w:after="0" w:line="14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Under Section 305 of the Code, an adjustment to (or failure to adjust) the number of shares of common stock issued on the exercise of the common stock warrants, or an adjustment to (or failure to adjust) the exercise price of the common stock warrants, may be treated as a constructive distribution to a U.S. holder of the common stock warrants if, and to the extent that, such adjustment (or failure to adjust) has the effect of increasing such U.S. holder’s proportionate interest in our “earnings and profits” or assets, as determined under U.S. federal income tax principles, depending on the circumstances of such adjustment. An adjustment made pursuant to a bona fide reasonable adjustment formula that has the effect of preventing dilution should generally not be considered to result in a constructive distribution. Any such constructive distribution would be taxable whether or not there is an actual distribution in cash or other property to the holders of common stock warrants. For more information regarding the tax considerations related to distributions, see the discussion below regarding “Tax Considerations Applicable to U.S. Holders —  Distributions on Common Stock and Pre-Funded Warrants”. U.S. holders should consult their tax advisors regarding the proper treatment of any adjustments to and distributions on the common stock warrants.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Common Stock and Pre-Funded Warrants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However, if we make distributions in respect of our common stock or pre-funded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the holder’s tax basis in the common stock or pre -funded warrants (and will reduce the U.S. holder’s basis in the common stock or pre-funded warrants, but not below zero). Any remaining excess will be treated as capital gain, subject to the tax treatment described below under the heading “Tax Considerations Applicable to U.S. Holders — Gain on Sale, Exchange or Other Taxable Disposition of Our Common Stock, Pre-Funded Warrants or Common Stock Warrants.”</w:t>
      </w:r>
    </w:p>
    <w:p>
      <w:pPr>
        <w:spacing w:after="0" w:line="200" w:lineRule="exact"/>
        <w:rPr>
          <w:sz w:val="20"/>
          <w:szCs w:val="20"/>
          <w:color w:val="auto"/>
        </w:rPr>
      </w:pPr>
    </w:p>
    <w:p>
      <w:pPr>
        <w:ind w:left="1260" w:right="879"/>
        <w:spacing w:after="0" w:line="268" w:lineRule="auto"/>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Our Common Stock, Pre-Funded Warrants or Common Stock Warrants</w:t>
      </w:r>
    </w:p>
    <w:p>
      <w:pPr>
        <w:spacing w:after="0" w:line="93"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Upon a sale, exchange or other taxable disposition of our common stock, pre-funded warrants or common stock warrants (other than by exercise), a U.S. holder generally will recognize capital gain or loss in an amount equal to the difference between the amount of cash and the fair market value of any property received upon the sale, exchange or other taxable disposition and the U.S. holder’s adjusted tax basis in the common stock, pre-funded warrants or common stock warrants, as applicable. Capital gain or loss will constitute long-term capital gain or loss if the U.S. holder’s holding period for the common stock, pre-funded warrants or common stock warrants, as applicable, exceeds one year. Long-term capital gains recognized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by certain non-corporate U.S. holders, including individuals, generally will be subject to reduced rates of U.S. federal income tax. The deductibility of capital losses is subject to certain limitations. U.S. holders who recognize losses with respect to a sale, exchange or other taxable disposition of our common stock, pre-funded warrants or common stock warrants should consult their own tax advisors regarding the tax treatment of such losses.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distributions (including constructive distributions) on the common stock, pre-funded warrants or common stock warrants and to the proceeds of a sale or other disposition of common stock, pre-funded warrants or common stock warrants paid by us to a U.S. holder unless such U.S. holder is an exempt recipient from backup withholding, such as C corporations and certain tax- exempt organizations.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and Expiration of Common Stock Warrants</w:t>
      </w:r>
    </w:p>
    <w:p>
      <w:pPr>
        <w:spacing w:after="0" w:line="146"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the exercise of the common stock warrants into shares of common stock.</w:t>
      </w:r>
    </w:p>
    <w:p>
      <w:pPr>
        <w:spacing w:after="0" w:line="8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expiration or lapse of a common stock warrant will be treated as if the non-U.S. holder sold or exchanged the warrant and recognized a capital loss equal to the non -U.S. holder’s tax basis in the common stock warrant. However, a non-U.S. holder will not be able to utilize a loss recognized upon expiration or lapse of a common stock warrant against the non-U.S. holder’s U.S. federal income tax liability unless the loss is effectively connected with the non-U.S. holder’s conduct of a trade or business within the United States (and, if an income tax treaty applies, is attributable to a permanent establishment or fixed base maintained by the non-U.S. holder in the United States) or is treated as a U.S.-source loss and the non-U.S. holder is present in the United States for 183 days or more in the taxable year of disposition and certain other conditions are met.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Adjustments to and Distributions on the Common Stock Warrants</w:t>
      </w:r>
    </w:p>
    <w:p>
      <w:pPr>
        <w:spacing w:after="0" w:line="16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As described under “Tax Considerations Applicable to U.S. Holders — Certain Adjustments to and Distributions on the Common Stock Warrants”, an adjustment to the common stock warrants could result in a constructive distribution to a non-U.S. holder, which would be treated as described under “Tax Considerations Applicable to Non-U.S. Holders — Distributions on our Common Stock or Pre-Funded Warrants” below. Any resulting withholding tax attributable to deemed dividends would be collected from other amounts payable or distributable to the non-U.S. holder. Non-U.S. holders should consult their tax advisors regarding the proper treatment of any adjustments to and distributions on the common stock warrants.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our Common Stock or Pre-Funded Warrants</w:t>
      </w:r>
    </w:p>
    <w:p>
      <w:pPr>
        <w:spacing w:after="0" w:line="146"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If we make distributions in respect of our common stock or pre-funded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 -U.S. holder’s investment, up to the holder’s tax basis in the common stock or pre-funded warrants (and will reduce the non-U.S. holder’s basis in the common stock or pre-funded warrants, but not below zero). Any remaining excess will be treated as capital gain, subject to the tax treatment described below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heading “Tax Considerations Applicable to Non-U.S. Holders — Gain on Sale, Exchange or Other Taxable Disposition of Our Common Stock, Pre-Funded Warrants or Common Stock Warrants.” Any distributions will also be subject to the discussions below under the headings “Tax Considerations Applicable to Non-U.S. Holders — Information Reporting and Backup Withholding” and “— FATCA.”</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Except as described below,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or pre-funded warrants who claims the benefit of an applicable income tax treaty between the United States and such holder’s country of residence generally will be required to provide us or our paying agent with a properly executed IRS Form W- 8BEN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 U.S. holders are urged to consult their own tax advisors regarding their entitlement to benefits under a relevant income tax treaty and the specific methods available to them to satisfy these requirements.</w:t>
      </w:r>
    </w:p>
    <w:p>
      <w:pPr>
        <w:spacing w:after="0" w:line="32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Non-U.S. holders should consult their tax advisors with respect to other U.S. tax consequences of the ownership and disposition of our common stock and pre-funded warrants, including the possible imposition of the branch profits tax.</w:t>
      </w:r>
    </w:p>
    <w:p>
      <w:pPr>
        <w:spacing w:after="0" w:line="181" w:lineRule="exact"/>
        <w:rPr>
          <w:sz w:val="20"/>
          <w:szCs w:val="20"/>
          <w:color w:val="auto"/>
        </w:rPr>
      </w:pPr>
    </w:p>
    <w:p>
      <w:pPr>
        <w:ind w:left="1260" w:right="879"/>
        <w:spacing w:after="0" w:line="268" w:lineRule="auto"/>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Our Common Stock, Pre-Funded Warrants or Common Stock Warrants</w:t>
      </w:r>
    </w:p>
    <w:p>
      <w:pPr>
        <w:spacing w:after="0" w:line="93"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under “Tax Considerations Applicable to Non-U.S. Holders —  Information Reporting and Backup Withholding” and “— FATCA,” a non-U.S. holder generally will not be subject to U.S. federal income tax on any gain realized upon such non-U.S. holder’s sale, exchange or other disposition of our common stock, pre-funded warrants or common stock warrants unless:</w:t>
      </w:r>
    </w:p>
    <w:p>
      <w:pPr>
        <w:spacing w:after="0" w:line="83" w:lineRule="exact"/>
        <w:rPr>
          <w:sz w:val="20"/>
          <w:szCs w:val="20"/>
          <w:color w:val="auto"/>
        </w:rPr>
      </w:pPr>
    </w:p>
    <w:p>
      <w:pPr>
        <w:ind w:left="1800" w:right="739" w:hanging="180"/>
        <w:spacing w:after="0" w:line="254"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same U.S. federal income tax rates applicable to U.S. persons (as defined in the Code), and, if the non-U.S. holder is a foreign corporation, the branch profits tax described above under the heading “Tax Considerations Applicable to Non-U.S. Holders — Distributions on our Common Stock or Pre-funded Warrants” may also apply;</w:t>
      </w:r>
    </w:p>
    <w:p>
      <w:pPr>
        <w:spacing w:after="0" w:line="70"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provided that the non-U.S. holder has timely filed U.S. federal income tax returns with respect to such losses; or</w:t>
      </w:r>
    </w:p>
    <w:p>
      <w:pPr>
        <w:spacing w:after="0" w:line="8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(in the case of a non-U.S. holder of our common stock) holding period, if shorter)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63" w:lineRule="auto"/>
        <w:rPr>
          <w:sz w:val="20"/>
          <w:szCs w:val="20"/>
          <w:color w:val="auto"/>
        </w:rPr>
      </w:pPr>
      <w:r>
        <w:rPr>
          <w:rFonts w:ascii="Times New Roman" w:cs="Times New Roman" w:eastAsia="Times New Roman" w:hAnsi="Times New Roman"/>
          <w:sz w:val="18"/>
          <w:szCs w:val="18"/>
          <w:color w:val="auto"/>
        </w:rPr>
        <w:t>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Special rules may apply to a holder of a pre-funded warrant or common stock warrants. Non-U.S. holders are urged to consult their own tax advisors regarding the application of these rules to pre-funded warrants or common stock warrants.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if the fair market value of its “U.S. real property interests,” as defined in the Code,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Federal Estate Tax</w:t>
      </w:r>
    </w:p>
    <w:p>
      <w:pPr>
        <w:spacing w:after="0" w:line="146"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Shares of our common stock or pre-funded warrants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 The foregoing may also apply to common stock warrants.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46"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(including constructive distributions) on our common stock, pre-funded warrants or common stock warrants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with respect to distributions on our common stock or pre-funded warrants. Generally, a non-U.S.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“Tax Considerations Applicable to Non-U.S. Holders — Distributions on Common Stock or Pre-funded Warrants,” will generally be exempt from U.S. backup withholding.</w:t>
      </w:r>
    </w:p>
    <w:p>
      <w:pPr>
        <w:spacing w:after="0" w:line="34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pre-funded warrants or common stock warrants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non-U.S. broker. Non-U.S. holders should consult their own tax advisors regarding the application of the information reporting and backup withholding rules to them.</w:t>
      </w:r>
    </w:p>
    <w:p>
      <w:pPr>
        <w:spacing w:after="0" w:line="109"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82"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6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dividends on, and gross proceeds from the sale or other disposition of, our common stock, pre-funded warrants or common stock warrants if paid to a foreign entity</w:t>
      </w:r>
    </w:p>
    <w:p>
      <w:pPr>
        <w:spacing w:after="0" w:line="1"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unless (1) if the foreign entity is a “foreign financial institution” (which​ is broadly defined for this purpose and in general includes investment vehicles), the foreign entity undertakes certain due diligence, reporting, withholding, and certification obligations, (2) if the foreign entity is not a “foreign financial institution,” the foreign entity identifies certain of its U.S. investors, or (3) the foreign entity is otherwise excepted under FATCA.</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Withholding under FATCA generally applies to payments of dividends (including constructive dividends) on our common stock, pre-funded warrants or common stock warrants. While withholding under FATCA may apply to payments of gross proceeds from a sale or other disposition of our common stock, pre-funded warrants or common stock warrants, withholding on payments of gross proceeds is not required under proposed U.S. Treasury Regulations. Although such regulations are not final, applicable withholding agents may rely on the proposed regulations until final regulations are issued.</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withholding under FATCA is required on any payment related to our common stock. pre-funded warrants or common stock warrants,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pre-funded warrants or common stock warrants and the entities through which they hold our common stock, pre-funded warrants or common stock warrants.</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pre-funded warrants or common stock warrants, including the consequences of any proposed changes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offering the shares of common stock, pre-funded warrants and common stock warrants described in this prospectus supplement through a number of underwriters. Cantor Fitzgerald &amp; Co. and Wells Fargo Securities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Pre-Funded</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Accompanying</w:t>
            </w:r>
          </w:p>
        </w:tc>
        <w:tc>
          <w:tcPr>
            <w:tcW w:w="40" w:type="dxa"/>
            <w:vAlign w:val="bottom"/>
          </w:tcPr>
          <w:p>
            <w:pPr>
              <w:spacing w:after="0"/>
              <w:rPr>
                <w:sz w:val="14"/>
                <w:szCs w:val="14"/>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 </w:t>
            </w:r>
            <w:r>
              <w:rPr>
                <w:rFonts w:ascii="Times New Roman" w:cs="Times New Roman" w:eastAsia="Times New Roman" w:hAnsi="Times New Roman"/>
                <w:sz w:val="24"/>
                <w:szCs w:val="24"/>
                <w:b w:val="1"/>
                <w:bCs w:val="1"/>
                <w:color w:val="auto"/>
                <w:vertAlign w:val="subscript"/>
              </w:rPr>
              <w:t>​ ​</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auto"/>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-530860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-530860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-530860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underwriters are committed to purchase all the common shares, pre-funded warrants and common stock warrants offered by us if they purchase any securities. The underwriting agreement also provides that if an underwriter defaults, the purchase commitments of non-defaulting underwriters may also be increased or the offering may be terminated.</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underwriters propose to offer the common shares, pre-funded warrants and accompanying common stock warrants directly to the public at the initial public offering prices set forth on the cover page of this prospectus supplement and to certain dealers at that price less a concession not in excess of $            per share and accompanying common stock warrant and $            per pre- funded warrant and accompanying common stock warrant. Any such dealers may resell shares to certain other brokers or dealers at a discount of up to $             per share and accompanying common stock warrant from the initial public offering price and resell prefunded warrants and accompanying common stock warrant to certain other brokers or dealers at a discount of up to $            per pre-funded warrant and accompanying common stock warrant. After the initial offering of the securities to the public, if all of the securities are not sold at the initial public offering price, the underwriters may change the offering price and the other selling terms. Sales of any securities made outside of the United States may be made by affiliates of the underwriters.</w:t>
      </w:r>
    </w:p>
    <w:p>
      <w:pPr>
        <w:spacing w:after="0" w:line="12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underwriting fee is equal to the public offering purchase price of the securities in this offering less the amount paid by the underwriters to us for the securities. The following table shows the per share and total underwriting discounts and commissions to be paid to the underwriters assuming both no exercise and full exercise of the underwriters’ option to purchase additional shares.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foregoing, no later than five business days following the end of each calendar quarter during which any common stock warrants remain outstanding, the Company shall (i) deliver to the representatives a report detailing exercises of common stock warrants and the aggregate amount of consideration received by or payable to the Company with respect to such exercises and (ii) pay to the underwriters a fee equal to        % of such consideration.</w:t>
      </w:r>
    </w:p>
    <w:p>
      <w:pPr>
        <w:spacing w:after="0" w:line="13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 Share of</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Pre-Funded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Warrant and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Accompanying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Accompanying</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6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Totals</w:t>
            </w:r>
            <w:r>
              <w:rPr>
                <w:rFonts w:ascii="Times New Roman" w:cs="Times New Roman" w:eastAsia="Times New Roman" w:hAnsi="Times New Roman"/>
                <w:sz w:val="24"/>
                <w:szCs w:val="24"/>
                <w:b w:val="1"/>
                <w:bCs w:val="1"/>
                <w:color w:val="auto"/>
                <w:vertAlign w:val="subscript"/>
              </w:rPr>
              <w:t>​</w:t>
            </w:r>
          </w:p>
        </w:tc>
      </w:tr>
      <w:tr>
        <w:trPr>
          <w:trHeight w:val="20"/>
        </w:trPr>
        <w:tc>
          <w:tcPr>
            <w:tcW w:w="3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-496570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3754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pre-funded warrants and accompanying common stock warrants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and each of our executive officers and directors, have agreed that, without the prior written consent of the representatives, we and each of our executive officers and directors will not, subject to limited exceptions, during the period ending 90 days after the date of this prospectus supplement, or the restricted period:</w:t>
      </w:r>
    </w:p>
    <w:p>
      <w:pPr>
        <w:spacing w:after="0" w:line="282" w:lineRule="exact"/>
        <w:rPr>
          <w:sz w:val="20"/>
          <w:szCs w:val="20"/>
          <w:color w:val="auto"/>
        </w:rPr>
      </w:pPr>
    </w:p>
    <w:p>
      <w:pPr>
        <w:ind w:left="1800" w:right="51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by us or them or any other securities so owned convertible into or exercisable or exchangeable for common stock;</w:t>
      </w:r>
    </w:p>
    <w:p>
      <w:pPr>
        <w:spacing w:after="0" w:line="71"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or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make any such offer, pledge, sale, contract, purchase, grant, loan, transfer, or disposition, or enter into any such swap or other arrangement whether any such transaction described above is to be settled by delivery of common stock or such other securities, in cash or otherwise. In addition, we and each such person have agreed that, without the prior written consent of the representatives on behalf of the underwriters, we will not file any registration statement with the SEC relating to the offering of, or such other person will not, during the restricted period of 90 days, make any demand for or exercise any right with respect to the registration of any shares of common stock or any security convertible into or exercisable or exchangeable for common stock.</w:t>
      </w:r>
    </w:p>
    <w:p>
      <w:pPr>
        <w:spacing w:after="0" w:line="32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certain transactions, including:</w:t>
      </w:r>
    </w:p>
    <w:p>
      <w:pPr>
        <w:spacing w:after="0" w:line="40" w:lineRule="exact"/>
        <w:rPr>
          <w:sz w:val="20"/>
          <w:szCs w:val="20"/>
          <w:color w:val="auto"/>
        </w:rPr>
      </w:pPr>
    </w:p>
    <w:p>
      <w:pPr>
        <w:ind w:left="1800" w:right="5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securities to the underwriters or the issuance by us of common stock upon the exercise of the pre-funded warrants or the common stock warrants issued in this offering;</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vesting of a restricted stock unit or the conversion of a security outstanding on the date of this prospectus supplement and described in this prospectus supplement or the accompanying prospectus or any document incorporated by reference herein or therein, of which the underwriters have been advised in writing;</w:t>
      </w:r>
    </w:p>
    <w:p>
      <w:pPr>
        <w:spacing w:after="0" w:line="75"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any options and other awards granted under a stock incentive plan or stock purchase plan described in this prospectus supplement or the accompanying prospectus or any document incorporated by reference herein or therein (and the issuance by us of shares of common stock upon the exercise thereof) or pursuant to Nasdaq Stock Market Rule 5635(c)(4);</w:t>
      </w:r>
    </w:p>
    <w:p>
      <w:pPr>
        <w:spacing w:after="0" w:line="71"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any registration statement on Form S-8 or a successor form thereto relating to the shares of common stock granted pursuant to or reserved for issuance under a stock incentive plan or stock purchase plan described in this prospectus supplement or the accompanying prospectus or any document incorporated by reference herein or therein or inducement awards pursuant to Nasdaq Stock Market Rule 5635(c)(4);</w:t>
      </w:r>
    </w:p>
    <w:p>
      <w:pPr>
        <w:spacing w:after="0" w:line="6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 resale registration statement on Form S-3 relating to the shares of common stock issuable upon settlement of promissory notes issued in satisfaction of payment obligations under our existing licensing agreements described in this prospectus supplement or the accompanying prospectus or any document incorporated by reference herein or therein;</w:t>
      </w:r>
    </w:p>
    <w:p>
      <w:pPr>
        <w:spacing w:after="0" w:line="71" w:lineRule="exact"/>
        <w:rPr>
          <w:rFonts w:ascii="Times New Roman" w:cs="Times New Roman" w:eastAsia="Times New Roman" w:hAnsi="Times New Roman"/>
          <w:sz w:val="18"/>
          <w:szCs w:val="18"/>
          <w:color w:val="auto"/>
        </w:rPr>
      </w:pPr>
    </w:p>
    <w:p>
      <w:pPr>
        <w:jc w:val="both"/>
        <w:ind w:left="1800" w:right="47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issuance by us of shares of common stock issued in satisfaction of payment obligations under licensing agreements where our payment obligations may be satisfied by the issuance of promissory notes that may be settled in shares of common stock, and described in this prospectus supplement or the accompanying prospectus or any document incorporated by reference herein or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42" w:lineRule="auto"/>
        <w:rPr>
          <w:sz w:val="20"/>
          <w:szCs w:val="20"/>
          <w:color w:val="auto"/>
        </w:rPr>
      </w:pPr>
      <w:r>
        <w:rPr>
          <w:rFonts w:ascii="Times New Roman" w:cs="Times New Roman" w:eastAsia="Times New Roman" w:hAnsi="Times New Roman"/>
          <w:sz w:val="18"/>
          <w:szCs w:val="18"/>
          <w:color w:val="auto"/>
        </w:rPr>
        <w:t>therein; or (b) the issuance by us of shares of common stock or other securities issued in connection with any (i) mergers, (ii) acquisition of securities, businesses, property or other assets, (iii) joint ventures, (iv) strategic alliances, (v) partnerships with experts or other talent to develop or provide content, (vi) equipment leasing arrangements or (vii) debt financing; provided that (x) the aggregate number of shares of common stock or other securities issued pursuant to exceptions described in this bullet point shall not exceed in the aggregate 10.0% of the total number of shares of common stock then outstanding at the first such issuance (determined, in the case of any such other securities, based on the maximum number of shares of common stock issuable upon conversion, exercise or exchange of such other securities, whether or not such others securities are then convertible into or exercisable or exchangeable for shares of common stock) and (y) each recipient of any such shares of common stock or other securities issued pursuant to clause (b) of this bullet point shall execute and deliver to the representatives a lock-up agreement with restrictions substantially similar to those described in this prospectus supplement;</w:t>
      </w:r>
    </w:p>
    <w:p>
      <w:pPr>
        <w:spacing w:after="0" w:line="290" w:lineRule="exact"/>
        <w:rPr>
          <w:sz w:val="20"/>
          <w:szCs w:val="20"/>
          <w:color w:val="auto"/>
        </w:rPr>
      </w:pPr>
    </w:p>
    <w:p>
      <w:pPr>
        <w:jc w:val="both"/>
        <w:ind w:left="1800" w:right="5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transactions by any person other than us relating to shares of common stock or other securities acquired in open market transactions after the completion of the offering of the securities;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transfers by any person other than us of shares of common stock or any security convertible into common stock as a bona fide gift, transfers or dispositions of shares of common stock or such other securities to any trust for the direct or indirect benefit of such person or the immediate family of such person in a transaction not involving a disposition for value, transfers or dispositions of shares of common stock or such other securities to any corporation, partnership, limited liability company or other entity all of the beneficial ownership interests of which are held by such person or the immediate family of such person in a transaction not involving a disposition for value, transfers or dispositions of shares of common stock or such other securities by will, other testamentary document or intestate succession to the legal representative, heir, beneficiary, or a member of the immediate family of such person, or distributions of shares of common stock or any security convertible into common stock to limited partners, members or stockholders of such person;</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transfers or dispositions of common stock or any security convertible into or exercisable or exchangeable for common stock to us pursuant to any contractual arrangement in effect at the date of the agreement described in this prospectus supplement or the accompanying prospectus or any document incorporated by reference herein or therein that provides for the repurchase of such person’s common stock or such other securities by us or in connection with the termination of such person’s employment with us;</w:t>
      </w:r>
    </w:p>
    <w:p>
      <w:pPr>
        <w:spacing w:after="0" w:line="65"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such person or us regarding the establishment of such plan, such announcement or filing shall include a statement to the effect that no transfer of common stock may be made under such plan during the restricted period;</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transfers or dispositions of shares of common stock under trading plans established prior to the date of this prospectus supplement pursuant to Rule 10b5-1 under the Exchange Act;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sales or other dispositions of common stock for the purpose of satisfying any withholding taxes (including estimated taxes) due as a result of the vesting of any restricted stock unit held by such person pursuant to an employee incentive program described in this prospectus supplement or the accompanying prospectus or any document incorporated by reference herein or therein.</w:t>
      </w:r>
    </w:p>
    <w:p>
      <w:pPr>
        <w:spacing w:after="0" w:line="33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securities subject to any of the lock-up agreements described above, in whole or in part at any time.</w:t>
      </w:r>
    </w:p>
    <w:p>
      <w:pPr>
        <w:spacing w:after="0" w:line="9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“EDIT.”</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333"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over-the-counter market or otherwise.</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2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w:t>
      </w: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21" w:lineRule="exact"/>
        <w:rPr>
          <w:sz w:val="20"/>
          <w:szCs w:val="20"/>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57"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or</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underwriters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representatives and us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have been obtained to each such proposed offer or resale.</w:t>
      </w:r>
    </w:p>
    <w:p>
      <w:pPr>
        <w:spacing w:after="0" w:line="34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97" w:lineRule="auto"/>
        <w:rPr>
          <w:sz w:val="20"/>
          <w:szCs w:val="20"/>
          <w:color w:val="auto"/>
        </w:rPr>
      </w:pPr>
      <w:r>
        <w:rPr>
          <w:rFonts w:ascii="Times New Roman" w:cs="Times New Roman" w:eastAsia="Times New Roman" w:hAnsi="Times New Roman"/>
          <w:sz w:val="18"/>
          <w:szCs w:val="18"/>
          <w:color w:val="auto"/>
        </w:rPr>
        <w:t>the terms of the offer and any securities to be offered so as to enable an investor to decide to purchase or subscribe for any securities, and the expression “Prospectus Regulation” means Regulation (EU) 2017/1129.</w:t>
      </w:r>
    </w:p>
    <w:p>
      <w:pPr>
        <w:spacing w:after="0" w:line="15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48"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except that the securities may be offered to the public in the United Kingdom at any time:</w:t>
      </w:r>
    </w:p>
    <w:p>
      <w:pPr>
        <w:spacing w:after="0" w:line="95" w:lineRule="exact"/>
        <w:rPr>
          <w:sz w:val="20"/>
          <w:szCs w:val="20"/>
          <w:color w:val="auto"/>
        </w:rPr>
      </w:pPr>
    </w:p>
    <w:p>
      <w:pPr>
        <w:ind w:left="1980" w:right="479" w:hanging="360"/>
        <w:spacing w:after="0" w:line="258"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w:t>
      </w:r>
    </w:p>
    <w:p>
      <w:pPr>
        <w:spacing w:after="0" w:line="11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171"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in paragraph 15 of Schedule 1 of the POATR), subject to obtaining the prior consent of representatives for any such offer;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to any person which presents sufficient information on:</w:t>
      </w:r>
    </w:p>
    <w:p>
      <w:pPr>
        <w:ind w:left="1260" w:right="699"/>
        <w:spacing w:after="0" w:line="271" w:lineRule="auto"/>
        <w:tabs>
          <w:tab w:leader="none" w:pos="15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offered; and (b) the terms on which they are to be offered, to enable an investor to decide to buy or subscribe for the securities and the expression “POATR” means the Public Offers and Admissions to Trading Regulations 2024.</w:t>
      </w:r>
    </w:p>
    <w:p>
      <w:pPr>
        <w:spacing w:after="0" w:line="181" w:lineRule="exact"/>
        <w:rPr>
          <w:sz w:val="20"/>
          <w:szCs w:val="20"/>
          <w:color w:val="auto"/>
        </w:rPr>
      </w:pPr>
    </w:p>
    <w:p>
      <w:pPr>
        <w:ind w:left="1620" w:right="2919" w:firstLine="2159"/>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Notice to Prospective Investors in Australia </w:t>
      </w:r>
      <w:r>
        <w:rPr>
          <w:rFonts w:ascii="Times New Roman" w:cs="Times New Roman" w:eastAsia="Times New Roman" w:hAnsi="Times New Roman"/>
          <w:sz w:val="18"/>
          <w:szCs w:val="18"/>
          <w:color w:val="auto"/>
        </w:rPr>
        <w:t>This prospectus supplement and the accompanying prospectus:</w:t>
      </w:r>
    </w:p>
    <w:p>
      <w:pPr>
        <w:spacing w:after="0" w:line="1" w:lineRule="exact"/>
        <w:rPr>
          <w:sz w:val="20"/>
          <w:szCs w:val="20"/>
          <w:color w:val="auto"/>
        </w:rPr>
      </w:pPr>
    </w:p>
    <w:p>
      <w:pPr>
        <w:ind w:left="1800" w:right="12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a product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3"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and will not be, lodged with the Australian Securities and Investments Commission (“ASIC”) as a disclosure document for the purposes of the Corporations Act and do not purport to include the information required of a disclosure document for the purposes of the Corporations Act; and</w:t>
      </w:r>
    </w:p>
    <w:p>
      <w:pPr>
        <w:spacing w:after="0" w:line="332" w:lineRule="exact"/>
        <w:rPr>
          <w:sz w:val="20"/>
          <w:szCs w:val="20"/>
          <w:color w:val="auto"/>
        </w:rPr>
      </w:pPr>
    </w:p>
    <w:p>
      <w:pPr>
        <w:ind w:left="1800" w:right="619"/>
        <w:spacing w:after="0" w:line="274" w:lineRule="auto"/>
        <w:rPr>
          <w:sz w:val="20"/>
          <w:szCs w:val="20"/>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0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2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As any offer of securities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Bermuda</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British Virgin Islands</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securities are not being, and may not be offered to the public or to any person in the British Virgin Islands for purchase or subscription by or on behalf of the us. The securities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China</w:t>
      </w:r>
    </w:p>
    <w:p>
      <w:pPr>
        <w:spacing w:after="0" w:line="148"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will not be circulated or distributed in the PRC and the securities will not be offered or sold, and will not be offered or sold to any person for re-offering or resale directly or indirectly to any residents of the PRC except pursuant to any applicable laws and regulations of the PRC. None of this prospectus supplement, the accompanying prospectus nor any advertisement or other offering material may be distributed or published in the PRC, except under circumstances that will result in compliance with applicable laws and regulations.</w:t>
      </w:r>
    </w:p>
    <w:p>
      <w:pPr>
        <w:spacing w:after="0" w:line="17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Dubai International Financial Centre (“DIFC”)</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32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(the “SFO”) of Hong Kong and any rules made thereunder; or (b) in other circumstances which do not result in the document being a “prospectus” as defined in the Companies (Winding Up and Miscellaneous Provisions) Ordinance (Cap. 32) (the “CO”) of Hong Kong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62" w:lineRule="exact"/>
        <w:rPr>
          <w:sz w:val="20"/>
          <w:szCs w:val="20"/>
          <w:color w:val="auto"/>
        </w:rPr>
      </w:pPr>
    </w:p>
    <w:p>
      <w:pPr>
        <w:jc w:val="center"/>
        <w:ind w:left="1600" w:right="240"/>
        <w:spacing w:after="0" w:line="266"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Investments Services and Capital Markets Act of Korea and the decrees and regulations thereunder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18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Malaysia</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w:t>
      </w:r>
    </w:p>
    <w:p>
      <w:pPr>
        <w:spacing w:after="0" w:line="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8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Saudi Arabia</w:t>
      </w:r>
    </w:p>
    <w:p>
      <w:pPr>
        <w:spacing w:after="0" w:line="162"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This prospectus supplement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does not make any</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w:t>
      </w:r>
    </w:p>
    <w:p>
      <w:pPr>
        <w:spacing w:after="0" w:line="17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no securities have been or will be offered or sold and no securities have been or will be made the subject of an invitation for subscription or purchase, and no prospectus or prospectus supplement or any other document or material in connection with the offer or sale, or invitation for subscription or purchase, of the securities, has been or will be circulated or distributed, whether directly or indirectly, to any person in Singapore other than (i) to an institutional investor (as defined in Section 4A of the Securities and Futures Act 2001 of Singapore, as modified or amended from time to time (the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 pursuant to Section 274 of the SFA or (ii) to an accredited investor (as defined in Section 4A of the SFA) pursuant to and in accordance with the conditions specified in Section 275 of the SFA.</w:t>
      </w:r>
    </w:p>
    <w:p>
      <w:pPr>
        <w:spacing w:after="0" w:line="3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Africa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w:t>
      </w:r>
    </w:p>
    <w:p>
      <w:pPr>
        <w:spacing w:after="0" w:line="120" w:lineRule="exact"/>
        <w:rPr>
          <w:sz w:val="20"/>
          <w:szCs w:val="20"/>
          <w:color w:val="auto"/>
        </w:rPr>
      </w:pPr>
    </w:p>
    <w:p>
      <w:pPr>
        <w:ind w:left="1980" w:right="73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transfer, sale, renunciation or delivery is to: (i) persons whose ordinary business is to deal in securities, as principal or agent; (ii) the South African Public Investment Corporation;</w:t>
      </w:r>
    </w:p>
    <w:p>
      <w:pPr>
        <w:ind w:left="1980" w:right="659"/>
        <w:spacing w:after="0" w:line="250" w:lineRule="auto"/>
        <w:tabs>
          <w:tab w:leader="none" w:pos="23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 (iv) authorized financial service providers under South African law; (v) financial institutions recognized as such under South African law; (vi) a wholly-owned subsidiary of any person or entity contemplated in (iii),</w:t>
      </w:r>
    </w:p>
    <w:p>
      <w:pPr>
        <w:spacing w:after="0" w:line="1" w:lineRule="exact"/>
        <w:rPr>
          <w:rFonts w:ascii="Times New Roman" w:cs="Times New Roman" w:eastAsia="Times New Roman" w:hAnsi="Times New Roman"/>
          <w:sz w:val="18"/>
          <w:szCs w:val="18"/>
          <w:color w:val="auto"/>
        </w:rPr>
      </w:pPr>
    </w:p>
    <w:p>
      <w:pPr>
        <w:ind w:left="1980" w:right="479"/>
        <w:spacing w:after="0" w:line="250" w:lineRule="auto"/>
        <w:tabs>
          <w:tab w:leader="none" w:pos="23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(v), acting as agent in the capacity of an authorized portfolio manager for a pension fund or collective investment scheme (in each case duly registered as such under South African law); or</w:t>
      </w:r>
    </w:p>
    <w:p>
      <w:pPr>
        <w:ind w:left="2360" w:hanging="380"/>
        <w:spacing w:after="0"/>
        <w:tabs>
          <w:tab w:leader="none" w:pos="23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125"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 Services Act, 2002.</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48"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This prospectus supplement and accompanying prospectus do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w:t>
      </w:r>
    </w:p>
    <w:p>
      <w:pPr>
        <w:spacing w:after="0" w:line="110" w:lineRule="exact"/>
        <w:rPr>
          <w:sz w:val="20"/>
          <w:szCs w:val="20"/>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44"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representatives for any such offer;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1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94" w:lineRule="exact"/>
        <w:rPr>
          <w:sz w:val="20"/>
          <w:szCs w:val="20"/>
          <w:color w:val="auto"/>
        </w:rPr>
      </w:pPr>
    </w:p>
    <w:p>
      <w:pPr>
        <w:ind w:left="1260" w:right="1179"/>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Company or any underwriter to publish a prospectus pursuant to Article 35 FinSA.</w:t>
      </w:r>
    </w:p>
    <w:p>
      <w:pPr>
        <w:spacing w:after="0" w:line="94"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The securities have not been and will not be listed or admitted to trading on a trading venue in Switzerland.</w:t>
      </w:r>
    </w:p>
    <w:p>
      <w:pPr>
        <w:spacing w:after="0" w:line="8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United Arab Emirates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does not constitute a public offer of securities in the United Arab Emirates (including the DIFC) and is not intended to be a public offer. This prospectus supplement has not been approved by or filed with the Central Bank of the United Arab Emirates, the Securities and Commodities Authority, the Financial Services Regulatory Authority (FSRA) or the DFSA.</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4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qualified investors listed in the first addendum, or the Addendum, to the Israeli Securities Law. Qualified investors may be required to submit written confirmation that they fall within the scope of the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Wilmer Cutler Pickering Hale and Dorr LLP, Boston, Massachusetts. Davis Polk &amp; Wardwell LLP, New York, New York, is acting as counsel for the underwriters in connection with certain legal matters related to this offering.</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Ernst &amp; Young LLP, independent registered public accounting firm, has audited our consolidated financial statements included in our </w:t>
      </w:r>
      <w:hyperlink r:id="rId28">
        <w:r>
          <w:rPr>
            <w:rFonts w:ascii="Times New Roman" w:cs="Times New Roman" w:eastAsia="Times New Roman" w:hAnsi="Times New Roman"/>
            <w:sz w:val="18"/>
            <w:szCs w:val="18"/>
            <w:u w:val="single" w:color="auto"/>
            <w:color w:val="0000EE"/>
          </w:rPr>
          <w:t>Annual Report on Form 10-K for the year ended December 31, 2025</w:t>
        </w:r>
      </w:hyperlink>
      <w:r>
        <w:rPr>
          <w:rFonts w:ascii="Times New Roman" w:cs="Times New Roman" w:eastAsia="Times New Roman" w:hAnsi="Times New Roman"/>
          <w:sz w:val="18"/>
          <w:szCs w:val="18"/>
          <w:color w:val="auto"/>
        </w:rPr>
        <w:t>,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www.editasmedicine.com. Our website is not a part of this prospectus supplement and is not incorporated by reference in this prospectus supplement.</w:t>
      </w:r>
    </w:p>
    <w:p>
      <w:pPr>
        <w:spacing w:after="0" w:line="116"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and the accompanying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and the accompanying prospectus or in any document previously incorporated by reference have been modified or superseded. This prospectus supplement and the accompanying prospectus incorporates by reference the documents listed below (File No. 001-37687)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89" w:lineRule="exact"/>
        <w:rPr>
          <w:sz w:val="20"/>
          <w:szCs w:val="20"/>
          <w:color w:val="auto"/>
        </w:rPr>
      </w:pPr>
    </w:p>
    <w:p>
      <w:pPr>
        <w:ind w:left="1800" w:right="479" w:hanging="180"/>
        <w:spacing w:after="0" w:line="263" w:lineRule="auto"/>
        <w:tabs>
          <w:tab w:leader="none" w:pos="1800" w:val="left"/>
        </w:tabs>
        <w:numPr>
          <w:ilvl w:val="0"/>
          <w:numId w:val="28"/>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Annual Report on Form 10-K for the fiscal year ended December 31, 2025, filed March 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the information specifically incorporated by reference into the Annual Report on Form 10-</w:t>
      </w:r>
      <w:hyperlink r:id="rId70">
        <w:r>
          <w:rPr>
            <w:rFonts w:ascii="Times New Roman" w:cs="Times New Roman" w:eastAsia="Times New Roman" w:hAnsi="Times New Roman"/>
            <w:sz w:val="18"/>
            <w:szCs w:val="18"/>
            <w:color w:val="000000"/>
          </w:rPr>
          <w:t xml:space="preserve">K from our </w:t>
        </w:r>
        <w:r>
          <w:rPr>
            <w:rFonts w:ascii="Times New Roman" w:cs="Times New Roman" w:eastAsia="Times New Roman" w:hAnsi="Times New Roman"/>
            <w:sz w:val="18"/>
            <w:szCs w:val="18"/>
            <w:u w:val="single" w:color="auto"/>
            <w:color w:val="0000EE"/>
          </w:rPr>
          <w:t>definitive proxy statement for the 2026 Annual Meeting of Stockholders, filed April 28,</w:t>
        </w:r>
      </w:hyperlink>
      <w:r>
        <w:rPr>
          <w:rFonts w:ascii="Times New Roman" w:cs="Times New Roman" w:eastAsia="Times New Roman" w:hAnsi="Times New Roman"/>
          <w:sz w:val="18"/>
          <w:szCs w:val="18"/>
          <w:color w:val="000000"/>
        </w:rPr>
        <w:t xml:space="preserve"> </w:t>
      </w:r>
      <w:hyperlink r:id="rId7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291"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u w:val="single" w:color="auto"/>
            <w:color w:val="0000EE"/>
          </w:rPr>
          <w:t>Quarterly Report on Form 10-Q for the quarterly period ended March 31, 2026, filed May 5, 2026</w:t>
        </w:r>
      </w:hyperlink>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0000EE"/>
        </w:rPr>
      </w:pPr>
    </w:p>
    <w:p>
      <w:pPr>
        <w:jc w:val="both"/>
        <w:ind w:left="1800" w:right="439" w:hanging="180"/>
        <w:spacing w:after="0" w:line="282" w:lineRule="auto"/>
        <w:tabs>
          <w:tab w:leader="none" w:pos="18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t>
      </w:r>
      <w:hyperlink r:id="rId72">
        <w:r>
          <w:rPr>
            <w:rFonts w:ascii="Times New Roman" w:cs="Times New Roman" w:eastAsia="Times New Roman" w:hAnsi="Times New Roman"/>
            <w:sz w:val="18"/>
            <w:szCs w:val="18"/>
            <w:u w:val="single" w:color="auto"/>
            <w:color w:val="0000EE"/>
          </w:rPr>
          <w:t>March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 8.01), </w:t>
      </w:r>
      <w:hyperlink r:id="rId73">
        <w:r>
          <w:rPr>
            <w:rFonts w:ascii="Times New Roman" w:cs="Times New Roman" w:eastAsia="Times New Roman" w:hAnsi="Times New Roman"/>
            <w:sz w:val="18"/>
            <w:szCs w:val="18"/>
            <w:u w:val="single" w:color="auto"/>
            <w:color w:val="0000EE"/>
          </w:rPr>
          <w:t>April 7, 2026</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May 14,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Item 8.01) and May 26, 2026 (solely with respect to Item 8.01);</w:t>
      </w:r>
    </w:p>
    <w:p>
      <w:pPr>
        <w:spacing w:after="0" w:line="53" w:lineRule="exact"/>
        <w:rPr>
          <w:rFonts w:ascii="Times New Roman" w:cs="Times New Roman" w:eastAsia="Times New Roman" w:hAnsi="Times New Roman"/>
          <w:sz w:val="18"/>
          <w:szCs w:val="18"/>
          <w:color w:val="0000EE"/>
        </w:rPr>
      </w:pPr>
    </w:p>
    <w:p>
      <w:pPr>
        <w:ind w:left="1800" w:right="539" w:hanging="180"/>
        <w:spacing w:after="0" w:line="258" w:lineRule="auto"/>
        <w:tabs>
          <w:tab w:leader="none" w:pos="1800" w:val="left"/>
        </w:tabs>
        <w:numPr>
          <w:ilvl w:val="0"/>
          <w:numId w:val="28"/>
        </w:numPr>
        <w:rPr>
          <w:rFonts w:ascii="Times New Roman" w:cs="Times New Roman" w:eastAsia="Times New Roman" w:hAnsi="Times New Roman"/>
          <w:sz w:val="18"/>
          <w:szCs w:val="18"/>
          <w:color w:val="000000"/>
        </w:rPr>
      </w:pPr>
      <w:hyperlink r:id="rId75">
        <w:r>
          <w:rPr>
            <w:rFonts w:ascii="Times New Roman" w:cs="Times New Roman" w:eastAsia="Times New Roman" w:hAnsi="Times New Roman"/>
            <w:sz w:val="18"/>
            <w:szCs w:val="18"/>
            <w:color w:val="auto"/>
          </w:rPr>
          <w:t xml:space="preserve">The description of our common stock contained in our </w:t>
        </w:r>
        <w:r>
          <w:rPr>
            <w:rFonts w:ascii="Times New Roman" w:cs="Times New Roman" w:eastAsia="Times New Roman" w:hAnsi="Times New Roman"/>
            <w:sz w:val="18"/>
            <w:szCs w:val="18"/>
            <w:u w:val="single" w:color="auto"/>
            <w:color w:val="0000EE"/>
          </w:rPr>
          <w:t>Registration Statement on Form 8-A filed on</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January 29, 2016</w:t>
        </w:r>
        <w:r>
          <w:rPr>
            <w:rFonts w:ascii="Times New Roman" w:cs="Times New Roman" w:eastAsia="Times New Roman" w:hAnsi="Times New Roman"/>
            <w:sz w:val="18"/>
            <w:szCs w:val="18"/>
            <w:color w:val="000000"/>
          </w:rPr>
          <w:t>, as the description therein has been updated and superseded by the description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our common stock contained in </w:t>
      </w:r>
      <w:hyperlink r:id="rId7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of our Annual Report on Form 10-K for the year ended December 31, 2025, including any amendment or report filed for the purpose of updating such description.</w:t>
      </w:r>
    </w:p>
    <w:p>
      <w:pPr>
        <w:spacing w:after="0" w:line="116" w:lineRule="exact"/>
        <w:rPr>
          <w:rFonts w:ascii="Times New Roman" w:cs="Times New Roman" w:eastAsia="Times New Roman" w:hAnsi="Times New Roman"/>
          <w:sz w:val="18"/>
          <w:szCs w:val="18"/>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94" w:lineRule="exact"/>
        <w:rPr>
          <w:rFonts w:ascii="Times New Roman" w:cs="Times New Roman" w:eastAsia="Times New Roman" w:hAnsi="Times New Roman"/>
          <w:sz w:val="18"/>
          <w:szCs w:val="18"/>
          <w:color w:val="auto"/>
        </w:rPr>
      </w:pPr>
    </w:p>
    <w:p>
      <w:pPr>
        <w:ind w:left="4540"/>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27" w:lineRule="exact"/>
        <w:rPr>
          <w:rFonts w:ascii="Times New Roman" w:cs="Times New Roman" w:eastAsia="Times New Roman" w:hAnsi="Times New Roman"/>
          <w:sz w:val="18"/>
          <w:szCs w:val="18"/>
          <w:color w:val="auto"/>
        </w:rPr>
      </w:pPr>
    </w:p>
    <w:p>
      <w:pPr>
        <w:ind w:left="44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4840"/>
        <w:spacing w:after="0"/>
        <w:rPr>
          <w:sz w:val="20"/>
          <w:szCs w:val="20"/>
          <w:color w:val="auto"/>
        </w:rPr>
      </w:pPr>
      <w:r>
        <w:rPr>
          <w:rFonts w:ascii="Times New Roman" w:cs="Times New Roman" w:eastAsia="Times New Roman" w:hAnsi="Times New Roman"/>
          <w:sz w:val="18"/>
          <w:szCs w:val="18"/>
          <w:color w:val="auto"/>
        </w:rPr>
        <w:t>11 Hurley St.</w:t>
      </w:r>
    </w:p>
    <w:p>
      <w:pPr>
        <w:spacing w:after="0" w:line="9" w:lineRule="exact"/>
        <w:rPr>
          <w:rFonts w:ascii="Times New Roman" w:cs="Times New Roman" w:eastAsia="Times New Roman" w:hAnsi="Times New Roman"/>
          <w:sz w:val="18"/>
          <w:szCs w:val="18"/>
          <w:color w:val="auto"/>
        </w:rPr>
      </w:pPr>
    </w:p>
    <w:p>
      <w:pPr>
        <w:ind w:left="4460"/>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9" w:lineRule="exact"/>
        <w:rPr>
          <w:rFonts w:ascii="Times New Roman" w:cs="Times New Roman" w:eastAsia="Times New Roman" w:hAnsi="Times New Roman"/>
          <w:sz w:val="18"/>
          <w:szCs w:val="18"/>
          <w:color w:val="auto"/>
        </w:rPr>
      </w:pPr>
    </w:p>
    <w:p>
      <w:pPr>
        <w:ind w:left="4780"/>
        <w:spacing w:after="0"/>
        <w:rPr>
          <w:sz w:val="20"/>
          <w:szCs w:val="20"/>
          <w:color w:val="auto"/>
        </w:rPr>
      </w:pPr>
      <w:r>
        <w:rPr>
          <w:rFonts w:ascii="Times New Roman" w:cs="Times New Roman" w:eastAsia="Times New Roman" w:hAnsi="Times New Roman"/>
          <w:sz w:val="18"/>
          <w:szCs w:val="18"/>
          <w:color w:val="auto"/>
        </w:rPr>
        <w:t>(617) 401-9000</w:t>
      </w:r>
    </w:p>
    <w:p>
      <w:pPr>
        <w:spacing w:after="0" w:line="382"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131445</wp:posOffset>
            </wp:positionV>
            <wp:extent cx="2657475" cy="11061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65747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$350,000,000 of</w:t>
      </w:r>
    </w:p>
    <w:p>
      <w:pPr>
        <w:spacing w:after="0" w:line="2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Preferred Stock</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ind w:left="48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$350,000,000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or therein, carefully before you invest. This prospectus may not be used to offer and sell our securities unless accompanied by a prospectus supplement.</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w:t>
      </w:r>
    </w:p>
    <w:p>
      <w:pPr>
        <w:spacing w:after="0" w:line="15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certain risks. See “Risk Factors”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included in any accompanying prospectus supplement, and in the documents incorporated by reference in this prospectus or any prospectus supplement,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83185</wp:posOffset>
            </wp:positionV>
            <wp:extent cx="12344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8"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EDITAS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FORMS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$350,000,000.</w:t>
      </w:r>
    </w:p>
    <w:p>
      <w:pPr>
        <w:spacing w:after="0" w:line="11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this prospectus.</w:t>
      </w:r>
    </w:p>
    <w:p>
      <w:pPr>
        <w:spacing w:after="0" w:line="10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in or incorporated by reference in this prospectus, any accompanying prospectus supplement or in any related free writing prospectus to which we have referred you. We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15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Editas Medicine, Inc.,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www.editasmedicine.com. We have included our website address as an inactive textual reference only and information that is contained on, or can be accessed through, our website is not incorporated by reference in this prospectus.</w:t>
      </w:r>
    </w:p>
    <w:p>
      <w:pPr>
        <w:spacing w:after="0" w:line="33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means that we can disclose important information to you by referring you to those publicly available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The information that we incorporate by reference in this prospectus is considered to be part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Because we are incorporating by reference future filings with the SEC, this prospectus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continually updated and those future filings may modify or supersede some of the information included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in this prospectus. This means that you must look at all of the SEC filings that we incorporate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reference to determine if any of the statements in this prospectus or in any document previously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by reference have been modified or superseded. This prospectus incorporates by reference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listed below (File No. 001-37687) and any future filings we make with the SEC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Sections 13(a), 13(c), 14 or 15(d) of the Securities Exchange Act of 1934, as amended, or the Exchange Act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each case, other than those documents or the portions of those documents not deemed to be filed)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between the date of the initial registration statement and the effectiveness of the registration statement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the effectiveness of the registration statement until the offering of the securities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statement is terminated or completed:</w:t>
      </w:r>
    </w:p>
    <w:p>
      <w:pPr>
        <w:spacing w:after="0" w:line="99" w:lineRule="exact"/>
        <w:rPr>
          <w:sz w:val="20"/>
          <w:szCs w:val="20"/>
          <w:color w:val="auto"/>
        </w:rPr>
      </w:pPr>
    </w:p>
    <w:p>
      <w:pPr>
        <w:ind w:left="1800" w:right="9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9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March 5, 2025;</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year ended December 31, 2023, as filed with the SEC on February 28, 2024</w:t>
        </w:r>
        <w:r>
          <w:rPr>
            <w:rFonts w:ascii="Times New Roman" w:cs="Times New Roman" w:eastAsia="Times New Roman" w:hAnsi="Times New Roman"/>
            <w:sz w:val="18"/>
            <w:szCs w:val="18"/>
            <w:color w:val="000000"/>
          </w:rPr>
          <w:t>, from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our definitive</w:t>
        </w:r>
      </w:hyperlink>
      <w:r>
        <w:rPr>
          <w:rFonts w:ascii="Times New Roman" w:cs="Times New Roman" w:eastAsia="Times New Roman" w:hAnsi="Times New Roman"/>
          <w:sz w:val="18"/>
          <w:szCs w:val="18"/>
          <w:color w:val="0000EE"/>
        </w:rPr>
        <w:t xml:space="preserve"> </w:t>
      </w:r>
      <w:hyperlink r:id="rId96">
        <w:r>
          <w:rPr>
            <w:rFonts w:ascii="Times New Roman" w:cs="Times New Roman" w:eastAsia="Times New Roman" w:hAnsi="Times New Roman"/>
            <w:sz w:val="18"/>
            <w:szCs w:val="18"/>
            <w:u w:val="single" w:color="auto"/>
            <w:color w:val="0000EE"/>
          </w:rPr>
          <w:t>proxy statement on Schedule 14A, which was filed with the SEC on April 16, 2024</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800" w:right="439" w:hanging="180"/>
        <w:spacing w:after="0" w:line="258" w:lineRule="auto"/>
        <w:tabs>
          <w:tab w:leader="none" w:pos="1800" w:val="left"/>
        </w:tabs>
        <w:numPr>
          <w:ilvl w:val="0"/>
          <w:numId w:val="29"/>
        </w:numPr>
        <w:rPr>
          <w:rFonts w:ascii="Times New Roman" w:cs="Times New Roman" w:eastAsia="Times New Roman" w:hAnsi="Times New Roman"/>
          <w:sz w:val="18"/>
          <w:szCs w:val="18"/>
          <w:color w:val="000000"/>
        </w:rPr>
      </w:pPr>
      <w:hyperlink r:id="rId75">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 filed</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with the SEC on January 29, 2016</w:t>
        </w:r>
        <w:r>
          <w:rPr>
            <w:rFonts w:ascii="Times New Roman" w:cs="Times New Roman" w:eastAsia="Times New Roman" w:hAnsi="Times New Roman"/>
            <w:sz w:val="18"/>
            <w:szCs w:val="18"/>
            <w:color w:val="000000"/>
          </w:rPr>
          <w:t xml:space="preserve">, as the description therein has been updated and superseded by </w:t>
        </w:r>
      </w:hyperlink>
      <w:r>
        <w:rPr>
          <w:rFonts w:ascii="Times New Roman" w:cs="Times New Roman" w:eastAsia="Times New Roman" w:hAnsi="Times New Roman"/>
          <w:sz w:val="18"/>
          <w:szCs w:val="18"/>
          <w:color w:val="0000EE"/>
        </w:rPr>
        <w:t xml:space="preserve">the </w:t>
      </w:r>
      <w:r>
        <w:rPr>
          <w:rFonts w:ascii="Times New Roman" w:cs="Times New Roman" w:eastAsia="Times New Roman" w:hAnsi="Times New Roman"/>
          <w:sz w:val="18"/>
          <w:szCs w:val="18"/>
          <w:color w:val="000000"/>
        </w:rPr>
        <w:t xml:space="preserve">description of our capital stock contained in </w:t>
      </w:r>
      <w:hyperlink r:id="rId97">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our Annual Report on Form 10-K for the fiscal year ended December 31, 2024, as filed with the SEC on March 5, 2025, and including any amendments and reports filed for the purpose of updating such description.</w:t>
      </w:r>
    </w:p>
    <w:p>
      <w:pPr>
        <w:spacing w:after="0" w:line="116" w:lineRule="exact"/>
        <w:rPr>
          <w:rFonts w:ascii="Times New Roman" w:cs="Times New Roman" w:eastAsia="Times New Roman" w:hAnsi="Times New Roman"/>
          <w:sz w:val="18"/>
          <w:szCs w:val="18"/>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 statement contained in a document incorporated by reference into this prospectus shall be deemed to be modified or superseded for purposes of this prospectus to the extent that a statement contained in this prospectus, any prospectus supplement or in any other subsequently filed document which is also incorporated in this prospectus modifies or replaces such statement. Any statements so modified or superseded shall not be deemed, except as so modified or superseded, to constitute a part of this prospectus.</w:t>
      </w:r>
    </w:p>
    <w:p>
      <w:pPr>
        <w:spacing w:after="0" w:line="102" w:lineRule="exact"/>
        <w:rPr>
          <w:rFonts w:ascii="Times New Roman" w:cs="Times New Roman" w:eastAsia="Times New Roman" w:hAnsi="Times New Roman"/>
          <w:sz w:val="18"/>
          <w:szCs w:val="18"/>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94" w:lineRule="exact"/>
        <w:rPr>
          <w:rFonts w:ascii="Times New Roman" w:cs="Times New Roman" w:eastAsia="Times New Roman" w:hAnsi="Times New Roman"/>
          <w:sz w:val="18"/>
          <w:szCs w:val="18"/>
          <w:color w:val="auto"/>
        </w:rPr>
      </w:pPr>
    </w:p>
    <w:p>
      <w:pPr>
        <w:ind w:left="4540"/>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27" w:lineRule="exact"/>
        <w:rPr>
          <w:rFonts w:ascii="Times New Roman" w:cs="Times New Roman" w:eastAsia="Times New Roman" w:hAnsi="Times New Roman"/>
          <w:sz w:val="18"/>
          <w:szCs w:val="18"/>
          <w:color w:val="auto"/>
        </w:rPr>
      </w:pPr>
    </w:p>
    <w:p>
      <w:pPr>
        <w:ind w:left="44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4840"/>
        <w:spacing w:after="0"/>
        <w:rPr>
          <w:sz w:val="20"/>
          <w:szCs w:val="20"/>
          <w:color w:val="auto"/>
        </w:rPr>
      </w:pPr>
      <w:r>
        <w:rPr>
          <w:rFonts w:ascii="Times New Roman" w:cs="Times New Roman" w:eastAsia="Times New Roman" w:hAnsi="Times New Roman"/>
          <w:sz w:val="18"/>
          <w:szCs w:val="18"/>
          <w:color w:val="auto"/>
        </w:rPr>
        <w:t>11 Hurley St.</w:t>
      </w:r>
    </w:p>
    <w:p>
      <w:pPr>
        <w:spacing w:after="0" w:line="9" w:lineRule="exact"/>
        <w:rPr>
          <w:rFonts w:ascii="Times New Roman" w:cs="Times New Roman" w:eastAsia="Times New Roman" w:hAnsi="Times New Roman"/>
          <w:sz w:val="18"/>
          <w:szCs w:val="18"/>
          <w:color w:val="auto"/>
        </w:rPr>
      </w:pPr>
    </w:p>
    <w:p>
      <w:pPr>
        <w:ind w:left="4460"/>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9" w:lineRule="exact"/>
        <w:rPr>
          <w:rFonts w:ascii="Times New Roman" w:cs="Times New Roman" w:eastAsia="Times New Roman" w:hAnsi="Times New Roman"/>
          <w:sz w:val="18"/>
          <w:szCs w:val="18"/>
          <w:color w:val="auto"/>
        </w:rPr>
      </w:pPr>
    </w:p>
    <w:p>
      <w:pPr>
        <w:ind w:left="4780"/>
        <w:spacing w:after="0"/>
        <w:rPr>
          <w:sz w:val="20"/>
          <w:szCs w:val="20"/>
          <w:color w:val="auto"/>
        </w:rPr>
      </w:pPr>
      <w:r>
        <w:rPr>
          <w:rFonts w:ascii="Times New Roman" w:cs="Times New Roman" w:eastAsia="Times New Roman" w:hAnsi="Times New Roman"/>
          <w:sz w:val="18"/>
          <w:szCs w:val="18"/>
          <w:color w:val="auto"/>
        </w:rPr>
        <w:t>(617) 401-9000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within the meaning of Section 27A of the Securities Act and Section 21E of the Exchange Act regarding, among other things, the initiation, timing, progress and results of our preclinical studies and our research and development programs, the timing for our receipt and presentation of data from our preclinical studies, potential of, and expectations for, our product candidates, the timing or likelihood of regulatory filings and approvals, our expectations regarding cash runway, and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Important factors that could cause actual results or events to differ materially from the forward-looking statements that we make include those in the section titled “Risk Factors” in Part I of our Annual Report on Form 10-K for the fiscal year ended December 31, 2024. Our forward-looking statements do not reflect the potential impact of any future acquisitions, mergers, dispositions, joint ventures or investments that we may make.</w:t>
      </w:r>
    </w:p>
    <w:p>
      <w:pPr>
        <w:spacing w:after="0" w:line="34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information incorporated by reference in this prospectus completely and with the understanding that our actual future results may be materially different from what we expect. The forward-looking statements contained in this prospectus and the information incorporated by reference in this prospectus are made as of the date of this prospectus or such document incorporated by reference into this prospectus, and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 pioneering gene editing company dedicated to developing potentially transformative genomic medicines to treat a broad range of serious diseases. The promise of genomic medicines is supported by the advancing knowledge of the human genome and by harnessing the progress in technologies for cell therapy, gene therapy, and, most recently, gene editing. We believe this progress sets the stage for us to create medicines with the potential to have a durable benefit for patients. Our core capability in gene editing uses the technology known as CRISPR (clustered, regularly interspaced, short palindromic repeats) to allow us to create molecules that efficiently and specifically edit DNA. Our mission is to translate the promise of gene editing into a broad class of differentiated, transformational medicines for previously untreatable diseases.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developed a proprietary gene editing platform based on CRISPR technology and we continue to expand its capabilities. CRISPR uses a protein-RNA complex composed of an enzyme, including either Cas9 (CRISPR associated protein 9) or Cas12a (CRISPR from Prevotella and Francisella 1, also known as Cpf1), bound to a guide RNA molecule designed to recognize a particular DNA sequence. Once the complex binds to the DNA sequence it is designed to recognize, the complex makes a specific cut in the DNA. We believe we are the only human genome editing company with a platform that includes CRISPR/​ Cas9, CRISPR/Cas12a, engineered forms of both of these CRISPR systems, and foundational intellectual property for both of these CRISPR systems. Because of the broad nature of this platform, we believe we can create gene editing molecules for more than 95% of the human genome.</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11 Hurley Street, Cambridge, Massachusetts, 02141, and our telephone number is (617) 401-9000. Our website address is www.editasmedicine.com. We have included our website address as an inactive textual reference only and information that is contained on, or can be accessed through, our website is not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by us under this prospectus for general corporate purposes unless otherwise indicated in the applicable prospectus supplement. General corporate purposes may include, without limitation, research and development expenditures,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the net proceeds of any offering.</w:t>
      </w:r>
    </w:p>
    <w:p>
      <w:pPr>
        <w:spacing w:after="0" w:line="120"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may bear all other costs, fees and expenses incurred in effecting the registration of the shares covered by this prospectus, including, without limitation, all registration and filing fees, Nasdaq Global Select Market listing fees, and fees and expenses of our counsel and our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Editas Medicine, Inc. excluding, unless the context otherwise requires or as otherwise expressly stated, its subsidiaries.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327" w:lineRule="exact"/>
        <w:rPr>
          <w:sz w:val="20"/>
          <w:szCs w:val="20"/>
          <w:color w:val="auto"/>
        </w:rPr>
      </w:pPr>
    </w:p>
    <w:p>
      <w:pPr>
        <w:jc w:val="both"/>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-Subordination.” The debt securities will be structurally subordinated to all existing and future indebtedness and other liabilities of our subsidiaries unless such subsidiaries expressly guarantee such debt securities.</w:t>
      </w:r>
    </w:p>
    <w:p>
      <w:pPr>
        <w:spacing w:after="0" w:line="11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0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8"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0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the debt securities if other than $2,000 or multiples of $1,000;</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17"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95"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 Such further debt securities may be consolidated and form a single series with the debt securities of such series and have the same terms as to status, redemption or otherwise as the debt securities of such series.</w:t>
      </w:r>
    </w:p>
    <w:p>
      <w:pPr>
        <w:spacing w:after="0" w:line="325"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58" w:lineRule="auto"/>
        <w:rPr>
          <w:sz w:val="20"/>
          <w:szCs w:val="20"/>
          <w:color w:val="auto"/>
        </w:rPr>
      </w:pPr>
      <w:r>
        <w:rPr>
          <w:rFonts w:ascii="Times New Roman" w:cs="Times New Roman" w:eastAsia="Times New Roman" w:hAnsi="Times New Roman"/>
          <w:sz w:val="18"/>
          <w:szCs w:val="18"/>
          <w:color w:val="auto"/>
        </w:rPr>
        <w:t>any date, the currencies, securities or baskets of securities, commodities or indices to which the amount payable on such date is linked and certain related tax considerations will be set forth in the applicable prospectus supplement.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6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Unless we indicate otherwise in a prospectus supplement with respect to a particular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0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Unless we indicate otherwise in a prospectus supplement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4"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1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1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9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No Protection in the Event of a Change in Control</w:t>
      </w:r>
      <w:r>
        <w:rPr>
          <w:rFonts w:ascii="Times New Roman" w:cs="Times New Roman" w:eastAsia="Times New Roman" w:hAnsi="Times New Roman"/>
          <w:sz w:val="18"/>
          <w:szCs w:val="18"/>
          <w:color w:val="auto"/>
        </w:rPr>
        <w:t>. Unless we indicate otherwise in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16"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Unless we indicate otherwise in a prospectus supplement with respect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series of senior debt securities, the following are events of default under the senior indenture with respect to senior debt securities of each series:</w:t>
      </w:r>
    </w:p>
    <w:p>
      <w:pPr>
        <w:spacing w:after="0" w:line="67" w:lineRule="exact"/>
        <w:rPr>
          <w:sz w:val="20"/>
          <w:szCs w:val="20"/>
          <w:color w:val="auto"/>
        </w:rPr>
      </w:pPr>
    </w:p>
    <w:p>
      <w:pPr>
        <w:ind w:left="1800" w:right="5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82" w:lineRule="auto"/>
        <w:rPr>
          <w:sz w:val="20"/>
          <w:szCs w:val="20"/>
          <w:color w:val="auto"/>
        </w:rPr>
      </w:pPr>
      <w:r>
        <w:rPr>
          <w:rFonts w:ascii="Times New Roman" w:cs="Times New Roman" w:eastAsia="Times New Roman" w:hAnsi="Times New Roman"/>
          <w:sz w:val="18"/>
          <w:szCs w:val="18"/>
          <w:color w:val="auto"/>
        </w:rPr>
        <w:t>period of 90 days after we receive written notice from the trustee or from the holders of 25% or more in aggregate principal amount of the senior debt securities of such series;</w:t>
      </w:r>
    </w:p>
    <w:p>
      <w:pPr>
        <w:spacing w:after="0" w:line="40"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81"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0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337"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95"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33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80"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9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00" w:lineRule="exact"/>
        <w:rPr>
          <w:sz w:val="20"/>
          <w:szCs w:val="20"/>
          <w:color w:val="auto"/>
        </w:rPr>
      </w:pPr>
    </w:p>
    <w:p>
      <w:pPr>
        <w:ind w:left="1260" w:right="6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if:</w:t>
      </w:r>
    </w:p>
    <w:p>
      <w:pPr>
        <w:spacing w:after="0" w:line="53" w:lineRule="exact"/>
        <w:rPr>
          <w:sz w:val="20"/>
          <w:szCs w:val="20"/>
          <w:color w:val="auto"/>
        </w:rPr>
      </w:pPr>
    </w:p>
    <w:p>
      <w:pPr>
        <w:ind w:left="1800" w:right="6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336" w:lineRule="exact"/>
        <w:rPr>
          <w:sz w:val="20"/>
          <w:szCs w:val="20"/>
          <w:color w:val="auto"/>
        </w:rPr>
      </w:pPr>
    </w:p>
    <w:p>
      <w:pPr>
        <w:jc w:val="both"/>
        <w:ind w:left="1260" w:right="579"/>
        <w:spacing w:after="0" w:line="250" w:lineRule="auto"/>
        <w:rPr>
          <w:sz w:val="20"/>
          <w:szCs w:val="20"/>
          <w:color w:val="auto"/>
        </w:rPr>
      </w:pPr>
      <w:r>
        <w:rPr>
          <w:rFonts w:ascii="Times New Roman" w:cs="Times New Roman" w:eastAsia="Times New Roman" w:hAnsi="Times New Roman"/>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09"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18" w:lineRule="exact"/>
        <w:rPr>
          <w:sz w:val="20"/>
          <w:szCs w:val="20"/>
          <w:color w:val="auto"/>
        </w:rPr>
      </w:pPr>
    </w:p>
    <w:p>
      <w:pPr>
        <w:ind w:left="1260" w:right="7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Unless the applicable prospectus supplement provides otherwise,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legal defeasance and covenant defeasance will apply to any series of debt securities issued under the indentures.</w:t>
      </w:r>
    </w:p>
    <w:p>
      <w:pPr>
        <w:spacing w:after="0" w:line="106" w:lineRule="exact"/>
        <w:rPr>
          <w:sz w:val="20"/>
          <w:szCs w:val="20"/>
          <w:color w:val="auto"/>
        </w:rPr>
      </w:pPr>
    </w:p>
    <w:p>
      <w:pPr>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any series (called “legal defeasance”) if certain conditions are met, including the following:</w:t>
      </w:r>
    </w:p>
    <w:p>
      <w:pPr>
        <w:spacing w:after="0" w:line="52" w:lineRule="exact"/>
        <w:rPr>
          <w:sz w:val="20"/>
          <w:szCs w:val="20"/>
          <w:color w:val="auto"/>
        </w:rPr>
      </w:pPr>
    </w:p>
    <w:p>
      <w:pPr>
        <w:ind w:left="1800" w:right="459" w:hanging="180"/>
        <w:spacing w:after="0" w:line="257"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295"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63" w:lineRule="auto"/>
        <w:rPr>
          <w:sz w:val="20"/>
          <w:szCs w:val="20"/>
          <w:color w:val="auto"/>
        </w:rPr>
      </w:pPr>
      <w:r>
        <w:rPr>
          <w:rFonts w:ascii="Times New Roman" w:cs="Times New Roman" w:eastAsia="Times New Roman" w:hAnsi="Times New Roman"/>
          <w:sz w:val="18"/>
          <w:szCs w:val="18"/>
          <w:color w:val="auto"/>
        </w:rPr>
        <w:t>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305" w:lineRule="exact"/>
        <w:rPr>
          <w:sz w:val="20"/>
          <w:szCs w:val="20"/>
          <w:color w:val="auto"/>
        </w:rPr>
      </w:pPr>
    </w:p>
    <w:p>
      <w:pPr>
        <w:ind w:left="1800" w:right="8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81"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0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77" w:lineRule="exact"/>
        <w:rPr>
          <w:sz w:val="20"/>
          <w:szCs w:val="20"/>
          <w:color w:val="auto"/>
        </w:rPr>
      </w:pPr>
    </w:p>
    <w:p>
      <w:pPr>
        <w:ind w:left="1800" w:right="479" w:hanging="180"/>
        <w:spacing w:after="0" w:line="257"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295"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10"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Modification and Waiver</w:t>
      </w:r>
      <w:r>
        <w:rPr>
          <w:rFonts w:ascii="Times New Roman" w:cs="Times New Roman" w:eastAsia="Times New Roman" w:hAnsi="Times New Roman"/>
          <w:sz w:val="18"/>
          <w:szCs w:val="18"/>
          <w:color w:val="auto"/>
        </w:rPr>
        <w:t>. We and the trustee may amend or supplement the senior indenture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securities of any series without the consent of any holder:</w:t>
      </w:r>
    </w:p>
    <w:p>
      <w:pPr>
        <w:spacing w:after="0" w:line="52" w:lineRule="exact"/>
        <w:rPr>
          <w:sz w:val="20"/>
          <w:szCs w:val="20"/>
          <w:color w:val="auto"/>
        </w:rPr>
      </w:pPr>
    </w:p>
    <w:p>
      <w:pPr>
        <w:ind w:left="1800" w:right="4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305" w:lineRule="exact"/>
        <w:rPr>
          <w:rFonts w:ascii="Times New Roman" w:cs="Times New Roman" w:eastAsia="Times New Roman" w:hAnsi="Times New Roman"/>
          <w:sz w:val="18"/>
          <w:szCs w:val="18"/>
          <w:color w:val="auto"/>
        </w:rPr>
      </w:pPr>
    </w:p>
    <w:p>
      <w:pPr>
        <w:jc w:val="both"/>
        <w:ind w:left="1800" w:right="7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w:t>
      </w:r>
    </w:p>
    <w:p>
      <w:pPr>
        <w:ind w:left="1800" w:right="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2"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0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9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40"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4"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58"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other securities or property in accordance with the terms of the senior debt securities; or</w:t>
      </w:r>
    </w:p>
    <w:p>
      <w:pPr>
        <w:spacing w:after="0" w:line="26"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0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3420" w:val="left"/>
        </w:tabs>
        <w:rPr>
          <w:sz w:val="20"/>
          <w:szCs w:val="20"/>
          <w:color w:val="auto"/>
        </w:rPr>
      </w:pPr>
      <w:r>
        <w:rPr>
          <w:rFonts w:ascii="Times New Roman" w:cs="Times New Roman" w:eastAsia="Times New Roman" w:hAnsi="Times New Roman"/>
          <w:sz w:val="18"/>
          <w:szCs w:val="18"/>
          <w:i w:val="1"/>
          <w:iCs w:val="1"/>
          <w:color w:val="auto"/>
        </w:rPr>
        <w:t>Notice of Redemption.</w:t>
      </w:r>
      <w:r>
        <w:rPr>
          <w:sz w:val="20"/>
          <w:szCs w:val="20"/>
          <w:color w:val="auto"/>
        </w:rPr>
        <w:tab/>
      </w:r>
      <w:r>
        <w:rPr>
          <w:rFonts w:ascii="Times New Roman" w:cs="Times New Roman" w:eastAsia="Times New Roman" w:hAnsi="Times New Roman"/>
          <w:sz w:val="18"/>
          <w:szCs w:val="18"/>
          <w:color w:val="auto"/>
        </w:rPr>
        <w:t>Notice of any redemption of senior debt securities will be mailed at least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 days but not more than 60 days before the redemption date to each holder of senior debt securities of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series to be redeemed. Any notice may, at our discretion, be subject to the satisfaction or waiver of one 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more conditions precedent. In that case, such notice shall state the nature of such condition precedent. If we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elect to redeem a portion but not all of such senior debt securities, the trustee will select the senior debt</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securities to be redeemed in a manner that complies with applicable legal and stock exchange requirements,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any. Interest on such debt securities or portions of senior debt securities will cease to accrue on and after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date fixed for redemption, unless we default in the payment of such redemption price and accrued</w:t>
      </w:r>
    </w:p>
    <w:p>
      <w:pPr>
        <w:ind w:left="1260"/>
        <w:spacing w:after="0"/>
        <w:rPr>
          <w:sz w:val="20"/>
          <w:szCs w:val="20"/>
          <w:color w:val="auto"/>
        </w:rPr>
      </w:pPr>
      <w:r>
        <w:rPr>
          <w:rFonts w:ascii="Times New Roman" w:cs="Times New Roman" w:eastAsia="Times New Roman" w:hAnsi="Times New Roman"/>
          <w:sz w:val="18"/>
          <w:szCs w:val="18"/>
          <w:color w:val="auto"/>
        </w:rPr>
        <w:t>interest with respect to any such senior debt security or portion thereof.</w:t>
      </w:r>
    </w:p>
    <w:p>
      <w:pPr>
        <w:spacing w:after="0" w:line="12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0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We will describe the terms upon which senior debt securities may be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32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No Personal Liability of Incorporators, Stockholders, Officers, or Directors</w:t>
      </w:r>
      <w:r>
        <w:rPr>
          <w:rFonts w:ascii="Times New Roman" w:cs="Times New Roman" w:eastAsia="Times New Roman" w:hAnsi="Times New Roman"/>
          <w:sz w:val="18"/>
          <w:szCs w:val="18"/>
          <w:color w:val="auto"/>
        </w:rPr>
        <w:t>.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Concerning the Trustee</w:t>
      </w:r>
      <w:r>
        <w:rPr>
          <w:rFonts w:ascii="Times New Roman" w:cs="Times New Roman" w:eastAsia="Times New Roman" w:hAnsi="Times New Roman"/>
          <w:sz w:val="18"/>
          <w:szCs w:val="18"/>
          <w:color w:val="auto"/>
        </w:rPr>
        <w:t>. The senior indenture provides that, except during the continuance of an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32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156"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Unclaimed Funds</w:t>
      </w:r>
      <w:r>
        <w:rPr>
          <w:rFonts w:ascii="Times New Roman" w:cs="Times New Roman" w:eastAsia="Times New Roman" w:hAnsi="Times New Roman"/>
          <w:sz w:val="18"/>
          <w:szCs w:val="18"/>
          <w:color w:val="auto"/>
        </w:rPr>
        <w:t>. All funds deposited with the trustee or any paying agent for the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09" w:lineRule="exact"/>
        <w:rPr>
          <w:sz w:val="20"/>
          <w:szCs w:val="20"/>
          <w:color w:val="auto"/>
        </w:rPr>
      </w:pPr>
    </w:p>
    <w:p>
      <w:pPr>
        <w:ind w:left="1260" w:right="11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senior indenture and the senior debt securities will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internal laws of the State of New York.</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4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subordinated debt securities, the terms of the subordinated indenture and subordinated debt securities are identical in all material respects to the terms of the senior indenture and senior debt securities.</w:t>
      </w:r>
    </w:p>
    <w:p>
      <w:pPr>
        <w:spacing w:after="0" w:line="9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9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indebtedness evidenced by the subordinated debt securities is subordinate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329"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8"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71"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08"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restated certificate of incorporation, our amended and restated by-laws and applicable provisions of Delaware corporate law. You should read our restated certificate of incorporation and amended and restated by-laws, which are filed as exhibits to the registration statement of which this prospectus forms a part, for the provisions that are important to you.</w:t>
      </w:r>
    </w:p>
    <w:p>
      <w:pPr>
        <w:spacing w:after="0" w:line="12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195,000,000 shares of common stock, par value $0.0001 per share, and 5,000,000 shares of preferred stock, par value $0.0001 per share. As of February 28, 2025, 82,976,284 shares of common stock were outstanding and no shares of preferred stock were outstanding.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Annual meetings of our stockholders are held on the date designated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and may be called only by the board of directors, the chairman of the board, or the chief executive officer, and business to be transacted at any special meeting is limited to matters related to the purpose or purposes stated in the notice of the meeting. Except as may be otherwise provided by applicable law, our restated certificate of incorporation, or our amended and restated by-laws,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and any election by stockholders of directors shall be determined by a plurality of the votes cast by the stockholders entitled to vote on the election.</w:t>
      </w:r>
    </w:p>
    <w:p>
      <w:pPr>
        <w:spacing w:after="0" w:line="34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common stock is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stockholders, including the election of directors. Except as otherwise provided by law, our restated certificate of incorporation and amended and restated by-laws, in all matters other than the election of directors, the affirmative vote of the majority of the shares present or represented at a meeting and voting affirmatively and negatively on such matter at which a quorum is present shall be the act of the stockholders. Directors shall be elected by a plurality of the votes cast by the stockholders entitled to vote on the election at a meeting in which quorum is present.</w:t>
      </w:r>
    </w:p>
    <w:p>
      <w:pPr>
        <w:spacing w:after="0" w:line="115"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common stock, after any preferences of holders of any preferred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proportionately receive dividends when and if declared by the board of directors out of legally available funds, subject to any preferential dividend or other rights of any series of preferred stock that we may designate and issue in the future.</w:t>
      </w:r>
    </w:p>
    <w:p>
      <w:pPr>
        <w:spacing w:after="0" w:line="9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If we are liquidated or dissolved, the holders of the common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share in our assets available for distribution to stockholders in proportion to the amount of common stock they own. The amount available for common stockholders is calculated after payment of all debts and other liabilities. Holders of any preferred stock will receive a preferential share of our assets before the holders of the common stock receive any assets.</w:t>
      </w:r>
    </w:p>
    <w:p>
      <w:pPr>
        <w:spacing w:after="0" w:line="116" w:lineRule="exact"/>
        <w:rPr>
          <w:sz w:val="20"/>
          <w:szCs w:val="20"/>
          <w:color w:val="auto"/>
        </w:rPr>
      </w:pPr>
    </w:p>
    <w:p>
      <w:pPr>
        <w:ind w:left="1620"/>
        <w:spacing w:after="0"/>
        <w:tabs>
          <w:tab w:leader="none" w:pos="2760" w:val="left"/>
        </w:tabs>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Holders of the common stock have no right to:</w:t>
      </w:r>
    </w:p>
    <w:p>
      <w:pPr>
        <w:spacing w:after="0" w:line="119"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stock into any other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stock redeemed;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additional stock;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their proportionate ownership interest.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common stock does not have cumulative voting rights. Holders of shares of the common stock are not required to make additional capital contributions. The rights, preferences and privileges of holders of common stock are subject to and may be adversely affected by the rights of the holders of shares of any series of preferred stock that we may designate and issue in the future.</w:t>
      </w:r>
    </w:p>
    <w:p>
      <w:pPr>
        <w:spacing w:after="0" w:line="108"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Computershare Trust Company, N.A. is transfer agent and registrar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00"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61"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0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158"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96"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06"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dividend rights and rights upon our liquidation, dissolution or winding up of our affairs, rank:</w:t>
      </w:r>
    </w:p>
    <w:p>
      <w:pPr>
        <w:spacing w:after="0" w:line="52" w:lineRule="exact"/>
        <w:rPr>
          <w:sz w:val="20"/>
          <w:szCs w:val="20"/>
          <w:color w:val="auto"/>
        </w:rPr>
      </w:pPr>
    </w:p>
    <w:p>
      <w:pPr>
        <w:ind w:left="1800" w:right="6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56"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03"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33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9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334"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mandatory redemption or redemption at our option, as a whole or in part, in each case upon the terms, at the times and at the redemption prices set forth in such prospectus supplement.</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79" w:lineRule="exact"/>
        <w:rPr>
          <w:sz w:val="20"/>
          <w:szCs w:val="20"/>
          <w:color w:val="auto"/>
        </w:rPr>
      </w:pPr>
    </w:p>
    <w:p>
      <w:pPr>
        <w:ind w:left="1800" w:right="99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81"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17" w:lineRule="exact"/>
        <w:rPr>
          <w:sz w:val="20"/>
          <w:szCs w:val="20"/>
          <w:color w:val="auto"/>
        </w:rPr>
      </w:pPr>
    </w:p>
    <w:p>
      <w:pPr>
        <w:ind w:left="1800" w:right="47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12"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68"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9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97" w:lineRule="exact"/>
        <w:rPr>
          <w:sz w:val="20"/>
          <w:szCs w:val="20"/>
          <w:color w:val="auto"/>
        </w:rPr>
      </w:pPr>
    </w:p>
    <w:p>
      <w:pPr>
        <w:ind w:left="1260" w:right="4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indicated in the applicable prospectus supplement.</w:t>
      </w:r>
    </w:p>
    <w:p>
      <w:pPr>
        <w:spacing w:after="0" w:line="93"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1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322"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applicable prospectus supplement.</w:t>
      </w:r>
    </w:p>
    <w:p>
      <w:pPr>
        <w:spacing w:after="0" w:line="156"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and Delaware Law That May Have Anti-Takeover Effects</w:t>
      </w:r>
    </w:p>
    <w:p>
      <w:pPr>
        <w:spacing w:after="0" w:line="9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Delaware law,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1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Staggered Board; Removal of Directors</w:t>
      </w:r>
      <w:r>
        <w:rPr>
          <w:rFonts w:ascii="Times New Roman" w:cs="Times New Roman" w:eastAsia="Times New Roman" w:hAnsi="Times New Roman"/>
          <w:sz w:val="18"/>
          <w:szCs w:val="18"/>
          <w:color w:val="auto"/>
        </w:rPr>
        <w:t>. Our restated certificate of incorporation and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bylaws divide our board of directors into 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4" w:lineRule="auto"/>
        <w:rPr>
          <w:sz w:val="20"/>
          <w:szCs w:val="20"/>
          <w:color w:val="auto"/>
        </w:rPr>
      </w:pPr>
      <w:r>
        <w:rPr>
          <w:rFonts w:ascii="Times New Roman" w:cs="Times New Roman" w:eastAsia="Times New Roman" w:hAnsi="Times New Roman"/>
          <w:sz w:val="18"/>
          <w:szCs w:val="18"/>
          <w:color w:val="auto"/>
        </w:rPr>
        <w:t>board of directors and the limitations on the removal of directors and filling of vacancies could make it more difficult for a third party to acquire, or discourage a third party from seeking to acquire, control of our company.</w:t>
      </w:r>
    </w:p>
    <w:p>
      <w:pPr>
        <w:spacing w:after="0" w:line="3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Stockholder Action by Written Consent; Special Meetings</w:t>
      </w:r>
      <w:r>
        <w:rPr>
          <w:rFonts w:ascii="Times New Roman" w:cs="Times New Roman" w:eastAsia="Times New Roman" w:hAnsi="Times New Roman"/>
          <w:sz w:val="18"/>
          <w:szCs w:val="18"/>
          <w:color w:val="auto"/>
        </w:rPr>
        <w:t>. Our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any action required or permitted to be taken by our stockholders must be effected at a duly called annual or special meeting of such holders and may not be effected by any consent in writing by such holders. Our restated certificate of incorporation and amended and restated bylaws also provide that, except as otherwise required by law, special meetings of our stockholders can only be called by the chairman of our board of directors, our Chief Executive Officer, or our board of directors.</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w:t>
      </w:r>
      <w:r>
        <w:rPr>
          <w:rFonts w:ascii="Times New Roman" w:cs="Times New Roman" w:eastAsia="Times New Roman" w:hAnsi="Times New Roman"/>
          <w:sz w:val="18"/>
          <w:szCs w:val="18"/>
          <w:color w:val="auto"/>
        </w:rPr>
        <w:t>. Our amended and restated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2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 </w:t>
      </w:r>
      <w:r>
        <w:rPr>
          <w:rFonts w:ascii="Times New Roman" w:cs="Times New Roman" w:eastAsia="Times New Roman" w:hAnsi="Times New Roman"/>
          <w:sz w:val="18"/>
          <w:szCs w:val="18"/>
          <w:color w:val="auto"/>
        </w:rPr>
        <w:t>We are subject to Section 203 of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(“DGCL”)(“Section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87" w:lineRule="exact"/>
        <w:rPr>
          <w:sz w:val="20"/>
          <w:szCs w:val="20"/>
          <w:color w:val="auto"/>
        </w:rPr>
      </w:pPr>
    </w:p>
    <w:p>
      <w:pPr>
        <w:ind w:left="1800" w:right="5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business combinations to include the following:</w:t>
      </w:r>
    </w:p>
    <w:p>
      <w:pPr>
        <w:spacing w:after="0" w:line="117"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transfer, pledge or other disposition of 10% or more of the assets of the corporation to or with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w:t>
      </w:r>
      <w:r>
        <w:rPr>
          <w:rFonts w:ascii="Times New Roman" w:cs="Times New Roman" w:eastAsia="Times New Roman" w:hAnsi="Times New Roman"/>
          <w:sz w:val="18"/>
          <w:szCs w:val="18"/>
          <w:color w:val="auto"/>
        </w:rPr>
        <w:t>. The DGCL provides generally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 Staggered Board; Removal of Directors” and “— Stockholder Action by Written Consent; Special Meetings.”</w:t>
      </w:r>
    </w:p>
    <w:p>
      <w:pPr>
        <w:spacing w:after="0" w:line="343"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Exclusive Forum Selection</w:t>
      </w:r>
      <w:r>
        <w:rPr>
          <w:rFonts w:ascii="Times New Roman" w:cs="Times New Roman" w:eastAsia="Times New Roman" w:hAnsi="Times New Roman"/>
          <w:sz w:val="18"/>
          <w:szCs w:val="18"/>
          <w:color w:val="auto"/>
        </w:rPr>
        <w:t>. Our restated certificate of incorporation provides that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General Corporation Law of the State of Delaware or our restated certificate of incorporation or amended and restated bylaws, or</w:t>
      </w:r>
    </w:p>
    <w:p>
      <w:pPr>
        <w:spacing w:after="0" w:line="2" w:lineRule="exact"/>
        <w:rPr>
          <w:sz w:val="20"/>
          <w:szCs w:val="20"/>
          <w:color w:val="auto"/>
        </w:rPr>
      </w:pPr>
    </w:p>
    <w:p>
      <w:pPr>
        <w:ind w:left="1260" w:right="439"/>
        <w:spacing w:after="0" w:line="253" w:lineRule="auto"/>
        <w:tabs>
          <w:tab w:leader="none" w:pos="15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our company governed by the internal affairs doctrine. Although our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11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Blank Check Preferred Stock</w:t>
      </w:r>
      <w:r>
        <w:rPr>
          <w:rFonts w:ascii="Times New Roman" w:cs="Times New Roman" w:eastAsia="Times New Roman" w:hAnsi="Times New Roman"/>
          <w:sz w:val="18"/>
          <w:szCs w:val="18"/>
          <w:color w:val="auto"/>
        </w:rPr>
        <w:t>. Our restated certificate of incorporation provides for 5,000,000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interests of our company, our board of directors could cause shares of preferred stock to be issued without stockholder approval in one or more private offerings or other transactions that might dilute the voting or other rights of the proposed acquiror or insurgent shareholder or shareholder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or preventing a change in control of the company. Our board of directors currently does not intend to seek shareholder approval prior to any issuance of shares of preferred stock, unless otherwise required by law.</w:t>
      </w:r>
    </w:p>
    <w:p>
      <w:pPr>
        <w:spacing w:after="0" w:line="33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19"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10"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0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restated certificate of incorporation and the certificate of designation for the applicable series of preferred stock that are, or will be, filed with the SEC.</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32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0"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76"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w:t>
      </w:r>
    </w:p>
    <w:p>
      <w:pPr>
        <w:spacing w:after="0" w:line="124"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w:t>
      </w:r>
    </w:p>
    <w:p>
      <w:pPr>
        <w:spacing w:after="0" w:line="75"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stockholders entitled to receive the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equity securities that may be purchased upon exercise of each right;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rights may be exercised and when they will expire;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required to exercise the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equity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arrangement entered into by us in connection with the offering of subscription rights;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of the subscription rights, including the terms, procedures and limitations relating to the exercise of the subscription rights;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include “oversubscription rights” so that the holder may purchase more securities if other holders do not purchase their full allotments;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intend to sell the shares of equity securities that are not purchased in the rights offering to an underwriter or other purchaser under a contractual “standby” commitment or other arrangement; and</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United States federal income tax considerations.</w:t>
      </w:r>
    </w:p>
    <w:p>
      <w:pPr>
        <w:spacing w:after="0" w:line="15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issue purchase contracts, representing contracts obligating holders to purchase from us, and obligating us to sell to the holders, a specified number of shares of common stock, shares of preferred stock, or other securities described in this prospectus or the applicable prospectus supplement at a future date or dates. The price per share may be fixed at the time the share purchase contracts are issued or may be determined by reference to a specific formula set forth in the share purchase contracts. The purchase contracts may be issued separately or as a part of units consisting of a purchase contract and either shares of common stock, shares of preferred stock, our debt securities or debt obligations of third parties, including U.S. Treasury securities, any other security described in the applicable prospectus supplement, or any combination of the foregoing, securing the holder’s obligations to purchase the securities under the share purchase contracts.</w:t>
      </w:r>
    </w:p>
    <w:p>
      <w:pPr>
        <w:spacing w:after="0" w:line="33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of units or vice versa, and such payments may be unsecured or prefunded on some basis. The purchase contracts may require holders to secure their obligations thereunder in a specified manner. In certain circumstances, we may deliver newly issued prepaid purchase contracts upon release to a holder of any collateral securing the holder’s obligations under the original purchase contract.</w:t>
      </w:r>
    </w:p>
    <w:p>
      <w:pPr>
        <w:spacing w:after="0" w:line="10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purchase contracts. The description in the prospectus supplement will only be a summary, and you should read the purchase contracts, and, if applicable, collateral or depositary arrangements, relating to the purchase contracts. Material United States federal income tax considerations applicable to the purchase contracts will also be discussed in the applicable prospectus supplement.</w:t>
      </w:r>
    </w:p>
    <w:p>
      <w:pPr>
        <w:spacing w:after="0" w:line="11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in an accompanying prospectus supplement, each purchase contract and any related agreement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w:t>
      </w:r>
    </w:p>
    <w:p>
      <w:pPr>
        <w:spacing w:after="0" w:line="1"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1" w:lineRule="exact"/>
        <w:rPr>
          <w:sz w:val="20"/>
          <w:szCs w:val="20"/>
          <w:color w:val="auto"/>
        </w:rPr>
      </w:pPr>
    </w:p>
    <w:p>
      <w:pPr>
        <w:ind w:left="1800" w:right="5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72" w:lineRule="exact"/>
        <w:rPr>
          <w:sz w:val="20"/>
          <w:szCs w:val="20"/>
          <w:color w:val="auto"/>
        </w:rPr>
      </w:pPr>
    </w:p>
    <w:p>
      <w:pPr>
        <w:ind w:left="1800" w:right="5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the securities constituting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debt securities, common stock, preferred stock, purchase contracts or warrants constituting the unit; and</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Each debt security, depositary share, subscription right, purchase contract, warrant and unit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subscription right, purchase contracts,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subscription right, purchase contracts, warrants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32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2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subscription rights agreement, purchase contract,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purchase contract,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subscription right agreement, purchase contract, warrant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subscription rights agreement, purchase contract,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1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depositary shares, subscription rights, warrants, purchase agreements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Offered by 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17"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9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0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66" w:lineRule="auto"/>
        <w:rPr>
          <w:sz w:val="20"/>
          <w:szCs w:val="20"/>
          <w:color w:val="auto"/>
        </w:rPr>
      </w:pPr>
      <w:r>
        <w:rPr>
          <w:rFonts w:ascii="Times New Roman" w:cs="Times New Roman" w:eastAsia="Times New Roman" w:hAnsi="Times New Roman"/>
          <w:sz w:val="18"/>
          <w:szCs w:val="18"/>
          <w:color w:val="auto"/>
        </w:rPr>
        <w:t>underwriters a commitment fee for the securities they commit to purchase on a standby basis. If we do not enter into a standby underwriting arrangement, we may retain a dealer-manager to manage a subscription rights offering for us.</w:t>
      </w:r>
    </w:p>
    <w:p>
      <w:pPr>
        <w:spacing w:after="0" w:line="10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99"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33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4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w:t>
      </w:r>
    </w:p>
    <w:p>
      <w:pPr>
        <w:spacing w:after="0" w:line="11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Ernst &amp; Young LLP, independent registered public accounting firm, has audited our consolidated financial statements included in our Annual Report on </w:t>
      </w:r>
      <w:hyperlink r:id="rId9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1245235</wp:posOffset>
            </wp:positionV>
            <wp:extent cx="2331720" cy="9690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233172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                     Shares of Common Stock</w:t>
      </w:r>
    </w:p>
    <w:p>
      <w:pPr>
        <w:spacing w:after="0" w:line="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p>
      <w:pPr>
        <w:spacing w:after="0" w:line="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Common Stock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1104265</wp:posOffset>
            </wp:positionV>
            <wp:extent cx="12344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260"/>
        <w:spacing w:after="0"/>
        <w:tabs>
          <w:tab w:leader="none" w:pos="2820" w:val="left"/>
          <w:tab w:leader="none" w:pos="5300" w:val="left"/>
          <w:tab w:leader="none" w:pos="6140" w:val="left"/>
          <w:tab w:leader="none" w:pos="9440" w:val="left"/>
        </w:tabs>
        <w:rPr>
          <w:sz w:val="20"/>
          <w:szCs w:val="20"/>
          <w:color w:val="auto"/>
        </w:rPr>
      </w:pP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Cantor</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Wells Fargo Securities</w:t>
      </w:r>
      <w:r>
        <w:rPr>
          <w:sz w:val="20"/>
          <w:szCs w:val="20"/>
          <w:color w:val="auto"/>
        </w:rPr>
        <w:tab/>
      </w:r>
      <w:r>
        <w:rPr>
          <w:rFonts w:ascii="Times New Roman" w:cs="Times New Roman" w:eastAsia="Times New Roman" w:hAnsi="Times New Roman"/>
          <w:sz w:val="29"/>
          <w:szCs w:val="2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1288415</wp:posOffset>
            </wp:positionV>
            <wp:extent cx="52120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lowerRoman"/>
      <w:start w:val="2"/>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lowerRoman"/>
      <w:start w:val="2"/>
    </w:lvl>
  </w:abstractNum>
  <w:abstractNum w:abstractNumId="8">
    <w:nsid w:val="5577F8E1"/>
    <w:multiLevelType w:val="hybridMultilevel"/>
    <w:lvl w:ilvl="0">
      <w:lvlJc w:val="left"/>
      <w:lvlText w:val="(%1)"/>
      <w:numFmt w:val="lowerRoman"/>
      <w:start w:val="2"/>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Letter"/>
      <w:start w:val="1"/>
    </w:lvl>
    <w:lvl w:ilvl="1">
      <w:lvlJc w:val="left"/>
      <w:lvlText w:val="(%2)"/>
      <w:numFmt w:val="lowerRoman"/>
      <w:start w:val="3"/>
    </w:lvl>
  </w:abstractNum>
  <w:abstractNum w:abstractNumId="23">
    <w:nsid w:val="6A2342EC"/>
    <w:multiLevelType w:val="hybridMultilevel"/>
    <w:lvl w:ilvl="0">
      <w:lvlJc w:val="left"/>
      <w:lvlText w:val="%1"/>
      <w:numFmt w:val="lowerLetter"/>
      <w:start w:val="1"/>
    </w:lvl>
    <w:lvl w:ilvl="1">
      <w:lvlJc w:val="left"/>
      <w:lvlText w:val="(%2)"/>
      <w:numFmt w:val="lowerRoman"/>
      <w:start w:val="7"/>
    </w:lvl>
  </w:abstractNum>
  <w:abstractNum w:abstractNumId="24">
    <w:nsid w:val="2A487CB0"/>
    <w:multiLevelType w:val="hybridMultilevel"/>
    <w:lvl w:ilvl="0">
      <w:lvlJc w:val="left"/>
      <w:lvlText w:val="(%1)"/>
      <w:numFmt w:val="lowerLetter"/>
      <w:start w:val="2"/>
    </w:lvl>
    <w:lvl w:ilvl="1">
      <w:lvlJc w:val="left"/>
      <w:lvlText w:val="%2"/>
      <w:numFmt w:val="lowerRoman"/>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3"/>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4"/>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jpe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jpe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28" Type="http://schemas.openxmlformats.org/officeDocument/2006/relationships/hyperlink" Target="https://www.sec.gov/ix?doc=/Archives/edgar/data/1650664/000165066426000017/edit-20251231.htm" TargetMode="External"/><Relationship Id="rId70" Type="http://schemas.openxmlformats.org/officeDocument/2006/relationships/hyperlink" Target="https://www.sec.gov/ix?doc=/Archives/edgar/data/1650664/000165066426000037/edit-20260428.htm" TargetMode="External"/><Relationship Id="rId71" Type="http://schemas.openxmlformats.org/officeDocument/2006/relationships/hyperlink" Target="https://www.sec.gov/ix?doc=/Archives/edgar/data/1650664/000165066426000045/edit-20260331.htm" TargetMode="External"/><Relationship Id="rId72" Type="http://schemas.openxmlformats.org/officeDocument/2006/relationships/hyperlink" Target="https://www.sec.gov/ix?doc=/Archives/edgar/data/1650664/000165066426000027/edit-20260326.htm" TargetMode="External"/><Relationship Id="rId73" Type="http://schemas.openxmlformats.org/officeDocument/2006/relationships/hyperlink" Target="https://www.sec.gov/ix?doc=/Archives/edgar/data/1650664/000165066426000030/edit-20260401.htm" TargetMode="External"/><Relationship Id="rId74" Type="http://schemas.openxmlformats.org/officeDocument/2006/relationships/hyperlink" Target="https://www.sec.gov/ix?doc=/Archives/edgar/data/1650664/000165066426000049/edit-20260514.htm" TargetMode="External"/><Relationship Id="rId75" Type="http://schemas.openxmlformats.org/officeDocument/2006/relationships/hyperlink" Target="https://www.sec.gov/Archives/edgar/data/1650664/000110465916092420/a16-3079_18a12b.htm" TargetMode="External"/><Relationship Id="rId76" Type="http://schemas.openxmlformats.org/officeDocument/2006/relationships/hyperlink" Target="https://www.sec.gov/Archives/edgar/data/1650664/000165066426000017/ex42-descriptionofcapitals.htm" TargetMode="External"/><Relationship Id="rId94" Type="http://schemas.openxmlformats.org/officeDocument/2006/relationships/hyperlink" Target="https://www.sec.gov/ix?doc=/Archives/edgar/data/1650664/000165066425000022/edit-20241231.htm" TargetMode="External"/><Relationship Id="rId95" Type="http://schemas.openxmlformats.org/officeDocument/2006/relationships/hyperlink" Target="https://www.sec.gov/ix?doc=/Archives/edgar/data/1650664/000165066424000008/edit-20231231.htm" TargetMode="External"/><Relationship Id="rId96" Type="http://schemas.openxmlformats.org/officeDocument/2006/relationships/hyperlink" Target="https://www.sec.gov/ix?doc=/Archives/edgar/data/1650664/000165066424000025/edit-20240416.htm" TargetMode="External"/><Relationship Id="rId97" Type="http://schemas.openxmlformats.org/officeDocument/2006/relationships/hyperlink" Target="https://www.sec.gov/Archives/edgar/data/1650664/000165066424000008/ex42-descriptionofcapit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2026-05-26T05:34:30Z</dcterms:created>
  <dcterms:modified xsi:type="dcterms:W3CDTF">2026-05-26T05:34:30Z</dcterms:modified>
</cp:coreProperties>
</file>