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5" w:lineRule="exact"/>
        <w:rPr>
          <w:sz w:val="24"/>
          <w:szCs w:val="24"/>
          <w:color w:val="auto"/>
        </w:rPr>
      </w:pPr>
    </w:p>
    <w:p>
      <w:pPr>
        <w:jc w:val="center"/>
        <w:ind w:right="-88"/>
        <w:spacing w:after="0"/>
        <w:rPr>
          <w:sz w:val="20"/>
          <w:szCs w:val="20"/>
          <w:color w:val="auto"/>
        </w:rPr>
      </w:pPr>
      <w:r>
        <w:rPr>
          <w:rFonts w:ascii="Arial" w:cs="Arial" w:eastAsia="Arial" w:hAnsi="Arial"/>
          <w:sz w:val="20"/>
          <w:szCs w:val="20"/>
          <w:b w:val="1"/>
          <w:bCs w:val="1"/>
          <w:color w:val="auto"/>
        </w:rPr>
        <w:t>UNITED STATES</w:t>
      </w:r>
    </w:p>
    <w:p>
      <w:pPr>
        <w:jc w:val="center"/>
        <w:ind w:right="-88"/>
        <w:spacing w:after="0" w:line="197" w:lineRule="auto"/>
        <w:rPr>
          <w:sz w:val="20"/>
          <w:szCs w:val="20"/>
          <w:color w:val="auto"/>
        </w:rPr>
      </w:pPr>
      <w:r>
        <w:rPr>
          <w:rFonts w:ascii="Arial" w:cs="Arial" w:eastAsia="Arial" w:hAnsi="Arial"/>
          <w:sz w:val="20"/>
          <w:szCs w:val="20"/>
          <w:b w:val="1"/>
          <w:bCs w:val="1"/>
          <w:color w:val="auto"/>
        </w:rPr>
        <w:t>SECURITIES AND EXCHANGE COMMISSION</w:t>
      </w:r>
    </w:p>
    <w:p>
      <w:pPr>
        <w:jc w:val="center"/>
        <w:ind w:right="-88"/>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51435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7" w:lineRule="exact"/>
        <w:rPr>
          <w:sz w:val="24"/>
          <w:szCs w:val="24"/>
          <w:color w:val="auto"/>
        </w:rPr>
      </w:pPr>
    </w:p>
    <w:p>
      <w:pPr>
        <w:jc w:val="center"/>
        <w:ind w:right="-88"/>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65405</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1" w:lineRule="exact"/>
        <w:rPr>
          <w:sz w:val="24"/>
          <w:szCs w:val="24"/>
          <w:color w:val="auto"/>
        </w:rPr>
      </w:pPr>
    </w:p>
    <w:p>
      <w:pPr>
        <w:ind w:left="9"/>
        <w:spacing w:after="0"/>
        <w:rPr>
          <w:sz w:val="20"/>
          <w:szCs w:val="20"/>
          <w:color w:val="auto"/>
        </w:rPr>
      </w:pPr>
      <w:r>
        <w:rPr>
          <w:rFonts w:ascii="Arial" w:cs="Arial" w:eastAsia="Arial" w:hAnsi="Arial"/>
          <w:sz w:val="16"/>
          <w:szCs w:val="16"/>
          <w:b w:val="1"/>
          <w:bCs w:val="1"/>
          <w:color w:val="auto"/>
        </w:rPr>
        <w:t>(Mark One)</w:t>
      </w:r>
    </w:p>
    <w:p>
      <w:pPr>
        <w:ind w:left="469" w:hanging="469"/>
        <w:spacing w:after="0" w:line="205" w:lineRule="auto"/>
        <w:tabs>
          <w:tab w:leader="none" w:pos="46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ind w:left="3849"/>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fiscal year ended December 31, 2017</w:t>
      </w:r>
    </w:p>
    <w:p>
      <w:pPr>
        <w:spacing w:after="0" w:line="114" w:lineRule="exact"/>
        <w:rPr>
          <w:sz w:val="24"/>
          <w:szCs w:val="24"/>
          <w:color w:val="auto"/>
        </w:rPr>
      </w:pPr>
    </w:p>
    <w:p>
      <w:pPr>
        <w:ind w:left="469" w:hanging="469"/>
        <w:spacing w:after="0"/>
        <w:tabs>
          <w:tab w:leader="none" w:pos="469"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ind w:left="3449"/>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transition period from ____________ to ________</w:t>
      </w:r>
    </w:p>
    <w:p>
      <w:pPr>
        <w:spacing w:after="0" w:line="201" w:lineRule="exact"/>
        <w:rPr>
          <w:sz w:val="24"/>
          <w:szCs w:val="24"/>
          <w:color w:val="auto"/>
        </w:rPr>
      </w:pPr>
    </w:p>
    <w:p>
      <w:pPr>
        <w:jc w:val="center"/>
        <w:ind w:right="-88"/>
        <w:spacing w:after="0"/>
        <w:rPr>
          <w:sz w:val="20"/>
          <w:szCs w:val="20"/>
          <w:color w:val="auto"/>
        </w:rPr>
      </w:pPr>
      <w:r>
        <w:rPr>
          <w:rFonts w:ascii="Arial" w:cs="Arial" w:eastAsia="Arial" w:hAnsi="Arial"/>
          <w:sz w:val="14"/>
          <w:szCs w:val="14"/>
          <w:b w:val="1"/>
          <w:bCs w:val="1"/>
          <w:color w:val="auto"/>
        </w:rPr>
        <w:t>Commission File Number 001-37687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74930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4" w:lineRule="exact"/>
        <w:rPr>
          <w:sz w:val="24"/>
          <w:szCs w:val="24"/>
          <w:color w:val="auto"/>
        </w:rPr>
      </w:pPr>
    </w:p>
    <w:tbl>
      <w:tblPr>
        <w:tblLayout w:type="fixed"/>
        <w:tblInd w:w="549" w:type="dxa"/>
        <w:tblCellMar>
          <w:top w:w="0" w:type="dxa"/>
          <w:left w:w="0" w:type="dxa"/>
          <w:bottom w:w="0" w:type="dxa"/>
          <w:right w:w="0" w:type="dxa"/>
        </w:tblCellMar>
      </w:tblPr>
      <w:tr>
        <w:trPr>
          <w:trHeight w:val="287"/>
        </w:trPr>
        <w:tc>
          <w:tcPr>
            <w:tcW w:w="2520" w:type="dxa"/>
            <w:vAlign w:val="bottom"/>
          </w:tcPr>
          <w:p>
            <w:pPr>
              <w:spacing w:after="0"/>
              <w:rPr>
                <w:sz w:val="24"/>
                <w:szCs w:val="24"/>
                <w:color w:val="auto"/>
              </w:rPr>
            </w:pPr>
          </w:p>
        </w:tc>
        <w:tc>
          <w:tcPr>
            <w:tcW w:w="6160" w:type="dxa"/>
            <w:vAlign w:val="bottom"/>
            <w:gridSpan w:val="3"/>
          </w:tcPr>
          <w:p>
            <w:pPr>
              <w:jc w:val="center"/>
              <w:ind w:right="1828"/>
              <w:spacing w:after="0"/>
              <w:rPr>
                <w:sz w:val="20"/>
                <w:szCs w:val="20"/>
                <w:color w:val="auto"/>
              </w:rPr>
            </w:pPr>
            <w:r>
              <w:rPr>
                <w:rFonts w:ascii="Arial" w:cs="Arial" w:eastAsia="Arial" w:hAnsi="Arial"/>
                <w:sz w:val="25"/>
                <w:szCs w:val="25"/>
                <w:b w:val="1"/>
                <w:bCs w:val="1"/>
                <w:color w:val="auto"/>
              </w:rPr>
              <w:t>EDITAS MEDICINE, INC.</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6160" w:type="dxa"/>
            <w:vAlign w:val="bottom"/>
            <w:gridSpan w:val="3"/>
          </w:tcPr>
          <w:p>
            <w:pPr>
              <w:jc w:val="center"/>
              <w:ind w:right="182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81"/>
        </w:trPr>
        <w:tc>
          <w:tcPr>
            <w:tcW w:w="252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Delaware</w:t>
            </w:r>
          </w:p>
        </w:tc>
        <w:tc>
          <w:tcPr>
            <w:tcW w:w="840" w:type="dxa"/>
            <w:vAlign w:val="bottom"/>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720" w:type="dxa"/>
            <w:vAlign w:val="bottom"/>
            <w:vMerge w:val="restart"/>
          </w:tcPr>
          <w:p>
            <w:pPr>
              <w:jc w:val="center"/>
              <w:ind w:left="1528"/>
              <w:spacing w:after="0" w:line="161" w:lineRule="exact"/>
              <w:rPr>
                <w:sz w:val="20"/>
                <w:szCs w:val="20"/>
                <w:color w:val="auto"/>
              </w:rPr>
            </w:pPr>
            <w:r>
              <w:rPr>
                <w:rFonts w:ascii="Arial" w:cs="Arial" w:eastAsia="Arial" w:hAnsi="Arial"/>
                <w:sz w:val="14"/>
                <w:szCs w:val="14"/>
                <w:b w:val="1"/>
                <w:bCs w:val="1"/>
                <w:color w:val="auto"/>
                <w:w w:val="91"/>
              </w:rPr>
              <w:t>46</w:t>
            </w:r>
            <w:r>
              <w:rPr>
                <w:rFonts w:ascii="MS PGothic" w:cs="MS PGothic" w:eastAsia="MS PGothic" w:hAnsi="MS PGothic"/>
                <w:sz w:val="14"/>
                <w:szCs w:val="14"/>
                <w:b w:val="1"/>
                <w:bCs w:val="1"/>
                <w:color w:val="auto"/>
                <w:w w:val="91"/>
              </w:rPr>
              <w:t>‑</w:t>
            </w:r>
            <w:r>
              <w:rPr>
                <w:rFonts w:ascii="Arial" w:cs="Arial" w:eastAsia="Arial" w:hAnsi="Arial"/>
                <w:sz w:val="14"/>
                <w:szCs w:val="14"/>
                <w:b w:val="1"/>
                <w:bCs w:val="1"/>
                <w:color w:val="auto"/>
                <w:w w:val="91"/>
              </w:rPr>
              <w:t>4097528</w:t>
            </w:r>
          </w:p>
        </w:tc>
        <w:tc>
          <w:tcPr>
            <w:tcW w:w="0" w:type="dxa"/>
            <w:vAlign w:val="bottom"/>
          </w:tcPr>
          <w:p>
            <w:pPr>
              <w:spacing w:after="0"/>
              <w:rPr>
                <w:sz w:val="1"/>
                <w:szCs w:val="1"/>
                <w:color w:val="auto"/>
              </w:rPr>
            </w:pPr>
          </w:p>
        </w:tc>
      </w:tr>
      <w:tr>
        <w:trPr>
          <w:trHeight w:val="331"/>
        </w:trPr>
        <w:tc>
          <w:tcPr>
            <w:tcW w:w="25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(State or other jurisdiction of</w:t>
            </w:r>
          </w:p>
        </w:tc>
        <w:tc>
          <w:tcPr>
            <w:tcW w:w="8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720" w:type="dxa"/>
            <w:vAlign w:val="bottom"/>
          </w:tcPr>
          <w:p>
            <w:pPr>
              <w:jc w:val="center"/>
              <w:ind w:left="1528"/>
              <w:spacing w:after="0" w:line="13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8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720" w:type="dxa"/>
            <w:vAlign w:val="bottom"/>
          </w:tcPr>
          <w:p>
            <w:pPr>
              <w:jc w:val="center"/>
              <w:ind w:left="152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19"/>
        </w:trPr>
        <w:tc>
          <w:tcPr>
            <w:tcW w:w="25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11 Hurley Street</w:t>
            </w:r>
          </w:p>
        </w:tc>
        <w:tc>
          <w:tcPr>
            <w:tcW w:w="616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02141</w:t>
            </w:r>
          </w:p>
        </w:tc>
        <w:tc>
          <w:tcPr>
            <w:tcW w:w="0" w:type="dxa"/>
            <w:vAlign w:val="bottom"/>
          </w:tcPr>
          <w:p>
            <w:pPr>
              <w:spacing w:after="0"/>
              <w:rPr>
                <w:sz w:val="1"/>
                <w:szCs w:val="1"/>
                <w:color w:val="auto"/>
              </w:rPr>
            </w:pPr>
          </w:p>
        </w:tc>
      </w:tr>
      <w:tr>
        <w:trPr>
          <w:trHeight w:val="135"/>
        </w:trPr>
        <w:tc>
          <w:tcPr>
            <w:tcW w:w="25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1"/>
              </w:rPr>
              <w:t>Cambridge, Massachusetts</w:t>
            </w:r>
          </w:p>
        </w:tc>
        <w:tc>
          <w:tcPr>
            <w:tcW w:w="61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5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720" w:type="dxa"/>
            <w:vAlign w:val="bottom"/>
          </w:tcPr>
          <w:p>
            <w:pPr>
              <w:jc w:val="center"/>
              <w:ind w:left="152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31" w:lineRule="exact"/>
        <w:rPr>
          <w:sz w:val="24"/>
          <w:szCs w:val="24"/>
          <w:color w:val="auto"/>
        </w:rPr>
      </w:pPr>
    </w:p>
    <w:tbl>
      <w:tblPr>
        <w:tblLayout w:type="fixed"/>
        <w:tblInd w:w="489"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500" w:type="dxa"/>
            <w:vAlign w:val="bottom"/>
            <w:gridSpan w:val="2"/>
          </w:tcPr>
          <w:p>
            <w:pPr>
              <w:jc w:val="center"/>
              <w:ind w:right="2648"/>
              <w:spacing w:after="0" w:line="161" w:lineRule="exact"/>
              <w:rPr>
                <w:sz w:val="20"/>
                <w:szCs w:val="20"/>
                <w:color w:val="auto"/>
              </w:rPr>
            </w:pPr>
            <w:r>
              <w:rPr>
                <w:rFonts w:ascii="Arial" w:cs="Arial" w:eastAsia="Arial" w:hAnsi="Arial"/>
                <w:sz w:val="14"/>
                <w:szCs w:val="14"/>
                <w:b w:val="1"/>
                <w:bCs w:val="1"/>
                <w:color w:val="auto"/>
                <w:w w:val="94"/>
              </w:rPr>
              <w:t>(617) 401</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9000</w:t>
            </w:r>
          </w:p>
        </w:tc>
      </w:tr>
      <w:tr>
        <w:trPr>
          <w:trHeight w:val="186"/>
        </w:trPr>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500" w:type="dxa"/>
            <w:vAlign w:val="bottom"/>
            <w:gridSpan w:val="2"/>
          </w:tcPr>
          <w:p>
            <w:pPr>
              <w:jc w:val="center"/>
              <w:ind w:right="26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34"/>
        </w:trPr>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500" w:type="dxa"/>
            <w:vAlign w:val="bottom"/>
            <w:gridSpan w:val="2"/>
          </w:tcPr>
          <w:p>
            <w:pPr>
              <w:jc w:val="center"/>
              <w:ind w:right="262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42"/>
        </w:trPr>
        <w:tc>
          <w:tcPr>
            <w:tcW w:w="800" w:type="dxa"/>
            <w:vAlign w:val="bottom"/>
          </w:tcPr>
          <w:p>
            <w:pPr>
              <w:spacing w:after="0"/>
              <w:rPr>
                <w:sz w:val="21"/>
                <w:szCs w:val="21"/>
                <w:color w:val="auto"/>
              </w:rPr>
            </w:pPr>
          </w:p>
        </w:tc>
        <w:tc>
          <w:tcPr>
            <w:tcW w:w="20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Title of each class</w:t>
            </w:r>
          </w:p>
        </w:tc>
        <w:tc>
          <w:tcPr>
            <w:tcW w:w="382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80"/>
        </w:trPr>
        <w:tc>
          <w:tcPr>
            <w:tcW w:w="2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Common Stock, $0.0001 par value per share</w:t>
            </w:r>
          </w:p>
        </w:tc>
        <w:tc>
          <w:tcPr>
            <w:tcW w:w="382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r>
      <w:tr>
        <w:trPr>
          <w:trHeight w:val="178"/>
        </w:trPr>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500" w:type="dxa"/>
            <w:vAlign w:val="bottom"/>
            <w:gridSpan w:val="2"/>
          </w:tcPr>
          <w:p>
            <w:pPr>
              <w:jc w:val="center"/>
              <w:ind w:right="262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r>
      <w:tr>
        <w:trPr>
          <w:trHeight w:val="186"/>
        </w:trPr>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500" w:type="dxa"/>
            <w:vAlign w:val="bottom"/>
            <w:gridSpan w:val="2"/>
          </w:tcPr>
          <w:p>
            <w:pPr>
              <w:jc w:val="center"/>
              <w:ind w:right="2628"/>
              <w:spacing w:after="0"/>
              <w:rPr>
                <w:sz w:val="20"/>
                <w:szCs w:val="20"/>
                <w:color w:val="auto"/>
              </w:rPr>
            </w:pPr>
            <w:r>
              <w:rPr>
                <w:rFonts w:ascii="Arial" w:cs="Arial" w:eastAsia="Arial" w:hAnsi="Arial"/>
                <w:sz w:val="14"/>
                <w:szCs w:val="14"/>
                <w:b w:val="1"/>
                <w:bCs w:val="1"/>
                <w:color w:val="auto"/>
                <w:w w:val="91"/>
              </w:rPr>
              <w:t>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53340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46" w:lineRule="exact"/>
        <w:rPr>
          <w:sz w:val="24"/>
          <w:szCs w:val="24"/>
          <w:color w:val="auto"/>
        </w:rPr>
      </w:pPr>
    </w:p>
    <w:p>
      <w:pPr>
        <w:ind w:left="649" w:right="2920"/>
        <w:spacing w:after="0" w:line="221" w:lineRule="exact"/>
        <w:rPr>
          <w:sz w:val="20"/>
          <w:szCs w:val="20"/>
          <w:color w:val="auto"/>
        </w:rPr>
      </w:pPr>
      <w:r>
        <w:rPr>
          <w:rFonts w:ascii="Arial" w:cs="Arial" w:eastAsia="Arial" w:hAnsi="Arial"/>
          <w:sz w:val="11"/>
          <w:szCs w:val="11"/>
          <w:color w:val="auto"/>
        </w:rPr>
        <w:t>Indicate by check mark if the registrant is a well</w:t>
      </w:r>
      <w:r>
        <w:rPr>
          <w:rFonts w:ascii="MS PGothic" w:cs="MS PGothic" w:eastAsia="MS PGothic" w:hAnsi="MS PGothic"/>
          <w:sz w:val="11"/>
          <w:szCs w:val="11"/>
          <w:color w:val="auto"/>
        </w:rPr>
        <w:t>‑</w:t>
      </w:r>
      <w:r>
        <w:rPr>
          <w:rFonts w:ascii="Arial" w:cs="Arial" w:eastAsia="Arial" w:hAnsi="Arial"/>
          <w:sz w:val="11"/>
          <w:szCs w:val="11"/>
          <w:color w:val="auto"/>
        </w:rPr>
        <w:t xml:space="preserve">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9" w:lineRule="exact"/>
        <w:rPr>
          <w:sz w:val="24"/>
          <w:szCs w:val="24"/>
          <w:color w:val="auto"/>
        </w:rPr>
      </w:pPr>
    </w:p>
    <w:p>
      <w:pPr>
        <w:ind w:left="9" w:right="20" w:firstLine="648"/>
        <w:spacing w:after="0" w:line="14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83" w:lineRule="exact"/>
        <w:rPr>
          <w:sz w:val="24"/>
          <w:szCs w:val="24"/>
          <w:color w:val="auto"/>
        </w:rPr>
      </w:pPr>
    </w:p>
    <w:p>
      <w:pPr>
        <w:ind w:left="9" w:firstLine="648"/>
        <w:spacing w:after="0" w:line="155" w:lineRule="exact"/>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1"/>
          <w:szCs w:val="11"/>
          <w:color w:val="auto"/>
        </w:rPr>
        <w:t>‑</w:t>
      </w:r>
      <w:r>
        <w:rPr>
          <w:rFonts w:ascii="Arial" w:cs="Arial" w:eastAsia="Arial" w:hAnsi="Arial"/>
          <w:sz w:val="11"/>
          <w:szCs w:val="11"/>
          <w:color w:val="auto"/>
        </w:rPr>
        <w:t xml:space="preserve">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9" w:lineRule="exact"/>
        <w:rPr>
          <w:sz w:val="24"/>
          <w:szCs w:val="24"/>
          <w:color w:val="auto"/>
        </w:rPr>
      </w:pPr>
    </w:p>
    <w:p>
      <w:pPr>
        <w:ind w:left="9" w:right="200" w:firstLine="648"/>
        <w:spacing w:after="0" w:line="148" w:lineRule="exact"/>
        <w:rPr>
          <w:sz w:val="20"/>
          <w:szCs w:val="20"/>
          <w:color w:val="auto"/>
        </w:rPr>
      </w:pPr>
      <w:r>
        <w:rPr>
          <w:rFonts w:ascii="Arial" w:cs="Arial" w:eastAsia="Arial" w:hAnsi="Arial"/>
          <w:sz w:val="12"/>
          <w:szCs w:val="12"/>
          <w:color w:val="auto"/>
        </w:rPr>
        <w:t>Indicate by check mark if disclosure of delinquent filers pursuant to Item 405 of Regulation S</w:t>
      </w:r>
      <w:r>
        <w:rPr>
          <w:rFonts w:ascii="MS PGothic" w:cs="MS PGothic" w:eastAsia="MS PGothic" w:hAnsi="MS PGothic"/>
          <w:sz w:val="12"/>
          <w:szCs w:val="12"/>
          <w:color w:val="auto"/>
        </w:rPr>
        <w:t>‑</w:t>
      </w:r>
      <w:r>
        <w:rPr>
          <w:rFonts w:ascii="Arial" w:cs="Arial" w:eastAsia="Arial" w:hAnsi="Arial"/>
          <w:sz w:val="12"/>
          <w:szCs w:val="12"/>
          <w:color w:val="auto"/>
        </w:rPr>
        <w:t>K (§229.405 of this chapter)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2"/>
          <w:szCs w:val="12"/>
          <w:color w:val="auto"/>
        </w:rPr>
        <w:t>‑</w:t>
      </w:r>
      <w:r>
        <w:rPr>
          <w:rFonts w:ascii="Arial" w:cs="Arial" w:eastAsia="Arial" w:hAnsi="Arial"/>
          <w:sz w:val="12"/>
          <w:szCs w:val="12"/>
          <w:color w:val="auto"/>
        </w:rPr>
        <w:t>K or any amendment to this Form 10</w:t>
      </w:r>
      <w:r>
        <w:rPr>
          <w:rFonts w:ascii="MS PGothic" w:cs="MS PGothic" w:eastAsia="MS PGothic" w:hAnsi="MS PGothic"/>
          <w:sz w:val="12"/>
          <w:szCs w:val="12"/>
          <w:color w:val="auto"/>
        </w:rPr>
        <w:t>‑</w:t>
      </w:r>
      <w:r>
        <w:rPr>
          <w:rFonts w:ascii="Arial" w:cs="Arial" w:eastAsia="Arial" w:hAnsi="Arial"/>
          <w:sz w:val="12"/>
          <w:szCs w:val="12"/>
          <w:color w:val="auto"/>
        </w:rPr>
        <w:t xml:space="preserve">K. </w:t>
      </w:r>
      <w:r>
        <w:rPr>
          <w:rFonts w:ascii="MS PGothic" w:cs="MS PGothic" w:eastAsia="MS PGothic" w:hAnsi="MS PGothic"/>
          <w:sz w:val="12"/>
          <w:szCs w:val="12"/>
          <w:color w:val="auto"/>
        </w:rPr>
        <w:t>☒</w:t>
      </w:r>
    </w:p>
    <w:p>
      <w:pPr>
        <w:spacing w:after="0" w:line="69" w:lineRule="exact"/>
        <w:rPr>
          <w:sz w:val="24"/>
          <w:szCs w:val="24"/>
          <w:color w:val="auto"/>
        </w:rPr>
      </w:pPr>
    </w:p>
    <w:p>
      <w:pPr>
        <w:ind w:left="9" w:right="400" w:firstLine="648"/>
        <w:spacing w:after="0" w:line="141" w:lineRule="exact"/>
        <w:rPr>
          <w:sz w:val="20"/>
          <w:szCs w:val="20"/>
          <w:color w:val="auto"/>
        </w:rPr>
      </w:pPr>
      <w:r>
        <w:rPr>
          <w:rFonts w:ascii="Arial" w:cs="Arial" w:eastAsia="Arial" w:hAnsi="Arial"/>
          <w:sz w:val="12"/>
          <w:szCs w:val="12"/>
          <w:color w:val="auto"/>
        </w:rPr>
        <w:t>Indicate by check mark whether the registrant is a large accelerated filer, an accelerated filer, a non</w:t>
      </w:r>
      <w:r>
        <w:rPr>
          <w:rFonts w:ascii="MS PGothic" w:cs="MS PGothic" w:eastAsia="MS PGothic" w:hAnsi="MS PGothic"/>
          <w:sz w:val="12"/>
          <w:szCs w:val="12"/>
          <w:color w:val="auto"/>
        </w:rPr>
        <w:t>‑</w:t>
      </w:r>
      <w:r>
        <w:rPr>
          <w:rFonts w:ascii="Arial" w:cs="Arial" w:eastAsia="Arial" w:hAnsi="Arial"/>
          <w:sz w:val="12"/>
          <w:szCs w:val="12"/>
          <w:color w:val="auto"/>
        </w:rPr>
        <w:t>accelerated filer, a smaller reporting company, or an emerging growth company. See definitions of “large accelerated filer,” “accelerated filer,” “smaller reporting company,” and “emerging growth company” in Rule 12b</w:t>
      </w:r>
      <w:r>
        <w:rPr>
          <w:rFonts w:ascii="MS PGothic" w:cs="MS PGothic" w:eastAsia="MS PGothic" w:hAnsi="MS PGothic"/>
          <w:sz w:val="12"/>
          <w:szCs w:val="12"/>
          <w:color w:val="auto"/>
        </w:rPr>
        <w:t>‑</w:t>
      </w:r>
      <w:r>
        <w:rPr>
          <w:rFonts w:ascii="Arial" w:cs="Arial" w:eastAsia="Arial" w:hAnsi="Arial"/>
          <w:sz w:val="12"/>
          <w:szCs w:val="12"/>
          <w:color w:val="auto"/>
        </w:rPr>
        <w:t>2 of the Exchange Act.</w:t>
      </w:r>
    </w:p>
    <w:p>
      <w:pPr>
        <w:spacing w:after="0" w:line="72" w:lineRule="exact"/>
        <w:rPr>
          <w:sz w:val="24"/>
          <w:szCs w:val="24"/>
          <w:color w:val="auto"/>
        </w:rPr>
      </w:pPr>
    </w:p>
    <w:p>
      <w:pPr>
        <w:jc w:val="center"/>
        <w:ind w:right="-128"/>
        <w:spacing w:after="0" w:line="150" w:lineRule="exact"/>
        <w:tabs>
          <w:tab w:leader="none" w:pos="1400" w:val="left"/>
          <w:tab w:leader="none" w:pos="1180" w:val="left"/>
          <w:tab w:leader="none" w:pos="12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6" w:lineRule="exact"/>
        <w:rPr>
          <w:sz w:val="24"/>
          <w:szCs w:val="24"/>
          <w:color w:val="auto"/>
        </w:rPr>
      </w:pPr>
    </w:p>
    <w:p>
      <w:pPr>
        <w:jc w:val="center"/>
        <w:ind w:left="2140"/>
        <w:spacing w:after="0"/>
        <w:rPr>
          <w:sz w:val="20"/>
          <w:szCs w:val="20"/>
          <w:color w:val="auto"/>
        </w:rPr>
      </w:pPr>
      <w:r>
        <w:rPr>
          <w:rFonts w:ascii="Arial" w:cs="Arial" w:eastAsia="Arial" w:hAnsi="Arial"/>
          <w:sz w:val="13"/>
          <w:szCs w:val="13"/>
          <w:color w:val="auto"/>
        </w:rPr>
        <w:t>(Do not check if a</w:t>
      </w:r>
    </w:p>
    <w:p>
      <w:pPr>
        <w:jc w:val="center"/>
        <w:ind w:left="2140"/>
        <w:spacing w:after="0"/>
        <w:rPr>
          <w:sz w:val="20"/>
          <w:szCs w:val="20"/>
          <w:color w:val="auto"/>
        </w:rPr>
      </w:pPr>
      <w:r>
        <w:rPr>
          <w:rFonts w:ascii="Arial" w:cs="Arial" w:eastAsia="Arial" w:hAnsi="Arial"/>
          <w:sz w:val="13"/>
          <w:szCs w:val="13"/>
          <w:color w:val="auto"/>
        </w:rPr>
        <w:t>smaller reporting company)</w:t>
      </w:r>
    </w:p>
    <w:p>
      <w:pPr>
        <w:spacing w:after="0" w:line="86" w:lineRule="exact"/>
        <w:rPr>
          <w:sz w:val="24"/>
          <w:szCs w:val="24"/>
          <w:color w:val="auto"/>
        </w:rPr>
      </w:pPr>
    </w:p>
    <w:p>
      <w:pPr>
        <w:ind w:left="8149"/>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18" w:lineRule="exact"/>
        <w:rPr>
          <w:sz w:val="24"/>
          <w:szCs w:val="24"/>
          <w:color w:val="auto"/>
        </w:rPr>
      </w:pPr>
    </w:p>
    <w:p>
      <w:pPr>
        <w:ind w:left="9" w:right="140" w:firstLine="324"/>
        <w:spacing w:after="0" w:line="14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5" w:lineRule="exact"/>
        <w:rPr>
          <w:sz w:val="24"/>
          <w:szCs w:val="24"/>
          <w:color w:val="auto"/>
        </w:rPr>
      </w:pPr>
    </w:p>
    <w:p>
      <w:pPr>
        <w:ind w:left="649"/>
        <w:spacing w:after="0" w:line="150" w:lineRule="exact"/>
        <w:rPr>
          <w:sz w:val="20"/>
          <w:szCs w:val="20"/>
          <w:color w:val="auto"/>
        </w:rPr>
      </w:pPr>
      <w:r>
        <w:rPr>
          <w:rFonts w:ascii="Arial" w:cs="Arial" w:eastAsia="Arial" w:hAnsi="Arial"/>
          <w:sz w:val="13"/>
          <w:szCs w:val="13"/>
          <w:color w:val="auto"/>
        </w:rPr>
        <w:t>Indicate by check mark whether the registrant is a shell company (as defined in Rule 12b</w:t>
      </w:r>
      <w:r>
        <w:rPr>
          <w:rFonts w:ascii="MS PGothic" w:cs="MS PGothic" w:eastAsia="MS PGothic" w:hAnsi="MS PGothic"/>
          <w:sz w:val="13"/>
          <w:szCs w:val="13"/>
          <w:color w:val="auto"/>
        </w:rPr>
        <w:t>‑</w:t>
      </w:r>
      <w:r>
        <w:rPr>
          <w:rFonts w:ascii="Arial" w:cs="Arial" w:eastAsia="Arial" w:hAnsi="Arial"/>
          <w:sz w:val="13"/>
          <w:szCs w:val="13"/>
          <w:color w:val="auto"/>
        </w:rPr>
        <w:t xml:space="preserve">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2" w:lineRule="exact"/>
        <w:rPr>
          <w:sz w:val="24"/>
          <w:szCs w:val="24"/>
          <w:color w:val="auto"/>
        </w:rPr>
      </w:pPr>
    </w:p>
    <w:p>
      <w:pPr>
        <w:ind w:left="9" w:right="180" w:firstLine="648"/>
        <w:spacing w:after="0" w:line="237" w:lineRule="auto"/>
        <w:rPr>
          <w:sz w:val="20"/>
          <w:szCs w:val="20"/>
          <w:color w:val="auto"/>
        </w:rPr>
      </w:pPr>
      <w:r>
        <w:rPr>
          <w:rFonts w:ascii="Arial" w:cs="Arial" w:eastAsia="Arial" w:hAnsi="Arial"/>
          <w:sz w:val="13"/>
          <w:szCs w:val="13"/>
          <w:color w:val="auto"/>
        </w:rPr>
        <w:t>As of June 30, 2017, the last day of the registrant’s most recently completed second fiscal quarter, the aggregate market value of the registrant’s Common Stock held by non-affiliates of the registrant was approximately $502,961,068, based upon the closing price of the registrant’s Common Stock on June 30, 2017.</w:t>
      </w:r>
    </w:p>
    <w:p>
      <w:pPr>
        <w:spacing w:after="0" w:line="83" w:lineRule="exact"/>
        <w:rPr>
          <w:sz w:val="24"/>
          <w:szCs w:val="24"/>
          <w:color w:val="auto"/>
        </w:rPr>
      </w:pPr>
    </w:p>
    <w:p>
      <w:pPr>
        <w:ind w:left="649"/>
        <w:spacing w:after="0"/>
        <w:rPr>
          <w:sz w:val="20"/>
          <w:szCs w:val="20"/>
          <w:color w:val="auto"/>
        </w:rPr>
      </w:pPr>
      <w:r>
        <w:rPr>
          <w:rFonts w:ascii="Arial" w:cs="Arial" w:eastAsia="Arial" w:hAnsi="Arial"/>
          <w:sz w:val="13"/>
          <w:szCs w:val="13"/>
          <w:color w:val="auto"/>
        </w:rPr>
        <w:t>The number of shares of the registrant’s Common Stock outstanding as of February 28, 2018 was 46,884,857.</w:t>
      </w:r>
    </w:p>
    <w:p>
      <w:pPr>
        <w:spacing w:after="0" w:line="90" w:lineRule="exact"/>
        <w:rPr>
          <w:sz w:val="24"/>
          <w:szCs w:val="24"/>
          <w:color w:val="auto"/>
        </w:rPr>
      </w:pPr>
    </w:p>
    <w:p>
      <w:pPr>
        <w:ind w:left="3749"/>
        <w:spacing w:after="0"/>
        <w:rPr>
          <w:sz w:val="20"/>
          <w:szCs w:val="20"/>
          <w:color w:val="auto"/>
        </w:rPr>
      </w:pPr>
      <w:r>
        <w:rPr>
          <w:rFonts w:ascii="Arial" w:cs="Arial" w:eastAsia="Arial" w:hAnsi="Arial"/>
          <w:sz w:val="13"/>
          <w:szCs w:val="13"/>
          <w:b w:val="1"/>
          <w:bCs w:val="1"/>
          <w:color w:val="auto"/>
        </w:rPr>
        <w:t>DOCUMENTS INCORPORATED BY REFERENCE</w:t>
      </w:r>
    </w:p>
    <w:p>
      <w:pPr>
        <w:spacing w:after="0" w:line="98" w:lineRule="exact"/>
        <w:rPr>
          <w:sz w:val="24"/>
          <w:szCs w:val="24"/>
          <w:color w:val="auto"/>
        </w:rPr>
      </w:pPr>
    </w:p>
    <w:p>
      <w:pPr>
        <w:ind w:left="9" w:right="120" w:firstLine="648"/>
        <w:spacing w:after="0" w:line="226" w:lineRule="auto"/>
        <w:rPr>
          <w:sz w:val="20"/>
          <w:szCs w:val="20"/>
          <w:color w:val="auto"/>
        </w:rPr>
      </w:pPr>
      <w:r>
        <w:rPr>
          <w:rFonts w:ascii="Arial" w:cs="Arial" w:eastAsia="Arial" w:hAnsi="Arial"/>
          <w:sz w:val="13"/>
          <w:szCs w:val="13"/>
          <w:color w:val="auto"/>
        </w:rPr>
        <w:t>Portions of the registrant’s definitive proxy statement for its 2018 Annual Meeting of Stockholders to be filed pursuant to Regulation 14A within 120 days of the end of the registrant’s fiscal year ended December 31, 2017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70485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567690</wp:posOffset>
            </wp:positionV>
            <wp:extent cx="6612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09"/>
          </w:cols>
          <w:pgMar w:left="751" w:top="220" w:right="8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ind w:left="760"/>
        <w:spacing w:after="0"/>
        <w:rPr>
          <w:sz w:val="20"/>
          <w:szCs w:val="20"/>
          <w:color w:val="auto"/>
        </w:rPr>
      </w:pPr>
      <w:r>
        <w:rPr>
          <w:rFonts w:ascii="Arial" w:cs="Arial" w:eastAsia="Arial" w:hAnsi="Arial"/>
          <w:sz w:val="18"/>
          <w:szCs w:val="18"/>
          <w:b w:val="1"/>
          <w:bCs w:val="1"/>
          <w:color w:val="auto"/>
        </w:rPr>
        <w:t>Editas Medicine, Inc.</w:t>
      </w:r>
    </w:p>
    <w:p>
      <w:pPr>
        <w:jc w:val="center"/>
        <w:ind w:left="760"/>
        <w:spacing w:after="0"/>
        <w:rPr>
          <w:sz w:val="20"/>
          <w:szCs w:val="20"/>
          <w:color w:val="auto"/>
        </w:rPr>
      </w:pPr>
      <w:r>
        <w:rPr>
          <w:rFonts w:ascii="Arial" w:cs="Arial" w:eastAsia="Arial" w:hAnsi="Arial"/>
          <w:sz w:val="18"/>
          <w:szCs w:val="18"/>
          <w:b w:val="1"/>
          <w:bCs w:val="1"/>
          <w:color w:val="auto"/>
        </w:rPr>
        <w:t>TABLE OF CONTENTS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80" w:type="dxa"/>
            <w:vAlign w:val="bottom"/>
            <w:tcBorders>
              <w:top w:val="single" w:sz="8" w:color="0000EE"/>
            </w:tcBorders>
          </w:tcPr>
          <w:p>
            <w:pPr>
              <w:spacing w:after="0"/>
              <w:rPr>
                <w:sz w:val="24"/>
                <w:szCs w:val="24"/>
                <w:color w:val="auto"/>
              </w:rPr>
            </w:pPr>
          </w:p>
        </w:tc>
        <w:tc>
          <w:tcPr>
            <w:tcW w:w="380" w:type="dxa"/>
            <w:vAlign w:val="bottom"/>
            <w:gridSpan w:val="4"/>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7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56">
              <w:r>
                <w:rPr>
                  <w:rFonts w:ascii="Arial" w:cs="Arial" w:eastAsia="Arial" w:hAnsi="Arial"/>
                  <w:sz w:val="18"/>
                  <w:szCs w:val="18"/>
                  <w:color w:val="0000EE"/>
                  <w:w w:val="83"/>
                </w:rPr>
                <w:t>Item 1A.</w:t>
              </w:r>
            </w:hyperlink>
          </w:p>
        </w:tc>
        <w:tc>
          <w:tcPr>
            <w:tcW w:w="380" w:type="dxa"/>
            <w:vAlign w:val="bottom"/>
            <w:gridSpan w:val="4"/>
          </w:tcPr>
          <w:p>
            <w:pPr>
              <w:spacing w:after="0"/>
              <w:rPr>
                <w:sz w:val="17"/>
                <w:szCs w:val="17"/>
                <w:color w:val="auto"/>
              </w:rPr>
            </w:pPr>
          </w:p>
        </w:tc>
        <w:tc>
          <w:tcPr>
            <w:tcW w:w="734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108">
              <w:r>
                <w:rPr>
                  <w:rFonts w:ascii="Arial" w:cs="Arial" w:eastAsia="Arial" w:hAnsi="Arial"/>
                  <w:sz w:val="18"/>
                  <w:szCs w:val="18"/>
                  <w:color w:val="0000EE"/>
                  <w:w w:val="83"/>
                </w:rPr>
                <w:t>Item 1B.</w:t>
              </w:r>
            </w:hyperlink>
          </w:p>
        </w:tc>
        <w:tc>
          <w:tcPr>
            <w:tcW w:w="380" w:type="dxa"/>
            <w:vAlign w:val="bottom"/>
            <w:gridSpan w:val="4"/>
          </w:tcPr>
          <w:p>
            <w:pPr>
              <w:spacing w:after="0"/>
              <w:rPr>
                <w:sz w:val="17"/>
                <w:szCs w:val="17"/>
                <w:color w:val="auto"/>
              </w:rPr>
            </w:pPr>
          </w:p>
        </w:tc>
        <w:tc>
          <w:tcPr>
            <w:tcW w:w="7340" w:type="dxa"/>
            <w:vAlign w:val="bottom"/>
            <w:gridSpan w:val="20"/>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Unresolved Staff Comments</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Item 2.</w:t>
              </w:r>
            </w:hyperlink>
          </w:p>
        </w:tc>
        <w:tc>
          <w:tcPr>
            <w:tcW w:w="80" w:type="dxa"/>
            <w:vAlign w:val="bottom"/>
            <w:tcBorders>
              <w:top w:val="single" w:sz="8" w:color="0000EE"/>
            </w:tcBorders>
          </w:tcPr>
          <w:p>
            <w:pPr>
              <w:spacing w:after="0"/>
              <w:rPr>
                <w:sz w:val="17"/>
                <w:szCs w:val="17"/>
                <w:color w:val="auto"/>
              </w:rPr>
            </w:pPr>
          </w:p>
        </w:tc>
        <w:tc>
          <w:tcPr>
            <w:tcW w:w="380" w:type="dxa"/>
            <w:vAlign w:val="bottom"/>
            <w:gridSpan w:val="4"/>
          </w:tcPr>
          <w:p>
            <w:pPr>
              <w:spacing w:after="0"/>
              <w:rPr>
                <w:sz w:val="17"/>
                <w:szCs w:val="17"/>
                <w:color w:val="auto"/>
              </w:rPr>
            </w:pP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Properties</w:t>
              </w:r>
            </w:hyperlink>
          </w:p>
        </w:tc>
        <w:tc>
          <w:tcPr>
            <w:tcW w:w="5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Item 3.</w:t>
              </w:r>
            </w:hyperlink>
          </w:p>
        </w:tc>
        <w:tc>
          <w:tcPr>
            <w:tcW w:w="460" w:type="dxa"/>
            <w:vAlign w:val="bottom"/>
            <w:gridSpan w:val="5"/>
          </w:tcPr>
          <w:p>
            <w:pPr>
              <w:spacing w:after="0"/>
              <w:rPr>
                <w:sz w:val="17"/>
                <w:szCs w:val="17"/>
                <w:color w:val="auto"/>
              </w:rPr>
            </w:pPr>
          </w:p>
        </w:tc>
        <w:tc>
          <w:tcPr>
            <w:tcW w:w="7340" w:type="dxa"/>
            <w:vAlign w:val="bottom"/>
            <w:gridSpan w:val="20"/>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Item 4.</w:t>
              </w:r>
            </w:hyperlink>
          </w:p>
        </w:tc>
        <w:tc>
          <w:tcPr>
            <w:tcW w:w="460" w:type="dxa"/>
            <w:vAlign w:val="bottom"/>
            <w:gridSpan w:val="5"/>
          </w:tcPr>
          <w:p>
            <w:pPr>
              <w:spacing w:after="0"/>
              <w:rPr>
                <w:sz w:val="17"/>
                <w:szCs w:val="17"/>
                <w:color w:val="auto"/>
              </w:rPr>
            </w:pPr>
          </w:p>
        </w:tc>
        <w:tc>
          <w:tcPr>
            <w:tcW w:w="7340" w:type="dxa"/>
            <w:vAlign w:val="bottom"/>
            <w:gridSpan w:val="20"/>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PART II</w:t>
              </w:r>
            </w:hyperlink>
          </w:p>
        </w:tc>
        <w:tc>
          <w:tcPr>
            <w:tcW w:w="3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Item 5.</w:t>
              </w:r>
            </w:hyperlink>
          </w:p>
        </w:tc>
        <w:tc>
          <w:tcPr>
            <w:tcW w:w="460" w:type="dxa"/>
            <w:vAlign w:val="bottom"/>
            <w:gridSpan w:val="5"/>
          </w:tcPr>
          <w:p>
            <w:pPr>
              <w:spacing w:after="0"/>
              <w:rPr>
                <w:sz w:val="24"/>
                <w:szCs w:val="24"/>
                <w:color w:val="auto"/>
              </w:rPr>
            </w:pPr>
          </w:p>
        </w:tc>
        <w:tc>
          <w:tcPr>
            <w:tcW w:w="73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Market for Registrant’s Common Equity, Related Stockholder Matters and Issuer Purchases of Equity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0" w:type="dxa"/>
            <w:vAlign w:val="bottom"/>
            <w:vMerge w:val="restart"/>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Item 6.</w:t>
              </w:r>
            </w:hyperlink>
          </w:p>
        </w:tc>
        <w:tc>
          <w:tcPr>
            <w:tcW w:w="460" w:type="dxa"/>
            <w:vAlign w:val="bottom"/>
            <w:gridSpan w:val="5"/>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bottom w:val="single" w:sz="8" w:color="0000EE"/>
            </w:tcBorders>
            <w:gridSpan w:val="3"/>
          </w:tcPr>
          <w:p>
            <w:pPr>
              <w:spacing w:after="0" w:line="156"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Securities</w:t>
              </w:r>
            </w:hyperlink>
          </w:p>
        </w:tc>
        <w:tc>
          <w:tcPr>
            <w:tcW w:w="642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vMerge w:val="continue"/>
          </w:tcPr>
          <w:p>
            <w:pPr>
              <w:spacing w:after="0"/>
              <w:rPr>
                <w:sz w:val="13"/>
                <w:szCs w:val="13"/>
                <w:color w:val="auto"/>
              </w:rPr>
            </w:pPr>
          </w:p>
        </w:tc>
        <w:tc>
          <w:tcPr>
            <w:tcW w:w="46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7220" w:type="dxa"/>
            <w:vAlign w:val="bottom"/>
            <w:gridSpan w:val="19"/>
          </w:tcPr>
          <w:p>
            <w:pPr>
              <w:spacing w:after="0" w:line="156" w:lineRule="exact"/>
              <w:rPr>
                <w:rFonts w:ascii="Arial" w:cs="Arial" w:eastAsia="Arial" w:hAnsi="Arial"/>
                <w:sz w:val="18"/>
                <w:szCs w:val="18"/>
                <w:color w:val="0000EE"/>
              </w:rPr>
            </w:pPr>
            <w:hyperlink w:anchor="page112">
              <w:r>
                <w:rPr>
                  <w:rFonts w:ascii="Arial" w:cs="Arial" w:eastAsia="Arial" w:hAnsi="Arial"/>
                  <w:sz w:val="18"/>
                  <w:szCs w:val="18"/>
                  <w:color w:val="0000EE"/>
                </w:rPr>
                <w:t>Selected Financial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Item 7.</w:t>
              </w:r>
            </w:hyperlink>
          </w:p>
        </w:tc>
        <w:tc>
          <w:tcPr>
            <w:tcW w:w="460" w:type="dxa"/>
            <w:vAlign w:val="bottom"/>
            <w:gridSpan w:val="5"/>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Management’s Discussion and Analysis of Financial Condition and Results of Operations</w:t>
              </w:r>
            </w:hyperlink>
          </w:p>
        </w:tc>
        <w:tc>
          <w:tcPr>
            <w:tcW w:w="8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133">
              <w:r>
                <w:rPr>
                  <w:rFonts w:ascii="Arial" w:cs="Arial" w:eastAsia="Arial" w:hAnsi="Arial"/>
                  <w:sz w:val="18"/>
                  <w:szCs w:val="18"/>
                  <w:color w:val="0000EE"/>
                  <w:w w:val="83"/>
                </w:rPr>
                <w:t>Item 7A.</w:t>
              </w:r>
            </w:hyperlink>
          </w:p>
        </w:tc>
        <w:tc>
          <w:tcPr>
            <w:tcW w:w="380" w:type="dxa"/>
            <w:vAlign w:val="bottom"/>
            <w:gridSpan w:val="4"/>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33">
              <w:r>
                <w:rPr>
                  <w:rFonts w:ascii="Arial" w:cs="Arial" w:eastAsia="Arial" w:hAnsi="Arial"/>
                  <w:sz w:val="18"/>
                  <w:szCs w:val="18"/>
                  <w:color w:val="0000EE"/>
                  <w:w w:val="92"/>
                </w:rPr>
                <w:t>Quantitative and Qualitative Disclosures About Market Risk</w:t>
              </w:r>
            </w:hyperlink>
          </w:p>
        </w:tc>
        <w:tc>
          <w:tcPr>
            <w:tcW w:w="2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Item 8.</w:t>
              </w:r>
            </w:hyperlink>
          </w:p>
        </w:tc>
        <w:tc>
          <w:tcPr>
            <w:tcW w:w="460" w:type="dxa"/>
            <w:vAlign w:val="bottom"/>
            <w:gridSpan w:val="5"/>
          </w:tcPr>
          <w:p>
            <w:pPr>
              <w:spacing w:after="0"/>
              <w:rPr>
                <w:sz w:val="17"/>
                <w:szCs w:val="17"/>
                <w:color w:val="auto"/>
              </w:rPr>
            </w:pPr>
          </w:p>
        </w:tc>
        <w:tc>
          <w:tcPr>
            <w:tcW w:w="7340" w:type="dxa"/>
            <w:vAlign w:val="bottom"/>
            <w:gridSpan w:val="20"/>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77">
              <w:r>
                <w:rPr>
                  <w:rFonts w:ascii="Arial" w:cs="Arial" w:eastAsia="Arial" w:hAnsi="Arial"/>
                  <w:sz w:val="18"/>
                  <w:szCs w:val="18"/>
                  <w:color w:val="0000EE"/>
                  <w:w w:val="90"/>
                </w:rPr>
                <w:t>Item 9.</w:t>
              </w:r>
            </w:hyperlink>
          </w:p>
        </w:tc>
        <w:tc>
          <w:tcPr>
            <w:tcW w:w="460" w:type="dxa"/>
            <w:vAlign w:val="bottom"/>
            <w:gridSpan w:val="5"/>
          </w:tcPr>
          <w:p>
            <w:pPr>
              <w:spacing w:after="0"/>
              <w:rPr>
                <w:sz w:val="17"/>
                <w:szCs w:val="17"/>
                <w:color w:val="auto"/>
              </w:rPr>
            </w:pPr>
          </w:p>
        </w:tc>
        <w:tc>
          <w:tcPr>
            <w:tcW w:w="7340" w:type="dxa"/>
            <w:vAlign w:val="bottom"/>
            <w:gridSpan w:val="20"/>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177">
              <w:r>
                <w:rPr>
                  <w:rFonts w:ascii="Arial" w:cs="Arial" w:eastAsia="Arial" w:hAnsi="Arial"/>
                  <w:sz w:val="18"/>
                  <w:szCs w:val="18"/>
                  <w:color w:val="0000EE"/>
                  <w:w w:val="83"/>
                </w:rPr>
                <w:t>Item 9A.</w:t>
              </w:r>
            </w:hyperlink>
          </w:p>
        </w:tc>
        <w:tc>
          <w:tcPr>
            <w:tcW w:w="380" w:type="dxa"/>
            <w:vAlign w:val="bottom"/>
            <w:gridSpan w:val="4"/>
          </w:tcPr>
          <w:p>
            <w:pPr>
              <w:spacing w:after="0"/>
              <w:rPr>
                <w:sz w:val="17"/>
                <w:szCs w:val="17"/>
                <w:color w:val="auto"/>
              </w:rPr>
            </w:pPr>
          </w:p>
        </w:tc>
        <w:tc>
          <w:tcPr>
            <w:tcW w:w="7340" w:type="dxa"/>
            <w:vAlign w:val="bottom"/>
            <w:gridSpan w:val="20"/>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3"/>
              </w:rPr>
            </w:pPr>
            <w:hyperlink w:anchor="page177">
              <w:r>
                <w:rPr>
                  <w:rFonts w:ascii="Arial" w:cs="Arial" w:eastAsia="Arial" w:hAnsi="Arial"/>
                  <w:sz w:val="18"/>
                  <w:szCs w:val="18"/>
                  <w:color w:val="0000EE"/>
                  <w:w w:val="83"/>
                </w:rPr>
                <w:t>Item 9B.</w:t>
              </w:r>
            </w:hyperlink>
          </w:p>
        </w:tc>
        <w:tc>
          <w:tcPr>
            <w:tcW w:w="380" w:type="dxa"/>
            <w:vAlign w:val="bottom"/>
            <w:gridSpan w:val="4"/>
          </w:tcPr>
          <w:p>
            <w:pPr>
              <w:spacing w:after="0"/>
              <w:rPr>
                <w:sz w:val="17"/>
                <w:szCs w:val="17"/>
                <w:color w:val="auto"/>
              </w:rPr>
            </w:pPr>
          </w:p>
        </w:tc>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Other Information</w:t>
              </w:r>
            </w:hyperlink>
          </w:p>
        </w:tc>
        <w:tc>
          <w:tcPr>
            <w:tcW w:w="56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78">
              <w:r>
                <w:rPr>
                  <w:rFonts w:ascii="Arial" w:cs="Arial" w:eastAsia="Arial" w:hAnsi="Arial"/>
                  <w:sz w:val="18"/>
                  <w:szCs w:val="18"/>
                  <w:b w:val="1"/>
                  <w:bCs w:val="1"/>
                  <w:color w:val="0000EE"/>
                </w:rPr>
                <w:t>PART III</w:t>
              </w:r>
            </w:hyperlink>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80" w:type="dxa"/>
            <w:vAlign w:val="bottom"/>
            <w:gridSpan w:val="6"/>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Item 10.</w:t>
              </w:r>
            </w:hyperlink>
          </w:p>
        </w:tc>
        <w:tc>
          <w:tcPr>
            <w:tcW w:w="7340" w:type="dxa"/>
            <w:vAlign w:val="bottom"/>
            <w:gridSpan w:val="20"/>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Directors, Executive Officers and Corporate Governance</w:t>
              </w:r>
            </w:hyperlink>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78">
              <w:r>
                <w:rPr>
                  <w:rFonts w:ascii="Arial" w:cs="Arial" w:eastAsia="Arial" w:hAnsi="Arial"/>
                  <w:sz w:val="18"/>
                  <w:szCs w:val="18"/>
                  <w:color w:val="0000EE"/>
                  <w:w w:val="86"/>
                </w:rPr>
                <w:t>Item 11.</w:t>
              </w:r>
            </w:hyperlink>
          </w:p>
        </w:tc>
        <w:tc>
          <w:tcPr>
            <w:tcW w:w="380" w:type="dxa"/>
            <w:vAlign w:val="bottom"/>
            <w:gridSpan w:val="4"/>
          </w:tcPr>
          <w:p>
            <w:pPr>
              <w:spacing w:after="0"/>
              <w:rPr>
                <w:sz w:val="17"/>
                <w:szCs w:val="17"/>
                <w:color w:val="auto"/>
              </w:rPr>
            </w:pP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7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3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Item 12.</w:t>
              </w:r>
            </w:hyperlink>
          </w:p>
        </w:tc>
        <w:tc>
          <w:tcPr>
            <w:tcW w:w="7340" w:type="dxa"/>
            <w:vAlign w:val="bottom"/>
            <w:gridSpan w:val="20"/>
          </w:tcPr>
          <w:p>
            <w:pPr>
              <w:spacing w:after="0" w:line="196" w:lineRule="exact"/>
              <w:rPr>
                <w:rFonts w:ascii="Arial" w:cs="Arial" w:eastAsia="Arial" w:hAnsi="Arial"/>
                <w:sz w:val="18"/>
                <w:szCs w:val="18"/>
                <w:color w:val="0000EE"/>
                <w:w w:val="91"/>
              </w:rPr>
            </w:pPr>
            <w:hyperlink w:anchor="page178">
              <w:r>
                <w:rPr>
                  <w:rFonts w:ascii="Arial" w:cs="Arial" w:eastAsia="Arial" w:hAnsi="Arial"/>
                  <w:sz w:val="18"/>
                  <w:szCs w:val="18"/>
                  <w:color w:val="0000EE"/>
                  <w:w w:val="91"/>
                </w:rPr>
                <w:t>Security Ownership of Certain Beneficial Owners and Management and Related Stockholder Matters</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Item 13.</w:t>
              </w:r>
            </w:hyperlink>
          </w:p>
        </w:tc>
        <w:tc>
          <w:tcPr>
            <w:tcW w:w="7340" w:type="dxa"/>
            <w:vAlign w:val="bottom"/>
            <w:gridSpan w:val="20"/>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Certain Relationships and Related Transactions, and Director Independence</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Item 14.</w:t>
              </w:r>
            </w:hyperlink>
          </w:p>
        </w:tc>
        <w:tc>
          <w:tcPr>
            <w:tcW w:w="7340" w:type="dxa"/>
            <w:vAlign w:val="bottom"/>
            <w:gridSpan w:val="20"/>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Principal Accounting Fees and Services</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179">
              <w:r>
                <w:rPr>
                  <w:rFonts w:ascii="Arial" w:cs="Arial" w:eastAsia="Arial" w:hAnsi="Arial"/>
                  <w:sz w:val="18"/>
                  <w:szCs w:val="18"/>
                  <w:b w:val="1"/>
                  <w:bCs w:val="1"/>
                  <w:color w:val="0000EE"/>
                  <w:w w:val="98"/>
                </w:rPr>
                <w:t>PART IV</w:t>
              </w:r>
            </w:hyperlink>
          </w:p>
        </w:tc>
        <w:tc>
          <w:tcPr>
            <w:tcW w:w="2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80" w:type="dxa"/>
            <w:vAlign w:val="bottom"/>
            <w:gridSpan w:val="6"/>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Item 15.</w:t>
              </w:r>
            </w:hyperlink>
          </w:p>
        </w:tc>
        <w:tc>
          <w:tcPr>
            <w:tcW w:w="7340" w:type="dxa"/>
            <w:vAlign w:val="bottom"/>
            <w:gridSpan w:val="20"/>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Exhibits, Financial Statement Schedules</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6"/>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Item 16.</w:t>
              </w:r>
            </w:hyperlink>
          </w:p>
        </w:tc>
        <w:tc>
          <w:tcPr>
            <w:tcW w:w="7340" w:type="dxa"/>
            <w:vAlign w:val="bottom"/>
            <w:gridSpan w:val="20"/>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Form 10-K Summary</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349" w:lineRule="exact"/>
        <w:rPr>
          <w:sz w:val="20"/>
          <w:szCs w:val="20"/>
          <w:color w:val="auto"/>
        </w:rPr>
      </w:pPr>
    </w:p>
    <w:p>
      <w:pPr>
        <w:jc w:val="center"/>
        <w:ind w:left="7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56</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108</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108</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108</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109</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110</w:t>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110</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112</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114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133</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135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177</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177</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177</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178</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178</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178</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178</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178</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178</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179</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179</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181</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182</w:t>
      </w:r>
    </w:p>
    <w:p>
      <w:pPr>
        <w:sectPr>
          <w:pgSz w:w="11900" w:h="16838" w:orient="portrait"/>
          <w:cols w:equalWidth="0" w:num="2">
            <w:col w:w="8300" w:space="500"/>
            <w:col w:w="2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Editas</w:t>
      </w:r>
    </w:p>
    <w:p>
      <w:pPr>
        <w:spacing w:after="0" w:line="148"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Throughout this Annual Report on Form 10-K, the “Company,” “Editas,” “Editas Medicine,” “we,” “us,” and “our,” except where the context requires otherwise, refer to Editas Medicine, Inc. and its consolidated subsidiary, and “our board of directors” refers to the board of directors of Editas Medicine, Inc.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148"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This Annual Report on Form 10-K contains forward-looking statements regarding, among other things, our future discovery and development efforts, our future operating results and financial position, our business strategy, and other objectives for our operations. The words “anticipate,” “believe,” “estimate,” “expect,” “intend,” “may,” “plan,” “predict,” “project,”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entitled “Risk Factors” in Part I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29" w:lineRule="exact"/>
        <w:rPr>
          <w:sz w:val="20"/>
          <w:szCs w:val="20"/>
          <w:color w:val="auto"/>
        </w:rPr>
      </w:pPr>
    </w:p>
    <w:p>
      <w:pPr>
        <w:jc w:val="both"/>
        <w:ind w:right="120" w:firstLine="648"/>
        <w:spacing w:after="0" w:line="244" w:lineRule="auto"/>
        <w:rPr>
          <w:sz w:val="20"/>
          <w:szCs w:val="20"/>
          <w:color w:val="auto"/>
        </w:rPr>
      </w:pPr>
      <w:r>
        <w:rPr>
          <w:rFonts w:ascii="Arial" w:cs="Arial" w:eastAsia="Arial" w:hAnsi="Arial"/>
          <w:sz w:val="16"/>
          <w:szCs w:val="16"/>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18"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This Annual Report on Form 10-K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w:t>
      </w:r>
      <w:r>
        <w:rPr>
          <w:rFonts w:ascii="MS PGothic" w:cs="MS PGothic" w:eastAsia="MS PGothic" w:hAnsi="MS PGothic"/>
          <w:sz w:val="16"/>
          <w:szCs w:val="16"/>
          <w:color w:val="auto"/>
        </w:rPr>
        <w:t>‑</w:t>
      </w:r>
      <w:r>
        <w:rPr>
          <w:rFonts w:ascii="Arial" w:cs="Arial" w:eastAsia="Arial" w:hAnsi="Arial"/>
          <w:sz w:val="16"/>
          <w:szCs w:val="16"/>
          <w:color w:val="auto"/>
        </w:rPr>
        <w:t>party sources. While we believe our internal company research is reliable and the market definitions are appropriate, neither such research nor these definitions have been verified by any independent source.</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We are a leading genome editing company dedicated to developing transformative genomic medicines with the aim to treat a broad range of serious diseases. The promise of genomic medicines is supported by the advancing knowledge of the human genome, and harnessing the progress in technologies for cell therapy, gene therapy, and, most recently, genome editing. We believe this progress sets the stage for us to create unprecedented medicines with the potential to have a durable benefit for patients. At Editas Medicine, our core capability in genome editing uses the technology known as CRISPR (clustered, regularly interspaced, short palindromic repeats) with which we can create molecules that efficiently and specifically edit DNA. Our mission is to translate the promise of this science into a broad class of medicines to help people living with serious diseases around the world.</w:t>
      </w:r>
    </w:p>
    <w:p>
      <w:pPr>
        <w:spacing w:after="0" w:line="16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We have developed a proprietary genome editing platform based on CRISPR technology and we continue to expand its capabilities. CRISPR uses a protein</w:t>
      </w:r>
      <w:r>
        <w:rPr>
          <w:rFonts w:ascii="MS PGothic" w:cs="MS PGothic" w:eastAsia="MS PGothic" w:hAnsi="MS PGothic"/>
          <w:sz w:val="17"/>
          <w:szCs w:val="17"/>
          <w:color w:val="auto"/>
        </w:rPr>
        <w:t>‑</w:t>
      </w:r>
      <w:r>
        <w:rPr>
          <w:rFonts w:ascii="Arial" w:cs="Arial" w:eastAsia="Arial" w:hAnsi="Arial"/>
          <w:sz w:val="17"/>
          <w:szCs w:val="17"/>
          <w:color w:val="auto"/>
        </w:rPr>
        <w:t xml:space="preserve">RNA complex composed of an enzyme, including either Cas9 (CRISPR associated protein 9) or Cpf1 (CRISPR from </w:t>
      </w:r>
      <w:r>
        <w:rPr>
          <w:rFonts w:ascii="Arial" w:cs="Arial" w:eastAsia="Arial" w:hAnsi="Arial"/>
          <w:sz w:val="17"/>
          <w:szCs w:val="17"/>
          <w:i w:val="1"/>
          <w:iCs w:val="1"/>
          <w:color w:val="auto"/>
        </w:rPr>
        <w:t>Prevotella</w:t>
      </w:r>
      <w:r>
        <w:rPr>
          <w:rFonts w:ascii="Arial" w:cs="Arial" w:eastAsia="Arial" w:hAnsi="Arial"/>
          <w:sz w:val="17"/>
          <w:szCs w:val="17"/>
          <w:color w:val="auto"/>
        </w:rPr>
        <w:t xml:space="preserve"> and </w:t>
      </w:r>
      <w:r>
        <w:rPr>
          <w:rFonts w:ascii="Arial" w:cs="Arial" w:eastAsia="Arial" w:hAnsi="Arial"/>
          <w:sz w:val="17"/>
          <w:szCs w:val="17"/>
          <w:i w:val="1"/>
          <w:iCs w:val="1"/>
          <w:color w:val="auto"/>
        </w:rPr>
        <w:t>Francisella</w:t>
      </w:r>
      <w:r>
        <w:rPr>
          <w:rFonts w:ascii="Arial" w:cs="Arial" w:eastAsia="Arial" w:hAnsi="Arial"/>
          <w:sz w:val="17"/>
          <w:szCs w:val="17"/>
          <w:color w:val="auto"/>
        </w:rPr>
        <w:t xml:space="preserve"> 1), bound to a guide RNA molecule designed to recognize a particular DNA sequence. Once the complex binds to the DNA sequence it was designed to recognize, the complex makes a specific cut in the DNA, ultimately triggering the cell’s DNA repair machinery to change the targeted sequence. Our platform consists of four interrelated components: nuclease and guide RNA engineering, delivery, control and specificity, and directed editing. These interrelated components are designed to develop medicines that specifically address a wide variety of genetic targets, reach the site of disease safely and effectively, tightly and specifically control the editing process, and drive the right kind of genetic repair.</w:t>
      </w:r>
    </w:p>
    <w:p>
      <w:pPr>
        <w:spacing w:after="0" w:line="162"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We believe we are the only human genome editing company with a platform that includes CRISPR/Cas9, CRISPR/Cpf1, and engineered forms of both of these CRISPR systems. Because of the broad nature of this platform, we believe we can create genome editing molecules for almost any site in the human genome. Each of our product candidates derives from our platform, and we plan to continue to use our platform to create and advance a broad range of experimental medicines for both genetically defined and genetically treatable diseases.</w:t>
      </w:r>
    </w:p>
    <w:p>
      <w:pPr>
        <w:spacing w:after="0" w:line="161" w:lineRule="exact"/>
        <w:rPr>
          <w:sz w:val="20"/>
          <w:szCs w:val="20"/>
          <w:color w:val="auto"/>
        </w:rPr>
      </w:pPr>
    </w:p>
    <w:p>
      <w:pPr>
        <w:ind w:right="140" w:firstLine="648"/>
        <w:spacing w:after="0" w:line="212" w:lineRule="auto"/>
        <w:rPr>
          <w:sz w:val="20"/>
          <w:szCs w:val="20"/>
          <w:color w:val="auto"/>
        </w:rPr>
      </w:pPr>
      <w:r>
        <w:rPr>
          <w:rFonts w:ascii="Arial" w:cs="Arial" w:eastAsia="Arial" w:hAnsi="Arial"/>
          <w:sz w:val="18"/>
          <w:szCs w:val="18"/>
          <w:color w:val="auto"/>
        </w:rPr>
        <w:t>Our initial product development strategy is to primarily target genetically defined diseases with a focus on debilitating illnesses where there are poor or no approved treatments and where the genetic basis of disease is well understood. A genetically defined disease may be treated by correcting a disease causing gene, whereas a genetically treatable disease is a disease that does not necessarily have a single, disease causing gene, but which nonetheless may be treated by editing genes to ameliorate or eliminate the signs or symptoms of that disease. While our discovery efforts have ranged across several different diseases and therapeutic areas, the two areas where our programs are more mature are ocular diseases and engineered cell medicines.</w:t>
      </w:r>
    </w:p>
    <w:p>
      <w:pPr>
        <w:spacing w:after="0" w:line="165" w:lineRule="exact"/>
        <w:rPr>
          <w:sz w:val="20"/>
          <w:szCs w:val="20"/>
          <w:color w:val="auto"/>
        </w:rPr>
      </w:pPr>
    </w:p>
    <w:p>
      <w:pPr>
        <w:ind w:firstLine="693"/>
        <w:spacing w:after="0" w:line="236" w:lineRule="auto"/>
        <w:rPr>
          <w:sz w:val="20"/>
          <w:szCs w:val="20"/>
          <w:color w:val="auto"/>
        </w:rPr>
      </w:pPr>
      <w:r>
        <w:rPr>
          <w:rFonts w:ascii="Arial" w:cs="Arial" w:eastAsia="Arial" w:hAnsi="Arial"/>
          <w:sz w:val="16"/>
          <w:szCs w:val="16"/>
          <w:color w:val="auto"/>
        </w:rPr>
        <w:t xml:space="preserve">In ocular diseases, our most advanced program is designed to address Leber Congenital Amaurosis type 10 (“LCA10”), which is a specific genetic form of vision loss that leads to blindness in childhood. LCA10 has no approved therapies in either the United States or European Union, and we are aware of only one potential treatment in clinical trials in the United States and Europe. LCA10 patients have a mutation in the CEP290 gene that causes the disease. We have demonstrated that our lead product candidate, EDIT-101, can achieve high levels of editing of the CEP290 gene in human retinal tissue that has been explanted and maintained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in the retinas of non-human primates </w:t>
      </w:r>
      <w:r>
        <w:rPr>
          <w:rFonts w:ascii="Arial" w:cs="Arial" w:eastAsia="Arial" w:hAnsi="Arial"/>
          <w:sz w:val="16"/>
          <w:szCs w:val="16"/>
          <w:i w:val="1"/>
          <w:iCs w:val="1"/>
          <w:color w:val="auto"/>
        </w:rPr>
        <w:t>in vivo</w:t>
      </w:r>
      <w:r>
        <w:rPr>
          <w:rFonts w:ascii="Arial" w:cs="Arial" w:eastAsia="Arial" w:hAnsi="Arial"/>
          <w:sz w:val="16"/>
          <w:szCs w:val="16"/>
          <w:color w:val="auto"/>
        </w:rPr>
        <w:t>. We have initiated a clinical natural history study to evaluate the clinical course and characteristics of LCA10 more extensively, and we aim to file an investigational new drug application (“IND”) by mid-2018 for EDIT-101. We believe results to date in LCA10 validate our platform technology, including its potential application to other ocular diseases, such as Usher Syndrome 2A (“USH2A”) and recurrent ocular Herpes Simplex Virus 1 (“HSV-1”) infection, as well as diseases of other organs and tissues.</w:t>
      </w:r>
    </w:p>
    <w:p>
      <w:pPr>
        <w:spacing w:after="0" w:line="163"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In March 2017 we entered into a strategic alliance and option agreement with Allergan Pharmaceuticals International Limited (“Allergan”), which we believe has the potential to expand and enhance our research and development efforts for ocular diseases. Under this agreement, Allergan received exclusive access and the option to license up to five of our genome editing ocular programs, including our lead program for LCA10, and will be responsible for development and commercialization of any program with respect to which it exercises its option. For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LCA10 and one additional program, we retain the option to co-develop and co-commercialize products in the United States. We received an upfront payment of $90.0 million and have the potential to receive greater than $1.0 billion in contingent milestone payments, as well as high single-digit royalties. With Allergan, we aim to advance a broad portfolio of first-in-class genome editing medicines to treat serious diseases of the eye.</w:t>
      </w:r>
    </w:p>
    <w:p>
      <w:pPr>
        <w:spacing w:after="0" w:line="163"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In addition to developing medicines for ocular diseases, the development of engineered cell medicines is a core part of our research effort and product pipeline. We believe that advances in genome editing will both improve the characteristics of current cellular medicines and also expand the universe of cellular medicines that can be created. To this end, we have developed capabilities to efficiently and specifically edit T cells and hematopoietic stem cells, which we believe have the potential to lead to best-in-class medicines for cancer and hemoglobinopathies. More broadly, we believe that our editing capabilities can be applied to many additional cell types.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2015 we established a collaboration with Juno Therapeutics, Inc. (“Juno Therapeutics”) to develop</w:t>
      </w:r>
    </w:p>
    <w:p>
      <w:pPr>
        <w:spacing w:after="0" w:line="215" w:lineRule="auto"/>
        <w:rPr>
          <w:sz w:val="20"/>
          <w:szCs w:val="20"/>
          <w:color w:val="auto"/>
        </w:rPr>
      </w:pPr>
      <w:r>
        <w:rPr>
          <w:rFonts w:ascii="Arial" w:cs="Arial" w:eastAsia="Arial" w:hAnsi="Arial"/>
          <w:sz w:val="17"/>
          <w:szCs w:val="17"/>
          <w:color w:val="auto"/>
        </w:rPr>
        <w:t>engineered T cell medicines for cancer. These therapies have the potential to substantially advance the field of cancer</w:t>
      </w:r>
    </w:p>
    <w:p>
      <w:pPr>
        <w:spacing w:after="0" w:line="229" w:lineRule="auto"/>
        <w:rPr>
          <w:sz w:val="20"/>
          <w:szCs w:val="20"/>
          <w:color w:val="auto"/>
        </w:rPr>
      </w:pPr>
      <w:r>
        <w:rPr>
          <w:rFonts w:ascii="Arial" w:cs="Arial" w:eastAsia="Arial" w:hAnsi="Arial"/>
          <w:sz w:val="16"/>
          <w:szCs w:val="16"/>
          <w:color w:val="auto"/>
        </w:rPr>
        <w:t>immunotherapy and expand the range of cancers that can be treated with engineered T cells. Under the collaboration, we</w:t>
      </w:r>
    </w:p>
    <w:p>
      <w:pPr>
        <w:spacing w:after="0" w:line="229" w:lineRule="auto"/>
        <w:rPr>
          <w:sz w:val="20"/>
          <w:szCs w:val="20"/>
          <w:color w:val="auto"/>
        </w:rPr>
      </w:pPr>
      <w:r>
        <w:rPr>
          <w:rFonts w:ascii="Arial" w:cs="Arial" w:eastAsia="Arial" w:hAnsi="Arial"/>
          <w:sz w:val="16"/>
          <w:szCs w:val="16"/>
          <w:color w:val="auto"/>
        </w:rPr>
        <w:t>received an upfront payment of $25.0 million, and we have received two milestone payments totaling $5.0 million related to</w:t>
      </w:r>
    </w:p>
    <w:p>
      <w:pPr>
        <w:spacing w:after="0" w:line="216" w:lineRule="auto"/>
        <w:rPr>
          <w:sz w:val="20"/>
          <w:szCs w:val="20"/>
          <w:color w:val="auto"/>
        </w:rPr>
      </w:pPr>
      <w:r>
        <w:rPr>
          <w:rFonts w:ascii="Arial" w:cs="Arial" w:eastAsia="Arial" w:hAnsi="Arial"/>
          <w:sz w:val="17"/>
          <w:szCs w:val="17"/>
          <w:color w:val="auto"/>
        </w:rPr>
        <w:t>technical progress in research programs under the collaboration. We also have the potential to receive approximately</w:t>
      </w:r>
    </w:p>
    <w:p>
      <w:pPr>
        <w:spacing w:after="0" w:line="229" w:lineRule="auto"/>
        <w:rPr>
          <w:sz w:val="20"/>
          <w:szCs w:val="20"/>
          <w:color w:val="auto"/>
        </w:rPr>
      </w:pPr>
      <w:r>
        <w:rPr>
          <w:rFonts w:ascii="Arial" w:cs="Arial" w:eastAsia="Arial" w:hAnsi="Arial"/>
          <w:sz w:val="16"/>
          <w:szCs w:val="16"/>
          <w:color w:val="auto"/>
        </w:rPr>
        <w:t>$700.0 million in aggregate in potential milestone payments, as well as tiered royalties. In addition, we are eligible to receive</w:t>
      </w:r>
    </w:p>
    <w:p>
      <w:pPr>
        <w:spacing w:after="0" w:line="229" w:lineRule="auto"/>
        <w:rPr>
          <w:sz w:val="20"/>
          <w:szCs w:val="20"/>
          <w:color w:val="auto"/>
        </w:rPr>
      </w:pPr>
      <w:r>
        <w:rPr>
          <w:rFonts w:ascii="Arial" w:cs="Arial" w:eastAsia="Arial" w:hAnsi="Arial"/>
          <w:sz w:val="16"/>
          <w:szCs w:val="16"/>
          <w:color w:val="auto"/>
        </w:rPr>
        <w:t>research support of up to $22.0 million over the initial five year research term, subject to adjustment in accordance with the</w:t>
      </w:r>
    </w:p>
    <w:p>
      <w:pPr>
        <w:spacing w:after="0"/>
        <w:rPr>
          <w:sz w:val="20"/>
          <w:szCs w:val="20"/>
          <w:color w:val="auto"/>
        </w:rPr>
      </w:pPr>
      <w:r>
        <w:rPr>
          <w:rFonts w:ascii="Arial" w:cs="Arial" w:eastAsia="Arial" w:hAnsi="Arial"/>
          <w:sz w:val="18"/>
          <w:szCs w:val="18"/>
          <w:color w:val="auto"/>
        </w:rPr>
        <w:t>terms of the collaboration.</w:t>
      </w:r>
    </w:p>
    <w:p>
      <w:pPr>
        <w:spacing w:after="0" w:line="169"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We are also developing multiple gene editing approaches to treating hemoglobinopathies. These programs take advantage of our genome editing capabilities in hematopoietic stem cells (“HSCs”), which include two distinct genome editing approaches at the hemoglobin gene locus. We believe one or both of these approaches has the potential to effectively and durably treat sickle cell disease and beta thalassemia.</w:t>
      </w:r>
    </w:p>
    <w:p>
      <w:pPr>
        <w:spacing w:after="0" w:line="163" w:lineRule="exact"/>
        <w:rPr>
          <w:sz w:val="20"/>
          <w:szCs w:val="20"/>
          <w:color w:val="auto"/>
        </w:rPr>
      </w:pPr>
    </w:p>
    <w:p>
      <w:pPr>
        <w:ind w:right="40" w:firstLine="648"/>
        <w:spacing w:after="0" w:line="189" w:lineRule="exact"/>
        <w:rPr>
          <w:sz w:val="20"/>
          <w:szCs w:val="20"/>
          <w:color w:val="auto"/>
        </w:rPr>
      </w:pPr>
      <w:r>
        <w:rPr>
          <w:rFonts w:ascii="Arial" w:cs="Arial" w:eastAsia="Arial" w:hAnsi="Arial"/>
          <w:sz w:val="17"/>
          <w:szCs w:val="17"/>
          <w:color w:val="auto"/>
        </w:rPr>
        <w:t>Every decade over the past 40 years, an important class of medicines has emerged, such as recombinant proteins, monoclonal antibodies, and RNA</w:t>
      </w:r>
      <w:r>
        <w:rPr>
          <w:rFonts w:ascii="MS PGothic" w:cs="MS PGothic" w:eastAsia="MS PGothic" w:hAnsi="MS PGothic"/>
          <w:sz w:val="17"/>
          <w:szCs w:val="17"/>
          <w:color w:val="auto"/>
        </w:rPr>
        <w:t>‑</w:t>
      </w:r>
      <w:r>
        <w:rPr>
          <w:rFonts w:ascii="Arial" w:cs="Arial" w:eastAsia="Arial" w:hAnsi="Arial"/>
          <w:sz w:val="17"/>
          <w:szCs w:val="17"/>
          <w:color w:val="auto"/>
        </w:rPr>
        <w:t>based drugs. These new categories of medicines have brought forth important therapies for previously untreated diseases. In our view, genome editing with CRISPR has the potential to be one of the next major new categories. At Editas Medicine, we believe we can make that potential a reality.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 Culture, and Team</w:t>
      </w:r>
    </w:p>
    <w:p>
      <w:pPr>
        <w:spacing w:after="0" w:line="189"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Our values are the critical foundation upon which we have built our organization. They reflect how we think about the patients we aspire to help, how we operate as a company, and who we hire. These values are:</w:t>
      </w:r>
    </w:p>
    <w:p>
      <w:pPr>
        <w:spacing w:after="0" w:line="158" w:lineRule="exact"/>
        <w:rPr>
          <w:sz w:val="20"/>
          <w:szCs w:val="20"/>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w:t>
      </w:r>
      <w:r>
        <w:rPr>
          <w:rFonts w:ascii="Arial" w:cs="Arial" w:eastAsia="Arial" w:hAnsi="Arial"/>
          <w:sz w:val="18"/>
          <w:szCs w:val="18"/>
          <w:color w:val="auto"/>
        </w:rPr>
        <w:t>ommunity: One Team—Many Voices—Shared Mission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8"/>
          <w:szCs w:val="18"/>
          <w:color w:val="auto"/>
        </w:rPr>
        <w:t>esilience: Respect—Grow—Learn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8"/>
          <w:szCs w:val="18"/>
          <w:color w:val="auto"/>
        </w:rPr>
        <w:t>ngenuity: Be Bold—Answer Unknowns—Create Therapies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8"/>
          <w:szCs w:val="18"/>
          <w:color w:val="auto"/>
        </w:rPr>
        <w:t>cience: Impeccable—Rigorous—Meaningful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w:t>
      </w:r>
      <w:r>
        <w:rPr>
          <w:rFonts w:ascii="Arial" w:cs="Arial" w:eastAsia="Arial" w:hAnsi="Arial"/>
          <w:sz w:val="18"/>
          <w:szCs w:val="18"/>
          <w:color w:val="auto"/>
        </w:rPr>
        <w:t>assion: Love It—Do It—Own It</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w:t>
      </w:r>
      <w:r>
        <w:rPr>
          <w:rFonts w:ascii="Arial" w:cs="Arial" w:eastAsia="Arial" w:hAnsi="Arial"/>
          <w:sz w:val="18"/>
          <w:szCs w:val="18"/>
          <w:color w:val="auto"/>
        </w:rPr>
        <w:t>evolution: Discover—Translate—Cure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We believe that our values, culture, and team are critical to our success. The lifeblood of our company is exceptional scientists and company</w:t>
      </w:r>
      <w:r>
        <w:rPr>
          <w:rFonts w:ascii="MS PGothic" w:cs="MS PGothic" w:eastAsia="MS PGothic" w:hAnsi="MS PGothic"/>
          <w:sz w:val="18"/>
          <w:szCs w:val="18"/>
          <w:color w:val="auto"/>
        </w:rPr>
        <w:t>‑</w:t>
      </w:r>
      <w:r>
        <w:rPr>
          <w:rFonts w:ascii="Arial" w:cs="Arial" w:eastAsia="Arial" w:hAnsi="Arial"/>
          <w:sz w:val="18"/>
          <w:szCs w:val="18"/>
          <w:color w:val="auto"/>
        </w:rPr>
        <w:t>builders with experience across leading biopharmaceutical companies and academic research laboratories. Our company is distinguished by our team’s substantial experience in translating groundbreaking scientific platforms into therapeutic products and product candidates in many different diseases. This experience extends to our board of directors, which is composed of people with deep experience in guiding biotechnology companies through rapid growth and the development of complex, breakthrough science.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Long Term Goals</w:t>
      </w:r>
    </w:p>
    <w:p>
      <w:pPr>
        <w:spacing w:after="0" w:line="189"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We aim to transform the treatment of a broad range of serious diseases by building an integrated genomic medicine company. Key elements of our strategy are to:</w:t>
      </w:r>
    </w:p>
    <w:p>
      <w:pPr>
        <w:spacing w:after="0" w:line="162"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the preeminent genomic medicine company;</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 therapeutic programs rapidly and rigorously to address patients’ needs;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perfect the tools to edit DNA;</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 the translational science of genome editing;</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collaborate to realize the full potential of genome editing to create medicines;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commercialize products to bring new medicines to patients.</w:t>
      </w:r>
    </w:p>
    <w:p>
      <w:pPr>
        <w:spacing w:after="0" w:line="185" w:lineRule="exact"/>
        <w:rPr>
          <w:sz w:val="20"/>
          <w:szCs w:val="20"/>
          <w:color w:val="auto"/>
        </w:rPr>
      </w:pPr>
    </w:p>
    <w:p>
      <w:pPr>
        <w:ind w:firstLine="260"/>
        <w:spacing w:after="0" w:line="229" w:lineRule="auto"/>
        <w:rPr>
          <w:sz w:val="20"/>
          <w:szCs w:val="20"/>
          <w:color w:val="auto"/>
        </w:rPr>
      </w:pPr>
      <w:r>
        <w:rPr>
          <w:rFonts w:ascii="Arial" w:cs="Arial" w:eastAsia="Arial" w:hAnsi="Arial"/>
          <w:sz w:val="17"/>
          <w:szCs w:val="17"/>
          <w:color w:val="auto"/>
        </w:rPr>
        <w:t>As part of our long term strategy, we have developed and articulated goals for our pipeline of experimental medicines and our company that we are working to achieve by the end of 2022. These goals, which we call “EM22”, include having at least three experimental medicines in early stage clinical trials and at least two additional experimental medicines in or ready for late stage clinical trials. In addition, we aim to have a pipeline characterized by potential best-in-class medicines and to be a company with the leading genome editing platform and organizational culture.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Core Capability — Genome Editing</w:t>
      </w:r>
    </w:p>
    <w:p>
      <w:pPr>
        <w:spacing w:after="0" w:line="189"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Humans possess a genome sequence of roughly three billion base pairs of nucleotides, the building blocks of the DNA double helix. DNA serves as the blueprint for cellular structure and function. Small changes, or mutations, can occur in the sequence of base pairs of our DNA. At the molecular level, these mutations can be categorized as single base pair changes, small insertions or deletions, large deletions, duplications, or repetitive sequence expansions. A mutation could occur on one or both alleles, or copies, of a gene in a cell. In some cases, these mutations can lead to a failure to produce proteins that are necessary for normal function or the production of abnormal proteins, either of which can cause disease. Abnormal proteins can interfere with the function of the normal protein or lead to a new deleterious effect called a toxic gain of function. Genetically defined diseases vary dramatically in their pathologies, their sites of manifestation, and the specific natures of their root causes. Familiar examples of genetically defined diseases include cystic fibrosis, Duchenne muscular dystrophy, Huntington’s disease, retinitis pigmentosa, and sickle cell anemia.</w:t>
      </w:r>
    </w:p>
    <w:p>
      <w:pPr>
        <w:spacing w:after="0" w:line="164"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Major investments in the human genome project, clinical sample collection and characterization, and the subsequent development of low cost and rapid DNA sequencing and informatics tools have revolutionized the understanding of genetically defined diseases and paved the way for advancing the field of genomic medicine. Genomic medicine harnesses the knowledge of genetics to guide the care of patients and create new therapies. There are several technologies that have the potential to create medicines in this field. These technologies can be grouped into two broad categories: gene therapy and genome editing. Each approach seeks to address genetically defined diseases at the level of DNA.</w:t>
      </w:r>
    </w:p>
    <w:p>
      <w:pPr>
        <w:spacing w:after="0" w:line="161"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6"/>
          <w:szCs w:val="16"/>
          <w:color w:val="auto"/>
        </w:rPr>
        <w:t>Gene therapy is an approach whereby a new gene is transferred into cells to augment a defective gene. This can either be through insertion of the new gene directly into a patient’s DNA without specific regard to the site of insertion or delivering a piece of DNA to exist alongside the patient’s genome without being integrated into it. Gene therapy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140"/>
        <w:spacing w:after="0" w:line="224" w:lineRule="auto"/>
        <w:rPr>
          <w:sz w:val="20"/>
          <w:szCs w:val="20"/>
          <w:color w:val="auto"/>
        </w:rPr>
      </w:pPr>
      <w:r>
        <w:rPr>
          <w:rFonts w:ascii="Arial" w:cs="Arial" w:eastAsia="Arial" w:hAnsi="Arial"/>
          <w:sz w:val="18"/>
          <w:szCs w:val="18"/>
          <w:color w:val="auto"/>
        </w:rPr>
        <w:t>transfers new DNA into cells, however it does not remove or modify the defective DNA and it generally introduces the new genetic material in a location where it is not subject to the cell’s normal control and feedback mechanisms. This approach is suited for a finite set of genetically defined diseases</w:t>
      </w:r>
    </w:p>
    <w:p>
      <w:pPr>
        <w:spacing w:after="0" w:line="163"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 xml:space="preserve">Genome editing is the process of revising, removing, or repairing defective DNA </w:t>
      </w:r>
      <w:r>
        <w:rPr>
          <w:rFonts w:ascii="Arial" w:cs="Arial" w:eastAsia="Arial" w:hAnsi="Arial"/>
          <w:sz w:val="17"/>
          <w:szCs w:val="17"/>
          <w:i w:val="1"/>
          <w:iCs w:val="1"/>
          <w:color w:val="auto"/>
        </w:rPr>
        <w:t>in situ</w:t>
      </w:r>
      <w:r>
        <w:rPr>
          <w:rFonts w:ascii="Arial" w:cs="Arial" w:eastAsia="Arial" w:hAnsi="Arial"/>
          <w:sz w:val="17"/>
          <w:szCs w:val="17"/>
          <w:color w:val="auto"/>
        </w:rPr>
        <w:t>. In general, genome editing corrects the defective DNA in its native location, and consequently the repaired genetic region retains the cell’s normal control and feedback mechanisms. Genome editing typically takes advantage of naturally occurring DNA repair mechanisms, including non-homologous end joining (“NHEJ”) and homology directed repair (“HDR”), to achieve its desired therapeutic outcome. Edits that are repaired by NHEJ typically disrupt a gene or eliminate a disease causing mutation. Edits that are repaired by HDR, including targeted insertion, aim to correct or replace aberrant DNA sequences. The diversity of genetic drivers of disease demands a variety of solutions. Genome editing has the potential to deliver a variety of types of genome modification to address a broad range of genetically defined diseases.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Advantages of CRISPR for Genome Editing</w:t>
      </w:r>
    </w:p>
    <w:p>
      <w:pPr>
        <w:spacing w:after="0" w:line="185"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CRISPR technology uses a protein</w:t>
      </w:r>
      <w:r>
        <w:rPr>
          <w:rFonts w:ascii="MS PGothic" w:cs="MS PGothic" w:eastAsia="MS PGothic" w:hAnsi="MS PGothic"/>
          <w:sz w:val="16"/>
          <w:szCs w:val="16"/>
          <w:color w:val="auto"/>
        </w:rPr>
        <w:t>‑</w:t>
      </w:r>
      <w:r>
        <w:rPr>
          <w:rFonts w:ascii="Arial" w:cs="Arial" w:eastAsia="Arial" w:hAnsi="Arial"/>
          <w:sz w:val="16"/>
          <w:szCs w:val="16"/>
          <w:color w:val="auto"/>
        </w:rPr>
        <w:t>RNA complex composed of a type of enzyme, referred to as a DNA endonuclease, bound to an RNA molecule, referred to as a guide RNA, that has been designed to recognize a particular DNA sequence. A DNA endonuclease is an enzyme that cleaves DNA. This combination of a DNA endonuclease and a guide RNA only bind and cut DNA when two criteria are met: first, the protein recognizes a short DNA specific to the enzyme called the protospacer adjacent motif (“PAM”), and second, the appropriate portion of the guide RNA matches the adjacent DNA sequence. The PAM sequence that is recognized by the DNA endonuclease creates a second layer of recognition in addition to the guide RNA. We believe that CRISPR technology has three principal advantages for genome editing:</w:t>
      </w:r>
    </w:p>
    <w:p>
      <w:pPr>
        <w:spacing w:after="0" w:line="163" w:lineRule="exact"/>
        <w:rPr>
          <w:sz w:val="20"/>
          <w:szCs w:val="20"/>
          <w:color w:val="auto"/>
        </w:rPr>
      </w:pPr>
    </w:p>
    <w:p>
      <w:pPr>
        <w:ind w:left="980" w:right="60" w:hanging="329"/>
        <w:spacing w:after="0" w:line="182" w:lineRule="exact"/>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Rapid, comprehensive, and systematic identification of product candidates. </w:t>
      </w:r>
      <w:r>
        <w:rPr>
          <w:rFonts w:ascii="Arial" w:cs="Arial" w:eastAsia="Arial" w:hAnsi="Arial"/>
          <w:sz w:val="17"/>
          <w:szCs w:val="17"/>
          <w:color w:val="auto"/>
        </w:rPr>
        <w:t>The key targeting mechanism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endonuclease, whether it is Cas9 or Cpf1, is a guide RNA, which can be rapidly replaced with a different guide RNA or optimized by changes as small as a single nucleotide. This allows for the flexible design, synthesis, and testing of hundreds of guide RNA/endonuclease combinations for each genetic target in order to find those that cut the DNA target with the optimal efficiency and specificity. In contrast, other commonly used DNA nucleases for genome editing have inherently limited flexibility. For example, zinc finger nucleases, engineered meganucleases, and transcription activator</w:t>
      </w:r>
      <w:r>
        <w:rPr>
          <w:rFonts w:ascii="MS PGothic" w:cs="MS PGothic" w:eastAsia="MS PGothic" w:hAnsi="MS PGothic"/>
          <w:sz w:val="17"/>
          <w:szCs w:val="17"/>
          <w:color w:val="auto"/>
        </w:rPr>
        <w:t>‑</w:t>
      </w:r>
      <w:r>
        <w:rPr>
          <w:rFonts w:ascii="Arial" w:cs="Arial" w:eastAsia="Arial" w:hAnsi="Arial"/>
          <w:sz w:val="17"/>
          <w:szCs w:val="17"/>
          <w:color w:val="auto"/>
        </w:rPr>
        <w:t>like effector nucleases (“TALENs”) use proteins for DNA sequence recognition to bring the endonuclease to the site of the genome where cleavage is desired, requiring the creation of an entirely new protein for each target site.</w:t>
      </w:r>
    </w:p>
    <w:p>
      <w:pPr>
        <w:spacing w:after="0" w:line="161" w:lineRule="exact"/>
        <w:rPr>
          <w:rFonts w:ascii="Arial" w:cs="Arial" w:eastAsia="Arial" w:hAnsi="Arial"/>
          <w:sz w:val="17"/>
          <w:szCs w:val="17"/>
          <w:color w:val="auto"/>
        </w:rPr>
      </w:pPr>
    </w:p>
    <w:p>
      <w:pPr>
        <w:ind w:left="980" w:right="40" w:hanging="329"/>
        <w:spacing w:after="0" w:line="185" w:lineRule="exact"/>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Simultaneous and efficient targeting of multiple sites. </w:t>
      </w:r>
      <w:r>
        <w:rPr>
          <w:rFonts w:ascii="Arial" w:cs="Arial" w:eastAsia="Arial" w:hAnsi="Arial"/>
          <w:sz w:val="17"/>
          <w:szCs w:val="17"/>
          <w:color w:val="auto"/>
        </w:rPr>
        <w:t>In CRISPR technology, multiple guide RNAs can be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along with the same endonuclease, enabling the simultaneous and efficient targeting of multiple sites. This ability to target multiple DNA sequences expands the applicability of CRISPR technology and also creates the potential for self</w:t>
      </w:r>
      <w:r>
        <w:rPr>
          <w:rFonts w:ascii="MS PGothic" w:cs="MS PGothic" w:eastAsia="MS PGothic" w:hAnsi="MS PGothic"/>
          <w:sz w:val="17"/>
          <w:szCs w:val="17"/>
          <w:color w:val="auto"/>
        </w:rPr>
        <w:t>‑</w:t>
      </w:r>
      <w:r>
        <w:rPr>
          <w:rFonts w:ascii="Arial" w:cs="Arial" w:eastAsia="Arial" w:hAnsi="Arial"/>
          <w:sz w:val="17"/>
          <w:szCs w:val="17"/>
          <w:color w:val="auto"/>
        </w:rPr>
        <w:t>regulating systems that control exposure to the editing machinery. To address more than one target, other genome editing technologies require the engineering, characterization, manufacture, and delivery of distinct nuclease proteins for each target.</w:t>
      </w:r>
    </w:p>
    <w:p>
      <w:pPr>
        <w:spacing w:after="0" w:line="165" w:lineRule="exact"/>
        <w:rPr>
          <w:rFonts w:ascii="Arial" w:cs="Arial" w:eastAsia="Arial" w:hAnsi="Arial"/>
          <w:sz w:val="17"/>
          <w:szCs w:val="17"/>
          <w:color w:val="auto"/>
        </w:rPr>
      </w:pPr>
    </w:p>
    <w:p>
      <w:pPr>
        <w:ind w:left="980" w:right="180" w:hanging="329"/>
        <w:spacing w:after="0" w:line="183"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Ability to achieve a range of different types of edits. </w:t>
      </w:r>
      <w:r>
        <w:rPr>
          <w:rFonts w:ascii="Arial" w:cs="Arial" w:eastAsia="Arial" w:hAnsi="Arial"/>
          <w:sz w:val="18"/>
          <w:szCs w:val="18"/>
          <w:color w:val="auto"/>
        </w:rPr>
        <w:t>The inherent differences in Cas9 and Cpf1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of different engineered variants of both enzymes allow for different types of cuts for genome editing. We are able to make a blunt cut, cut either strand of the DNA, or create overhangs of differing length. This may be a critical component of improved HDR</w:t>
      </w:r>
      <w:r>
        <w:rPr>
          <w:rFonts w:ascii="MS PGothic" w:cs="MS PGothic" w:eastAsia="MS PGothic" w:hAnsi="MS PGothic"/>
          <w:sz w:val="18"/>
          <w:szCs w:val="18"/>
          <w:color w:val="auto"/>
        </w:rPr>
        <w:t>‑</w:t>
      </w:r>
      <w:r>
        <w:rPr>
          <w:rFonts w:ascii="Arial" w:cs="Arial" w:eastAsia="Arial" w:hAnsi="Arial"/>
          <w:sz w:val="18"/>
          <w:szCs w:val="18"/>
          <w:color w:val="auto"/>
        </w:rPr>
        <w:t>driven approaches because the type of DNA cut can influence the type of repair mechanism used by a cell in response to that cut. We believe the ability to modify CRISPR technology to allow for different types of cuts will expand the potential of our genome editing platform.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Genome Editing Platform</w:t>
      </w:r>
    </w:p>
    <w:p>
      <w:pPr>
        <w:spacing w:after="0" w:line="185" w:lineRule="exact"/>
        <w:rPr>
          <w:sz w:val="20"/>
          <w:szCs w:val="20"/>
          <w:color w:val="auto"/>
        </w:rPr>
      </w:pPr>
    </w:p>
    <w:p>
      <w:pPr>
        <w:ind w:right="540" w:firstLine="648"/>
        <w:spacing w:after="0" w:line="235" w:lineRule="auto"/>
        <w:rPr>
          <w:sz w:val="20"/>
          <w:szCs w:val="20"/>
          <w:color w:val="auto"/>
        </w:rPr>
      </w:pPr>
      <w:r>
        <w:rPr>
          <w:rFonts w:ascii="Arial" w:cs="Arial" w:eastAsia="Arial" w:hAnsi="Arial"/>
          <w:sz w:val="18"/>
          <w:szCs w:val="18"/>
          <w:color w:val="auto"/>
        </w:rPr>
        <w:t>We have developed a proprietary genome editing platform consisting of four interrelated components that are designed to address four key goals of genome editing:</w:t>
      </w:r>
    </w:p>
    <w:p>
      <w:pPr>
        <w:spacing w:after="0" w:line="162" w:lineRule="exact"/>
        <w:rPr>
          <w:sz w:val="20"/>
          <w:szCs w:val="20"/>
          <w:color w:val="auto"/>
        </w:rPr>
      </w:pPr>
    </w:p>
    <w:p>
      <w:pPr>
        <w:ind w:left="4480" w:right="2360" w:hanging="3829"/>
        <w:spacing w:after="0" w:line="935" w:lineRule="auto"/>
        <w:tabs>
          <w:tab w:leader="none" w:pos="966"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creating a comprehensive toolbox for robust and selective genome engineering;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efficient and targeted delivery to any tissue or cell;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effecting spatial and temporal control of gene editing and specificity;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orchestrating the cellular response to ensure accurate and precise genome editing.</w:t>
      </w:r>
    </w:p>
    <w:p>
      <w:pPr>
        <w:spacing w:after="0" w:line="185"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We believe that the developments we have made in our genome editing platform position us to be able to identify and develop innovative genome editing therapies targeting a wide variety of diseases. All of our programs to develop medicines leverage aspects of this platform while also providing insights that help improve our ongoing and future drug development capabilities. We believe our genome editing platform forms the basis for our ongoing leadership in the field and differentiates us from other companies working in genome editing.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Nuclease and Guide RNA Engineering</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We use our genome editing platform to identify and optimize both the enzyme, including Cas9 and Cpf1, as well as advanced forms of each, and the guide RNA molecule, to create what we believe will be the optimal endonuclease</w:t>
      </w:r>
      <w:r>
        <w:rPr>
          <w:rFonts w:ascii="MS PGothic" w:cs="MS PGothic" w:eastAsia="MS PGothic" w:hAnsi="MS PGothic"/>
          <w:sz w:val="16"/>
          <w:szCs w:val="16"/>
          <w:color w:val="auto"/>
        </w:rPr>
        <w:t>‑</w:t>
      </w:r>
      <w:r>
        <w:rPr>
          <w:rFonts w:ascii="Arial" w:cs="Arial" w:eastAsia="Arial" w:hAnsi="Arial"/>
          <w:sz w:val="16"/>
          <w:szCs w:val="16"/>
          <w:color w:val="auto"/>
        </w:rPr>
        <w:t>guide RNA complex for a given disease target. We have made substantial advances in the characterization and modification of different natural and engineered variants of Cas9 and Cpf1 enzymes and in the design, synthesis, modification, analysis, and characterization of guide RNAs. We believe the diversity of the Cas9 and Cpf1 enzymes that we are currently employing and those that we are continuing to further develop and characterize have the potential to provide us with a competitive advantage as we develop a range of products with different technical needs. We believe our systematic approach to measurement of both the efficiency and specificity of multiple possible enzyme and guide RNA combinations enables us to optimize the identification of lead molecules to progress into more advanced testing. Our aim is to continue to develop new engineered Cas9 and Cpf1 enzymes with altered PAM specificities, different DNA cutting capabilities, and additional advanced properties. For example, we are using directed evolution, a form of guided protein engineering, to develop Cas9 enzymes that have higher fidelity than naturally occurring Cas9. We believe that further developing our nuclease and guide RNA engineering capabilities will allow us to further broaden the range of diseases we can treat while at the same time ensuring that our products have the best possible safety profiles.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 xml:space="preserve">We have characterized different Cas9 and Cpf1 enzymes for several reasons. Firstly, a smaller enzyme will have advantages for delivering the endonuclease using a viral vector due to the inherent size limitations of most such delivery systems. For example, the Cas9 enzyme from </w:t>
      </w:r>
      <w:r>
        <w:rPr>
          <w:rFonts w:ascii="Arial" w:cs="Arial" w:eastAsia="Arial" w:hAnsi="Arial"/>
          <w:sz w:val="17"/>
          <w:szCs w:val="17"/>
          <w:i w:val="1"/>
          <w:iCs w:val="1"/>
          <w:color w:val="auto"/>
        </w:rPr>
        <w:t>Staphylococcus aureus</w:t>
      </w:r>
      <w:r>
        <w:rPr>
          <w:rFonts w:ascii="Arial" w:cs="Arial" w:eastAsia="Arial" w:hAnsi="Arial"/>
          <w:sz w:val="17"/>
          <w:szCs w:val="17"/>
          <w:color w:val="auto"/>
        </w:rPr>
        <w:t xml:space="preserve">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or “SaCas9”) is significantly smaller than that from </w:t>
      </w:r>
      <w:r>
        <w:rPr>
          <w:rFonts w:ascii="Arial" w:cs="Arial" w:eastAsia="Arial" w:hAnsi="Arial"/>
          <w:sz w:val="17"/>
          <w:szCs w:val="17"/>
          <w:i w:val="1"/>
          <w:iCs w:val="1"/>
          <w:color w:val="auto"/>
        </w:rPr>
        <w:t>Streptococcus pyogenes</w:t>
      </w:r>
      <w:r>
        <w:rPr>
          <w:rFonts w:ascii="Arial" w:cs="Arial" w:eastAsia="Arial" w:hAnsi="Arial"/>
          <w:sz w:val="17"/>
          <w:szCs w:val="17"/>
          <w:color w:val="auto"/>
        </w:rPr>
        <w:t xml:space="preserve"> (“</w:t>
      </w:r>
      <w:r>
        <w:rPr>
          <w:rFonts w:ascii="Arial" w:cs="Arial" w:eastAsia="Arial" w:hAnsi="Arial"/>
          <w:sz w:val="17"/>
          <w:szCs w:val="17"/>
          <w:i w:val="1"/>
          <w:iCs w:val="1"/>
          <w:color w:val="auto"/>
        </w:rPr>
        <w:t>S. pyogenes</w:t>
      </w:r>
      <w:r>
        <w:rPr>
          <w:rFonts w:ascii="Arial" w:cs="Arial" w:eastAsia="Arial" w:hAnsi="Arial"/>
          <w:sz w:val="17"/>
          <w:szCs w:val="17"/>
          <w:color w:val="auto"/>
        </w:rPr>
        <w:t xml:space="preserve">” or “SpCas9”) (3,159 vs. 4,104 base pairs), and this is important when working with adeno-associated virus (“AAV”) as a delivery vector, which has an effective packaging limit of approximately 4,700 base pairs. Secondly, identifying Cas9 and Cpf1 enzymes with different editing properties will expand the number of potential editing sites in the human genome. As shown below, the range of natural and engineered variants of Cas9 and Cpf1 have significantly expanded the number of sites in the human genome that we can potentially target. As compared to the most commonly used, naturally occurring version of Cas9, from the bacterial species </w:t>
      </w:r>
      <w:r>
        <w:rPr>
          <w:rFonts w:ascii="Arial" w:cs="Arial" w:eastAsia="Arial" w:hAnsi="Arial"/>
          <w:sz w:val="17"/>
          <w:szCs w:val="17"/>
          <w:i w:val="1"/>
          <w:iCs w:val="1"/>
          <w:color w:val="auto"/>
        </w:rPr>
        <w:t>S. pyogenes</w:t>
      </w:r>
      <w:r>
        <w:rPr>
          <w:rFonts w:ascii="Arial" w:cs="Arial" w:eastAsia="Arial" w:hAnsi="Arial"/>
          <w:sz w:val="17"/>
          <w:szCs w:val="17"/>
          <w:color w:val="auto"/>
        </w:rPr>
        <w:t xml:space="preserve">, the range of endonucleases in our platform can target approximately ten times as many genomic sites. Thus, while the </w:t>
      </w:r>
      <w:r>
        <w:rPr>
          <w:rFonts w:ascii="Arial" w:cs="Arial" w:eastAsia="Arial" w:hAnsi="Arial"/>
          <w:sz w:val="17"/>
          <w:szCs w:val="17"/>
          <w:i w:val="1"/>
          <w:iCs w:val="1"/>
          <w:color w:val="auto"/>
        </w:rPr>
        <w:t>S. pyogenes</w:t>
      </w:r>
      <w:r>
        <w:rPr>
          <w:rFonts w:ascii="Arial" w:cs="Arial" w:eastAsia="Arial" w:hAnsi="Arial"/>
          <w:sz w:val="17"/>
          <w:szCs w:val="17"/>
          <w:color w:val="auto"/>
        </w:rPr>
        <w:t xml:space="preserve"> Cas9 can target approximately 1 in 10 bases in the human genome, we have the potential to hit over 95% of all bases due to the wide range of endonucleases at our disposal.</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Number of Genomic Sites Targetable by Various Enzymes and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137795</wp:posOffset>
            </wp:positionV>
            <wp:extent cx="4631055" cy="1526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3105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In order to accelerate and standardize the selection of guide RNAs, we have created proprietary analytical software that supports guide RNA design through single nucleotide polymorphism analysis, specificity prediction, and assessment of relative importance of potential off target sites.</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Of critical importance in determining the activity and specificity of an endonuclease-guide RNA complex is understanding the quality and composition of the guide RNA. The ability to understand the quality and composition of the guide RNA will be an essential component to developing product candidates that have the potential to be safe and efficacious medicines. We have developed significant analytical and synthetic capabilities as a result of acquiring assets and capabilities of i2 Pharmaceuticals, Inc. and certain of its affiliated companies in January 2018. In addition to state of the art mass spectrometry and sequencing methodologies to understand the absolute composition of our guide RNAs, we have developed two-step synthesis methods which results in guide RNAs which we believe are significantly superior to those generated by other approaches. This method allows us to independently synthesize and purify guide RNAs in multiple parts and covalently couple them using a proprietary catalyst-free chemistry. These covalently coupled, dual guide RNAs retain the advantages afforded by a single guide RNA and we believe are of higher quality than a guide RNA made by a single synthesis reaction. We believe this method will lead to higher quality genome editing medicines.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 xml:space="preserve">Our genome editing platform includes multiple modular delivery modes that can be efficiently adapted to deliver different CRISPR genome editing components to address the specific needs of each disease targeted. Our strategy is to leverage existing delivery technologies to target cell types of interest while developing next generation capabilities as warranted. We are currently exploring, and will continue to explore, a variety of delivery approaches, including AAVs, lipid nanoparticles (“LNPs”), and the use of electroporation. For example, we have taken advantage of the smaller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Cas9 and existing AAV technology to construct an “all</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one” viral vector that is able to deliver the DNA coding for the nuclease protein and one or two guide RNAs directly to cells. We believe our ability to configure all the components for genome editing in an “all</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 xml:space="preserve">one” AAV vector has substantial advantages for manufacturing and delivery compared to approaches that rely on multiple vectors. In addition, we have also made substantial advances in the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delivery of CRISPR systems to mature human T cells and hematopoietic stem cells derived from the bone marrow. We have been able to demonstrate greater than 90%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editing on multiple genetic targets simultaneously in human T cells and greater than 75%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editing in hematopoietic stem cells using ribonucleoprotein complexes, which consist of the Cas9 or Cpf1 endonuclease complexed with its guide RNA. These results are consistent across multiple cell donors and multiple target genes.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and Specificity</w:t>
      </w:r>
    </w:p>
    <w:p>
      <w:pPr>
        <w:spacing w:after="0" w:line="185"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6"/>
          <w:szCs w:val="16"/>
          <w:color w:val="auto"/>
        </w:rPr>
        <w:t>Control of cellular exposure to the endonuclease</w:t>
      </w:r>
      <w:r>
        <w:rPr>
          <w:rFonts w:ascii="MS PGothic" w:cs="MS PGothic" w:eastAsia="MS PGothic" w:hAnsi="MS PGothic"/>
          <w:sz w:val="16"/>
          <w:szCs w:val="16"/>
          <w:color w:val="auto"/>
        </w:rPr>
        <w:t>‑</w:t>
      </w:r>
      <w:r>
        <w:rPr>
          <w:rFonts w:ascii="Arial" w:cs="Arial" w:eastAsia="Arial" w:hAnsi="Arial"/>
          <w:sz w:val="16"/>
          <w:szCs w:val="16"/>
          <w:color w:val="auto"/>
        </w:rPr>
        <w:t>guide RNA complex and specificity of the DNA cut are important to optimizing the location and duration of editing activity. We believe these features are critical to designing medicines that are both safe and effective, and we are developing and applying technologies in these areas. We strive to identify, measure, and eliminate off</w:t>
      </w:r>
      <w:r>
        <w:rPr>
          <w:rFonts w:ascii="MS PGothic" w:cs="MS PGothic" w:eastAsia="MS PGothic" w:hAnsi="MS PGothic"/>
          <w:sz w:val="16"/>
          <w:szCs w:val="16"/>
          <w:color w:val="auto"/>
        </w:rPr>
        <w:t>‑</w:t>
      </w:r>
      <w:r>
        <w:rPr>
          <w:rFonts w:ascii="Arial" w:cs="Arial" w:eastAsia="Arial" w:hAnsi="Arial"/>
          <w:sz w:val="16"/>
          <w:szCs w:val="16"/>
          <w:color w:val="auto"/>
        </w:rPr>
        <w:t>target activity in a systematic and scalable manner as we optimize our molecules. To</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accomplish this, we have combined multiple orthogonal methods in the design, testing, and optimization process. Our strategy to assess specificity during the research stage includes:</w:t>
      </w:r>
    </w:p>
    <w:p>
      <w:pPr>
        <w:spacing w:after="0" w:line="162" w:lineRule="exact"/>
        <w:rPr>
          <w:sz w:val="20"/>
          <w:szCs w:val="20"/>
          <w:color w:val="auto"/>
        </w:rPr>
      </w:pPr>
    </w:p>
    <w:p>
      <w:pPr>
        <w:ind w:left="980" w:right="20" w:hanging="329"/>
        <w:spacing w:after="0" w:line="184" w:lineRule="exact"/>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Establish industry</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leading computational tools to design guide RNAs. </w:t>
      </w:r>
      <w:r>
        <w:rPr>
          <w:rFonts w:ascii="Arial" w:cs="Arial" w:eastAsia="Arial" w:hAnsi="Arial"/>
          <w:sz w:val="17"/>
          <w:szCs w:val="17"/>
          <w:color w:val="auto"/>
        </w:rPr>
        <w:t>In order to design highly selective guide</w:t>
      </w:r>
      <w:r>
        <w:rPr>
          <w:rFonts w:ascii="Arial" w:cs="Arial" w:eastAsia="Arial" w:hAnsi="Arial"/>
          <w:sz w:val="17"/>
          <w:szCs w:val="17"/>
          <w:i w:val="1"/>
          <w:iCs w:val="1"/>
          <w:color w:val="auto"/>
        </w:rPr>
        <w:t xml:space="preserve"> </w:t>
      </w:r>
      <w:r>
        <w:rPr>
          <w:rFonts w:ascii="Arial" w:cs="Arial" w:eastAsia="Arial" w:hAnsi="Arial"/>
          <w:sz w:val="17"/>
          <w:szCs w:val="17"/>
          <w:color w:val="auto"/>
        </w:rPr>
        <w:t>RNAs, we compare the targeted DNA sequence to the sequence of the entire human genome to identify all sequences that have significant similarity to the targeted DNA sequence. Based on our internal algorithms, we eliminate any guide RNAs that have certain defined degrees of similarity to other sites across the genome. We continually refine our guide RNA design algorithms based on results from large</w:t>
      </w:r>
      <w:r>
        <w:rPr>
          <w:rFonts w:ascii="MS PGothic" w:cs="MS PGothic" w:eastAsia="MS PGothic" w:hAnsi="MS PGothic"/>
          <w:sz w:val="17"/>
          <w:szCs w:val="17"/>
          <w:color w:val="auto"/>
        </w:rPr>
        <w:t>‑</w:t>
      </w:r>
      <w:r>
        <w:rPr>
          <w:rFonts w:ascii="Arial" w:cs="Arial" w:eastAsia="Arial" w:hAnsi="Arial"/>
          <w:sz w:val="17"/>
          <w:szCs w:val="17"/>
          <w:color w:val="auto"/>
        </w:rPr>
        <w:t>scale guide RNA screens and further confirmation and refinement experiments. We expect that this will enhance our ability to design efficient and specific guide RNAs as our database expands over time.</w:t>
      </w:r>
    </w:p>
    <w:p>
      <w:pPr>
        <w:spacing w:after="0" w:line="162" w:lineRule="exact"/>
        <w:rPr>
          <w:rFonts w:ascii="Arial" w:cs="Arial" w:eastAsia="Arial" w:hAnsi="Arial"/>
          <w:sz w:val="17"/>
          <w:szCs w:val="17"/>
          <w:color w:val="auto"/>
        </w:rPr>
      </w:pPr>
    </w:p>
    <w:p>
      <w:pPr>
        <w:ind w:left="980" w:right="80" w:hanging="329"/>
        <w:spacing w:after="0" w:line="185" w:lineRule="exact"/>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Use multiple unbiased, comprehensive methods to empirically assess specificity in vitro. </w:t>
      </w:r>
      <w:r>
        <w:rPr>
          <w:rFonts w:ascii="Arial" w:cs="Arial" w:eastAsia="Arial" w:hAnsi="Arial"/>
          <w:sz w:val="18"/>
          <w:szCs w:val="18"/>
          <w:color w:val="auto"/>
        </w:rPr>
        <w:t>While computational</w:t>
      </w:r>
      <w:r>
        <w:rPr>
          <w:rFonts w:ascii="Arial" w:cs="Arial" w:eastAsia="Arial" w:hAnsi="Arial"/>
          <w:sz w:val="18"/>
          <w:szCs w:val="18"/>
          <w:i w:val="1"/>
          <w:iCs w:val="1"/>
          <w:color w:val="auto"/>
        </w:rPr>
        <w:t xml:space="preserve"> </w:t>
      </w:r>
      <w:r>
        <w:rPr>
          <w:rFonts w:ascii="Arial" w:cs="Arial" w:eastAsia="Arial" w:hAnsi="Arial"/>
          <w:sz w:val="18"/>
          <w:szCs w:val="18"/>
          <w:color w:val="auto"/>
        </w:rPr>
        <w:t>tools are helpful, they are only a starting point and are insufficient to understand specificity completely. It is critical to make and test molecules in unbiased assays to assess the specificity of their activity. We use multiple methods to empirically assess specificity in order to test for a variety of potential off</w:t>
      </w:r>
      <w:r>
        <w:rPr>
          <w:rFonts w:ascii="MS PGothic" w:cs="MS PGothic" w:eastAsia="MS PGothic" w:hAnsi="MS PGothic"/>
          <w:sz w:val="18"/>
          <w:szCs w:val="18"/>
          <w:color w:val="auto"/>
        </w:rPr>
        <w:t>‑</w:t>
      </w:r>
      <w:r>
        <w:rPr>
          <w:rFonts w:ascii="Arial" w:cs="Arial" w:eastAsia="Arial" w:hAnsi="Arial"/>
          <w:sz w:val="18"/>
          <w:szCs w:val="18"/>
          <w:color w:val="auto"/>
        </w:rPr>
        <w:t>target cuts at sites both similar and dissimilar to the targeted DNA site so that we can select for advancement those molecules with no off-target activity in these assays.</w:t>
      </w:r>
    </w:p>
    <w:p>
      <w:pPr>
        <w:spacing w:after="0" w:line="162" w:lineRule="exact"/>
        <w:rPr>
          <w:rFonts w:ascii="Arial" w:cs="Arial" w:eastAsia="Arial" w:hAnsi="Arial"/>
          <w:sz w:val="18"/>
          <w:szCs w:val="18"/>
          <w:color w:val="auto"/>
        </w:rPr>
      </w:pPr>
    </w:p>
    <w:p>
      <w:pPr>
        <w:ind w:left="980" w:right="20" w:hanging="329"/>
        <w:spacing w:after="0" w:line="183" w:lineRule="exact"/>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Create validated assay panels composed of potential off</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target sites identified by both computational approaches and other unbiased methods. </w:t>
      </w:r>
      <w:r>
        <w:rPr>
          <w:rFonts w:ascii="Arial" w:cs="Arial" w:eastAsia="Arial" w:hAnsi="Arial"/>
          <w:sz w:val="18"/>
          <w:szCs w:val="18"/>
          <w:color w:val="auto"/>
        </w:rPr>
        <w:t>These verification assay panels, or targeted resequencing assay, will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then be applied to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experimental systems to confirm specificity as we advance to the clinic. Included in these assay panels are genome detection methods that allow detection of multiple editing events in a single reaction. Our proprietary Uni-Directional Targeted Sequencing method (“UDiTaS”) is a simple, efficient way to simultaneously measure small and large editing events at single nucleotide resolution and provide accurate quantification of these events.</w:t>
      </w:r>
    </w:p>
    <w:p>
      <w:pPr>
        <w:spacing w:after="0" w:line="165"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6"/>
          <w:szCs w:val="16"/>
          <w:color w:val="auto"/>
        </w:rPr>
        <w:t>To optimize the specificity of our product candidates, there are a number of different aspects of the product configuration that we customize in addition to the sequence and quality of the guide RNA, including the length of the guide RNA, the type of Cas9 or Cpf1 enzyme, the delivery vector, the use of tissue</w:t>
      </w:r>
      <w:r>
        <w:rPr>
          <w:rFonts w:ascii="MS PGothic" w:cs="MS PGothic" w:eastAsia="MS PGothic" w:hAnsi="MS PGothic"/>
          <w:sz w:val="16"/>
          <w:szCs w:val="16"/>
          <w:color w:val="auto"/>
        </w:rPr>
        <w:t>‑</w:t>
      </w:r>
      <w:r>
        <w:rPr>
          <w:rFonts w:ascii="Arial" w:cs="Arial" w:eastAsia="Arial" w:hAnsi="Arial"/>
          <w:sz w:val="16"/>
          <w:szCs w:val="16"/>
          <w:color w:val="auto"/>
        </w:rPr>
        <w:t>selective promoters, and the duration of exposure all contribute to overall specificity. For example, to reduce the potential persistence of genome editing activity, we are developing self</w:t>
      </w:r>
      <w:r>
        <w:rPr>
          <w:rFonts w:ascii="MS PGothic" w:cs="MS PGothic" w:eastAsia="MS PGothic" w:hAnsi="MS PGothic"/>
          <w:sz w:val="16"/>
          <w:szCs w:val="16"/>
          <w:color w:val="auto"/>
        </w:rPr>
        <w:t>‑</w:t>
      </w:r>
      <w:r>
        <w:rPr>
          <w:rFonts w:ascii="Arial" w:cs="Arial" w:eastAsia="Arial" w:hAnsi="Arial"/>
          <w:sz w:val="16"/>
          <w:szCs w:val="16"/>
          <w:color w:val="auto"/>
        </w:rPr>
        <w:t>regulating genome editing systems designed to deliver not only the endonuclease</w:t>
      </w:r>
      <w:r>
        <w:rPr>
          <w:rFonts w:ascii="MS PGothic" w:cs="MS PGothic" w:eastAsia="MS PGothic" w:hAnsi="MS PGothic"/>
          <w:sz w:val="16"/>
          <w:szCs w:val="16"/>
          <w:color w:val="auto"/>
        </w:rPr>
        <w:t>‑</w:t>
      </w:r>
      <w:r>
        <w:rPr>
          <w:rFonts w:ascii="Arial" w:cs="Arial" w:eastAsia="Arial" w:hAnsi="Arial"/>
          <w:sz w:val="16"/>
          <w:szCs w:val="16"/>
          <w:color w:val="auto"/>
        </w:rPr>
        <w:t>guide RNA complex, but also an “off switch” that reduces the presence of the endonuclease</w:t>
      </w:r>
      <w:r>
        <w:rPr>
          <w:rFonts w:ascii="MS PGothic" w:cs="MS PGothic" w:eastAsia="MS PGothic" w:hAnsi="MS PGothic"/>
          <w:sz w:val="16"/>
          <w:szCs w:val="16"/>
          <w:color w:val="auto"/>
        </w:rPr>
        <w:t>‑</w:t>
      </w:r>
      <w:r>
        <w:rPr>
          <w:rFonts w:ascii="Arial" w:cs="Arial" w:eastAsia="Arial" w:hAnsi="Arial"/>
          <w:sz w:val="16"/>
          <w:szCs w:val="16"/>
          <w:color w:val="auto"/>
        </w:rPr>
        <w:t>guide RNA complex over time. We have completed studies of these systems that demonstrate the ability to both maintain on</w:t>
      </w:r>
      <w:r>
        <w:rPr>
          <w:rFonts w:ascii="MS PGothic" w:cs="MS PGothic" w:eastAsia="MS PGothic" w:hAnsi="MS PGothic"/>
          <w:sz w:val="16"/>
          <w:szCs w:val="16"/>
          <w:color w:val="auto"/>
        </w:rPr>
        <w:t>‑</w:t>
      </w:r>
      <w:r>
        <w:rPr>
          <w:rFonts w:ascii="Arial" w:cs="Arial" w:eastAsia="Arial" w:hAnsi="Arial"/>
          <w:sz w:val="16"/>
          <w:szCs w:val="16"/>
          <w:color w:val="auto"/>
        </w:rPr>
        <w:t>target editing and also reduce levels of editing components once the on</w:t>
      </w:r>
      <w:r>
        <w:rPr>
          <w:rFonts w:ascii="MS PGothic" w:cs="MS PGothic" w:eastAsia="MS PGothic" w:hAnsi="MS PGothic"/>
          <w:sz w:val="16"/>
          <w:szCs w:val="16"/>
          <w:color w:val="auto"/>
        </w:rPr>
        <w:t>‑</w:t>
      </w:r>
      <w:r>
        <w:rPr>
          <w:rFonts w:ascii="Arial" w:cs="Arial" w:eastAsia="Arial" w:hAnsi="Arial"/>
          <w:sz w:val="16"/>
          <w:szCs w:val="16"/>
          <w:color w:val="auto"/>
        </w:rPr>
        <w:t>target edit is expected to have been completed.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Directed Editing</w:t>
      </w:r>
    </w:p>
    <w:p>
      <w:pPr>
        <w:spacing w:after="0" w:line="185"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There are different mechanisms that a cell can use to repair cuts in DNA. Each mechanism results in different kinds of genetic changes. We are developing approaches to selectively harness specific DNA repair mechanisms to be able to drive the appropriate type of repair for a given disease. The ability to direct the DNA repair mechanism and influence the utilization of a DNA repair template is critical to achieving the broadest potential for our platform. We believe that our ability to understand and direct the repair mechanisms used by cells creates opportunities to improve our existing programs and opens up new opportunities to develop medicines, including medicines that rely on specific template utilization events.</w:t>
      </w:r>
    </w:p>
    <w:p>
      <w:pPr>
        <w:spacing w:after="0" w:line="161"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 xml:space="preserve">We have achieved significant levels of DNA template directed genetic change in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edited primary human T cells and hematopoietic stem cells. Using long single stranded DNA template molecules, we have achieved greater than 40% directed editing. Using vial donor templates, we have achieved greater than 70% targeted insertion at specific genomic locations. We believe that these advancements will enable us to create medicines that may be superior to traditional gene therapy.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Genomic Medicine Programs</w:t>
      </w:r>
    </w:p>
    <w:p>
      <w:pPr>
        <w:spacing w:after="0" w:line="189" w:lineRule="exact"/>
        <w:rPr>
          <w:sz w:val="20"/>
          <w:szCs w:val="20"/>
          <w:color w:val="auto"/>
        </w:rPr>
      </w:pPr>
    </w:p>
    <w:p>
      <w:pPr>
        <w:ind w:right="380" w:firstLine="648"/>
        <w:spacing w:after="0" w:line="307" w:lineRule="auto"/>
        <w:rPr>
          <w:sz w:val="20"/>
          <w:szCs w:val="20"/>
          <w:color w:val="auto"/>
        </w:rPr>
      </w:pPr>
      <w:r>
        <w:rPr>
          <w:rFonts w:ascii="Arial" w:cs="Arial" w:eastAsia="Arial" w:hAnsi="Arial"/>
          <w:sz w:val="16"/>
          <w:szCs w:val="16"/>
          <w:color w:val="auto"/>
        </w:rPr>
        <w:t>We have initiated a diversified range of research programs across multiple therapeutic areas. Our initial product development strategy is to primarily target genetically defined diseases with a focus on debilitating illnesses where there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are poor or no approved treatments and where the genetic basis of disease is well understood. While our discovery efforts have ranged across several different diseases and therapeutic areas, the two areas where programs are more mature are ocular diseases and engineered cell medicines. We believe the therapeutic programs and delivery technologies we have chosen to date will demonstrate the depth and breadth of our ability to deploy our genome editing platform to treat patients in need with either genetically defined or genetically treatable diseases. A summary of our experimental medicines under development is presented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130810</wp:posOffset>
            </wp:positionV>
            <wp:extent cx="5582920" cy="3464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2920"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Eye Diseases</w:t>
      </w:r>
    </w:p>
    <w:p>
      <w:pPr>
        <w:spacing w:after="0" w:line="18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6"/>
          <w:szCs w:val="16"/>
          <w:color w:val="auto"/>
        </w:rPr>
        <w:t>We have granted Allergan an exclusive option to exclusively license from us up to five collaboration development programs for the treatment of ocular disorders, including our LCA10 program, subject to our right to elect to participate in a profit-sharing arrangement with Allergan in the United States with respect to our LCA10 program and up to one other collaboration development program. See “</w:t>
      </w:r>
      <w:r>
        <w:rPr>
          <w:rFonts w:ascii="Arial" w:cs="Arial" w:eastAsia="Arial" w:hAnsi="Arial"/>
          <w:sz w:val="16"/>
          <w:szCs w:val="16"/>
          <w:i w:val="1"/>
          <w:iCs w:val="1"/>
          <w:color w:val="auto"/>
        </w:rPr>
        <w:t>Our Collaboration and Licensing Strategy</w:t>
      </w:r>
      <w:r>
        <w:rPr>
          <w:rFonts w:ascii="Arial" w:cs="Arial" w:eastAsia="Arial" w:hAnsi="Arial"/>
          <w:sz w:val="16"/>
          <w:szCs w:val="16"/>
          <w:color w:val="auto"/>
        </w:rPr>
        <w:t>" below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Leber Congenital Amaurosis 10</w:t>
      </w:r>
    </w:p>
    <w:p>
      <w:pPr>
        <w:spacing w:after="0" w:line="185" w:lineRule="exact"/>
        <w:rPr>
          <w:sz w:val="20"/>
          <w:szCs w:val="20"/>
          <w:color w:val="auto"/>
        </w:rPr>
      </w:pPr>
    </w:p>
    <w:p>
      <w:pPr>
        <w:ind w:right="40" w:firstLine="648"/>
        <w:spacing w:after="0" w:line="237" w:lineRule="auto"/>
        <w:rPr>
          <w:sz w:val="20"/>
          <w:szCs w:val="20"/>
          <w:color w:val="auto"/>
        </w:rPr>
      </w:pPr>
      <w:r>
        <w:rPr>
          <w:rFonts w:ascii="Arial" w:cs="Arial" w:eastAsia="Arial" w:hAnsi="Arial"/>
          <w:sz w:val="17"/>
          <w:szCs w:val="17"/>
          <w:color w:val="auto"/>
        </w:rPr>
        <w:t>Leber Congenital Amaurosis (“LCA”) is a heterogeneous group of inherited retinal dystrophies caused by mutations in at least 18 different genes and is the most common cause of inherited childhood blindness, with an incidence of two to three per 100,000 live births worldwide. Symptoms of LCA appear within the first year of life with significant vision loss, rapid involuntary movements of the eyes, painful eye response to bright light, and absence of measurable electroretinogram recordings due to a lack of functional photoreceptor cells. The most common form of the disease is LCA10, a monogenic disorder that represents approximately 20-30% of all LCA subtypes. LCA10 is caused by autosomal recessive mutations in the CEP290 gene, which encodes a protein required for the survival and proper function of photoreceptor cells. The most frequently found mutation within the CEP290 gene, occurring in approximately 85% of north and west European patients with LCA10, is an A to G nucleotide change that disrupts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normal splicing, or processing, of the gene message, ultimately resulting in a deficiency of functional CEP290 protein.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Decreased CEP290 protein leads to loss of photoreceptor function and cells over time, which leads to blindness.</w:t>
      </w:r>
    </w:p>
    <w:p>
      <w:pPr>
        <w:spacing w:after="0" w:line="182"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We are developing a genome editing therapeutic for LCA10 that uses an AAV5 vector to deliver the DNA encoding Cas9 and two guide RNAs to photoreceptor cells in the eye. Our product candidate is called EDIT-101 and it is designed to eliminate the A to G nucleotide change in a non-coding region, or intron, of the CEP290 gene by cutting out that nucleotide and surrounding DNA. We believe this genome editing approach has the potential to restore normal protein expression and function of the remaining photoreceptor cells, which could arrest or improve the further loss of vision in LCA patients.</w:t>
      </w:r>
    </w:p>
    <w:p>
      <w:pPr>
        <w:spacing w:after="0" w:line="15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 xml:space="preserve">We have tested combinations of Cas9 and guide RNA pairs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in cells that were obtained from patients with the CEP290 mutation to determine whether they could successfully edit the mutation and lead to correctly spliced messenger RNA (“mRNA”) and correctly produced CEP290 protein. We isolated and analyzed DNA from these edited cells and observed removal of the mutation-containing region in the DNA. These studies also demonstrated that the edit restored significant levels of normal mRNA and lowered the levels of mutant mRNA, as compared to controls of untreated patient cells. This restoration of normal mRNA expression suggests that we successfully edited the LCA10 gene defect in these cells.</w:t>
      </w:r>
    </w:p>
    <w:p>
      <w:pPr>
        <w:spacing w:after="0" w:line="161" w:lineRule="exact"/>
        <w:rPr>
          <w:sz w:val="20"/>
          <w:szCs w:val="20"/>
          <w:color w:val="auto"/>
        </w:rPr>
      </w:pPr>
    </w:p>
    <w:p>
      <w:pPr>
        <w:ind w:right="220" w:firstLine="648"/>
        <w:spacing w:after="0" w:line="232" w:lineRule="auto"/>
        <w:rPr>
          <w:sz w:val="20"/>
          <w:szCs w:val="20"/>
          <w:color w:val="auto"/>
        </w:rPr>
      </w:pPr>
      <w:r>
        <w:rPr>
          <w:rFonts w:ascii="Arial" w:cs="Arial" w:eastAsia="Arial" w:hAnsi="Arial"/>
          <w:sz w:val="17"/>
          <w:szCs w:val="17"/>
          <w:color w:val="auto"/>
        </w:rPr>
        <w:t>In these studies, we also observed two-fold and greater increases in full-length CEP290 protein expression compared to untreated patient cell controls. We believe this demonstrates that successful editing of the genetic defect that causes LCA10 also leads to increased expression of the normal CEP290 protein. It is our view that increased expression of normal CEP290 protein could improve or arrest the further loss of vision in LCA10 patients.</w:t>
      </w:r>
    </w:p>
    <w:p>
      <w:pPr>
        <w:spacing w:after="0" w:line="163" w:lineRule="exact"/>
        <w:rPr>
          <w:sz w:val="20"/>
          <w:szCs w:val="20"/>
          <w:color w:val="auto"/>
        </w:rPr>
      </w:pPr>
    </w:p>
    <w:p>
      <w:pPr>
        <w:jc w:val="both"/>
        <w:ind w:right="140" w:firstLine="648"/>
        <w:spacing w:after="0" w:line="238" w:lineRule="auto"/>
        <w:rPr>
          <w:sz w:val="20"/>
          <w:szCs w:val="20"/>
          <w:color w:val="auto"/>
        </w:rPr>
      </w:pPr>
      <w:r>
        <w:rPr>
          <w:rFonts w:ascii="Arial" w:cs="Arial" w:eastAsia="Arial" w:hAnsi="Arial"/>
          <w:sz w:val="17"/>
          <w:szCs w:val="17"/>
          <w:color w:val="auto"/>
        </w:rPr>
        <w:t>Certain clinical research studies estimated that retention of 10% of photoreceptors can impart meaningful vision in humans. Based on these studies, we have prespecified a therapeutic target of 10% productive editing of photoreceptors with the assumption that each productively edited photoreceptor will be fully functional.</w:t>
      </w:r>
    </w:p>
    <w:p>
      <w:pPr>
        <w:spacing w:after="0" w:line="161"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 xml:space="preserve">To investigate genome editing </w:t>
      </w:r>
      <w:r>
        <w:rPr>
          <w:rFonts w:ascii="Arial" w:cs="Arial" w:eastAsia="Arial" w:hAnsi="Arial"/>
          <w:sz w:val="17"/>
          <w:szCs w:val="17"/>
          <w:i w:val="1"/>
          <w:iCs w:val="1"/>
          <w:color w:val="auto"/>
        </w:rPr>
        <w:t>in vivo</w:t>
      </w:r>
      <w:r>
        <w:rPr>
          <w:rFonts w:ascii="Arial" w:cs="Arial" w:eastAsia="Arial" w:hAnsi="Arial"/>
          <w:sz w:val="17"/>
          <w:szCs w:val="17"/>
          <w:color w:val="auto"/>
        </w:rPr>
        <w:t>, we conducted studies in nonhuman primates using subretinal injection of an AAV5 expressing Cas9 and nonhuman primate specific guide RNAs. After either six or 13 weeks, animals were euthanized and retinal tissue from the injected region was removed for analysis. These studies showed that AAV genomes and Cas9 expression were limited to photoreceptors. In addition, we estimate that 12-22% and 50% of CEP-290 alleles were productively edited at six weeks and at 13 weeks, respectively. In these studies, productive editing is defined as the proportion of photoreceptor cells edited in a manner that we believe will restore CEP290 protein function. All of these values exceed our prespecified therapeutic target of 10% productive editing.</w:t>
      </w:r>
    </w:p>
    <w:p>
      <w:pPr>
        <w:spacing w:after="0" w:line="162"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In addition, we developed a retinal explant system to explore the potential effectiveness EDIT-101 in human tissue. In these studies, retinas from human cadavers were dissected, placed in culture, and exposed to EDIT-101 at a low and a high dose. After 14 days or 28 days in culture, genome editing was analyzed to determine the rate of productive editing in photoreceptors. These studies showed time-dependent and dose-dependent editing that exceeded our therapeutic target at all times and doses tested, including over 50% editing after 28 days at the high dose.</w:t>
      </w:r>
    </w:p>
    <w:p>
      <w:pPr>
        <w:spacing w:after="0" w:line="161"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color w:val="auto"/>
        </w:rPr>
        <w:t>To characterize editing specificity, we have applied a combination of methods to quantify the frequency of modification at the targeted DNA location and to assess the potential for modification at off-target locations in the genome. For each guide RNA included in the studies above, we measured the potential for off-target activity using multiple analytical techniques, including GUIDE-Seq, Digenome-Seq, our proprietary UDiTaS system, and bi-directional polymerase chain reaction and deep sequencing. With these techniques we have assessed the specificity of each guide RNA in certain cell culture systems and tissue types and we were able to clearly identify several guide RNAs that showed no detectable off-target activity. We believe our detailed characterization of editing specificity allows us to select guide RNA and endonuclease combinations with the highest likelihood of providing clinical benefit in patients while working to minimize potential safety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Eye Diseases</w:t>
      </w:r>
    </w:p>
    <w:p>
      <w:pPr>
        <w:spacing w:after="0" w:line="185" w:lineRule="exact"/>
        <w:rPr>
          <w:sz w:val="20"/>
          <w:szCs w:val="20"/>
          <w:color w:val="auto"/>
        </w:rPr>
      </w:pPr>
    </w:p>
    <w:p>
      <w:pPr>
        <w:ind w:right="100" w:firstLine="648"/>
        <w:spacing w:after="0" w:line="203" w:lineRule="exact"/>
        <w:rPr>
          <w:sz w:val="20"/>
          <w:szCs w:val="20"/>
          <w:color w:val="auto"/>
        </w:rPr>
      </w:pPr>
      <w:r>
        <w:rPr>
          <w:rFonts w:ascii="Arial" w:cs="Arial" w:eastAsia="Arial" w:hAnsi="Arial"/>
          <w:sz w:val="17"/>
          <w:szCs w:val="17"/>
          <w:color w:val="auto"/>
        </w:rPr>
        <w:t>We are also pursuing the development of therapies for eye diseases other than LCA10, including HSV</w:t>
      </w:r>
      <w:r>
        <w:rPr>
          <w:rFonts w:ascii="MS PGothic" w:cs="MS PGothic" w:eastAsia="MS PGothic" w:hAnsi="MS PGothic"/>
          <w:sz w:val="17"/>
          <w:szCs w:val="17"/>
          <w:color w:val="auto"/>
        </w:rPr>
        <w:t>‑</w:t>
      </w:r>
      <w:r>
        <w:rPr>
          <w:rFonts w:ascii="Arial" w:cs="Arial" w:eastAsia="Arial" w:hAnsi="Arial"/>
          <w:sz w:val="17"/>
          <w:szCs w:val="17"/>
          <w:color w:val="auto"/>
        </w:rPr>
        <w:t>1, infections and USH2A. We believe that our experience with the LCA10 program will support the development of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therapies for these other eye diseases. For example, the successful construction, packaging, and testing of the components of the AAV vector we are pursuing for LCA10 will continue to inform our approach to treating the most common cause of USH2A.</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Herpes Simplex Virus 1</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HSV</w:t>
      </w:r>
      <w:r>
        <w:rPr>
          <w:rFonts w:ascii="MS PGothic" w:cs="MS PGothic" w:eastAsia="MS PGothic" w:hAnsi="MS PGothic"/>
          <w:sz w:val="16"/>
          <w:szCs w:val="16"/>
          <w:color w:val="auto"/>
        </w:rPr>
        <w:t>‑</w:t>
      </w:r>
      <w:r>
        <w:rPr>
          <w:rFonts w:ascii="Arial" w:cs="Arial" w:eastAsia="Arial" w:hAnsi="Arial"/>
          <w:sz w:val="16"/>
          <w:szCs w:val="16"/>
          <w:color w:val="auto"/>
        </w:rPr>
        <w:t>1 causes lifelong infections mainly leading to ocular and oral disease. Infected individuals develop persistent latent infections, mainly in the nerves in the affected part of the body. During latency, the HSV</w:t>
      </w:r>
      <w:r>
        <w:rPr>
          <w:rFonts w:ascii="MS PGothic" w:cs="MS PGothic" w:eastAsia="MS PGothic" w:hAnsi="MS PGothic"/>
          <w:sz w:val="16"/>
          <w:szCs w:val="16"/>
          <w:color w:val="auto"/>
        </w:rPr>
        <w:t>‑</w:t>
      </w:r>
      <w:r>
        <w:rPr>
          <w:rFonts w:ascii="Arial" w:cs="Arial" w:eastAsia="Arial" w:hAnsi="Arial"/>
          <w:sz w:val="16"/>
          <w:szCs w:val="16"/>
          <w:color w:val="auto"/>
        </w:rPr>
        <w:t>1 DNA does not integrate into the infected individual’s genome, but rather it remains within the individual’s cells as independent viral genomic material. The latent HSV</w:t>
      </w:r>
      <w:r>
        <w:rPr>
          <w:rFonts w:ascii="MS PGothic" w:cs="MS PGothic" w:eastAsia="MS PGothic" w:hAnsi="MS PGothic"/>
          <w:sz w:val="16"/>
          <w:szCs w:val="16"/>
          <w:color w:val="auto"/>
        </w:rPr>
        <w:t>‑</w:t>
      </w:r>
      <w:r>
        <w:rPr>
          <w:rFonts w:ascii="Arial" w:cs="Arial" w:eastAsia="Arial" w:hAnsi="Arial"/>
          <w:sz w:val="16"/>
          <w:szCs w:val="16"/>
          <w:color w:val="auto"/>
        </w:rPr>
        <w:t>1 virus can then be reactivated by illness, emotional or physical stress, and other conditions. Ocular infection with HSV</w:t>
      </w:r>
      <w:r>
        <w:rPr>
          <w:rFonts w:ascii="MS PGothic" w:cs="MS PGothic" w:eastAsia="MS PGothic" w:hAnsi="MS PGothic"/>
          <w:sz w:val="16"/>
          <w:szCs w:val="16"/>
          <w:color w:val="auto"/>
        </w:rPr>
        <w:t>‑</w:t>
      </w:r>
      <w:r>
        <w:rPr>
          <w:rFonts w:ascii="Arial" w:cs="Arial" w:eastAsia="Arial" w:hAnsi="Arial"/>
          <w:sz w:val="16"/>
          <w:szCs w:val="16"/>
          <w:color w:val="auto"/>
        </w:rPr>
        <w:t>1 is a major health problem, especially in developed countries. It is the most common infectious cause of blindness in developed economies with over 25,000 recurrent cases each year. Recurrent activation of HSV-1 virus causes corneal damage and scarring, which impairs the ability to see. Existing therapies have only partial benefit in preventing the initial HSV</w:t>
      </w:r>
      <w:r>
        <w:rPr>
          <w:rFonts w:ascii="MS PGothic" w:cs="MS PGothic" w:eastAsia="MS PGothic" w:hAnsi="MS PGothic"/>
          <w:sz w:val="16"/>
          <w:szCs w:val="16"/>
          <w:color w:val="auto"/>
        </w:rPr>
        <w:t>‑</w:t>
      </w:r>
      <w:r>
        <w:rPr>
          <w:rFonts w:ascii="Arial" w:cs="Arial" w:eastAsia="Arial" w:hAnsi="Arial"/>
          <w:sz w:val="16"/>
          <w:szCs w:val="16"/>
          <w:color w:val="auto"/>
        </w:rPr>
        <w:t>1 infection or recurrences. As a result, there is a need for an effective therapy that prevents or reduces reactivation of latent HSV</w:t>
      </w:r>
      <w:r>
        <w:rPr>
          <w:rFonts w:ascii="MS PGothic" w:cs="MS PGothic" w:eastAsia="MS PGothic" w:hAnsi="MS PGothic"/>
          <w:sz w:val="16"/>
          <w:szCs w:val="16"/>
          <w:color w:val="auto"/>
        </w:rPr>
        <w:t>‑</w:t>
      </w:r>
      <w:r>
        <w:rPr>
          <w:rFonts w:ascii="Arial" w:cs="Arial" w:eastAsia="Arial" w:hAnsi="Arial"/>
          <w:sz w:val="16"/>
          <w:szCs w:val="16"/>
          <w:color w:val="auto"/>
        </w:rPr>
        <w:t>1. Our ongoing research program aims to deliver the CRISPR molecular machinery to the eye and specifically cleave and inactivate latent HSV</w:t>
      </w:r>
      <w:r>
        <w:rPr>
          <w:rFonts w:ascii="MS PGothic" w:cs="MS PGothic" w:eastAsia="MS PGothic" w:hAnsi="MS PGothic"/>
          <w:sz w:val="16"/>
          <w:szCs w:val="16"/>
          <w:color w:val="auto"/>
        </w:rPr>
        <w:t>‑</w:t>
      </w:r>
      <w:r>
        <w:rPr>
          <w:rFonts w:ascii="Arial" w:cs="Arial" w:eastAsia="Arial" w:hAnsi="Arial"/>
          <w:sz w:val="16"/>
          <w:szCs w:val="16"/>
          <w:color w:val="auto"/>
        </w:rPr>
        <w:t>1 DNA with the goal of eliminating or reducing reactivation.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Usher Syndrome 2A</w:t>
      </w:r>
    </w:p>
    <w:p>
      <w:pPr>
        <w:spacing w:after="0" w:line="185"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USH2A gene mutations are the most common cause of Usher syndrome, a form of retinitis pigmentosa that also includes hearing loss. Loss of the usherin protein encoded by the USH2A gene leads to a degeneration of the retina and progressive vision loss. More than 200 mutations have been identified for this gene. Our initial goal in this research program is to address mutations within exon 13, which is the location of the highest percentage of USH2A gene mutations. We believe there are approximately 14,000 USH2A patients including up to approximately 4,000 Usher syndrome patients with the mutation we aim to correct.</w:t>
      </w:r>
    </w:p>
    <w:p>
      <w:pPr>
        <w:spacing w:after="0" w:line="189" w:lineRule="exact"/>
        <w:rPr>
          <w:sz w:val="20"/>
          <w:szCs w:val="20"/>
          <w:color w:val="auto"/>
        </w:rPr>
      </w:pPr>
    </w:p>
    <w:p>
      <w:pPr>
        <w:ind w:right="260" w:firstLine="648"/>
        <w:spacing w:after="0" w:line="216" w:lineRule="auto"/>
        <w:rPr>
          <w:sz w:val="20"/>
          <w:szCs w:val="20"/>
          <w:color w:val="auto"/>
        </w:rPr>
      </w:pPr>
      <w:r>
        <w:rPr>
          <w:rFonts w:ascii="Arial" w:cs="Arial" w:eastAsia="Arial" w:hAnsi="Arial"/>
          <w:sz w:val="18"/>
          <w:szCs w:val="18"/>
          <w:color w:val="auto"/>
        </w:rPr>
        <w:t>We have granted Allergan an exclusive option to exclusively license from us up to five collaboration development programs for the treatment of ocular disorders, including our LCA10 program, subject to our right to elect to participate in a profit-sharing arrangement with Allergan in the United States with respect to our LCA10 program and up to one other collaboration development program. See “</w:t>
      </w:r>
      <w:r>
        <w:rPr>
          <w:rFonts w:ascii="Arial" w:cs="Arial" w:eastAsia="Arial" w:hAnsi="Arial"/>
          <w:sz w:val="18"/>
          <w:szCs w:val="18"/>
          <w:i w:val="1"/>
          <w:iCs w:val="1"/>
          <w:color w:val="auto"/>
        </w:rPr>
        <w:t>Our Collaboration and Licensing Strategy</w:t>
      </w:r>
      <w:r>
        <w:rPr>
          <w:rFonts w:ascii="Arial" w:cs="Arial" w:eastAsia="Arial" w:hAnsi="Arial"/>
          <w:sz w:val="18"/>
          <w:szCs w:val="18"/>
          <w:color w:val="auto"/>
        </w:rPr>
        <w:t>" below for more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Engineered Cell Medicines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Collaboration with Juno Therapeutics on Engineered T Cells to Treat Cancer</w:t>
      </w:r>
    </w:p>
    <w:p>
      <w:pPr>
        <w:spacing w:after="0" w:line="185" w:lineRule="exact"/>
        <w:rPr>
          <w:sz w:val="20"/>
          <w:szCs w:val="20"/>
          <w:color w:val="auto"/>
        </w:rPr>
      </w:pPr>
    </w:p>
    <w:p>
      <w:pPr>
        <w:ind w:right="160" w:firstLine="648"/>
        <w:spacing w:after="0" w:line="212" w:lineRule="auto"/>
        <w:rPr>
          <w:sz w:val="20"/>
          <w:szCs w:val="20"/>
          <w:color w:val="auto"/>
        </w:rPr>
      </w:pPr>
      <w:r>
        <w:rPr>
          <w:rFonts w:ascii="Arial" w:cs="Arial" w:eastAsia="Arial" w:hAnsi="Arial"/>
          <w:sz w:val="18"/>
          <w:szCs w:val="18"/>
          <w:color w:val="auto"/>
        </w:rPr>
        <w:t>Engineered T cells have shown encouraging clinical activity against multiple cancers, culminating in the recent approval of two such therapies in the United States. Because of these promising results, there is significant interest in the medical community in expanding the application of this technology across a broader range of cancers and patients. We believe that our genome editing technology has the potential to improve multiple properties of these T cell therapies. If we are successful, genome-edited engineered T cells have the potential to significantly expand the types of cancers treatable by chimeric antigen receptor (“CAR”)/engineered T cell receptor (“Engineered TCR”) T cells and to improve the outcomes of these therapies.</w:t>
      </w:r>
    </w:p>
    <w:p>
      <w:pPr>
        <w:spacing w:after="0" w:line="165" w:lineRule="exact"/>
        <w:rPr>
          <w:sz w:val="20"/>
          <w:szCs w:val="20"/>
          <w:color w:val="auto"/>
        </w:rPr>
      </w:pPr>
    </w:p>
    <w:p>
      <w:pPr>
        <w:ind w:right="200" w:firstLine="780"/>
        <w:spacing w:after="0" w:line="226" w:lineRule="auto"/>
        <w:rPr>
          <w:sz w:val="20"/>
          <w:szCs w:val="20"/>
          <w:color w:val="auto"/>
        </w:rPr>
      </w:pPr>
      <w:r>
        <w:rPr>
          <w:rFonts w:ascii="Arial" w:cs="Arial" w:eastAsia="Arial" w:hAnsi="Arial"/>
          <w:sz w:val="17"/>
          <w:szCs w:val="17"/>
          <w:color w:val="auto"/>
        </w:rPr>
        <w:t>Through our collaboration with Juno Therapeutics, a leader in the emerging field of immuno-oncology, we have applied our genome editing technology to multiple gene targets in order to improve the efficacy and safety of CAR/ Engineered TCR T cells directed against a range of tumor types. In addition, we are currently optimizing genome editing components and delivery methods compatible with engineered T cell manufacturing methods developed by Juno Therapeutics. We have achieved success in a number of areas within our collaboration with Juno Therapeutics and have received two milestone payments to date, totaling $5.0 million.</w:t>
      </w:r>
    </w:p>
    <w:p>
      <w:pPr>
        <w:spacing w:after="0" w:line="165"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One important challenge in the field of T cell therapies for cancer has been to use Engineered TCRs to direct the elimination of cancers based on the presence of intracellular cancer antigens. Engineered TCRs differ from CARs in that they recognize small peptides that are generally derived from proteins that reside inside the cell. These intracellular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 xml:space="preserve">proteins are important potential targets for cancer immunotherapy. With Juno Therapeutics, we have demonstrated in preclinical studies that disruption of the natural T cell receptor combined with the introduction of an Engineered TCR resulted in significantly improved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 cell function. Furthermore, the elimination of the natural T cell receptor (“TCR”) has the potential to make a safer medicine as the Engineered TCR will not be able to interact with the natural TCR to create new, and potentially unwanted, functionality. We believe this innovation may broaden the therapeutic opportunity for engineered T cells.</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malignant Hematologic Diseases</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We are developing approaches for genome editing in HSCs to support the advancement of research programs to treat non-malignant hematological diseases. For example, we are actively pursuing multiple gene editing approaches to treating hemoglobinopathies and assessing other opportunities to develop medicines for diseases where we believe gene editing of HSCs is likely to produce a therapeutic effect.</w:t>
      </w:r>
    </w:p>
    <w:p>
      <w:pPr>
        <w:spacing w:after="0" w:line="163"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We have taken two distinct genome editing approaches at the hemoglobin locus with the aim of developing best-in-class medicines for sickle cell disease and beta thalassemia. Our first approach is focused on editing a novel site within the hemoglobin locus that we believe has the potential to create superior expression of fetal hemoglobin. Based on the observation that patients with elevated fetal hemoglobin levels have better clinical outcomes, we believe this approach could significantly benefit people with sickle cell disease. Our second genome editing approach uses CRISPR editing and targeted insertion to restore natural hemoglobin expression and eliminate the sickle cell mutation. Using this approach, we have shown in studies that we can achieve greater than 30% targeted insertion at the beta globin gene locus, the gene locus that contains the sickle cell mutation, in CD34+ human stem cells, and we believe that this may restore hemoglobin expression and eliminate the sickle cell mutation.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Discovery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Duchenne Muscular Dystrophy</w:t>
      </w:r>
    </w:p>
    <w:p>
      <w:pPr>
        <w:spacing w:after="0" w:line="185" w:lineRule="exact"/>
        <w:rPr>
          <w:sz w:val="20"/>
          <w:szCs w:val="20"/>
          <w:color w:val="auto"/>
        </w:rPr>
      </w:pPr>
    </w:p>
    <w:p>
      <w:pPr>
        <w:ind w:right="40" w:firstLine="648"/>
        <w:spacing w:after="0" w:line="210" w:lineRule="auto"/>
        <w:rPr>
          <w:sz w:val="20"/>
          <w:szCs w:val="20"/>
          <w:color w:val="auto"/>
        </w:rPr>
      </w:pPr>
      <w:r>
        <w:rPr>
          <w:rFonts w:ascii="Arial" w:cs="Arial" w:eastAsia="Arial" w:hAnsi="Arial"/>
          <w:sz w:val="18"/>
          <w:szCs w:val="18"/>
          <w:color w:val="auto"/>
        </w:rPr>
        <w:t>Duchenne muscular dystrophy (“DMD”) is a genetic disorder primarily affecting boys and is characterized by progressive muscle weakness and atrophy that presents in early childhood and rapidly results in loss of ambulation and respiratory muscle function. Additionally, DMD often causes cardiomyopathy in adolescence. Death occurs typically in early adulthood. The incidence of DMD is approximately one in every 3,500 male births with a prevalence of approximately 15,000 cases in the United States. The United States Food and Drug Administration (the “FDA”) has approved only two therapies for the treatment of DMD. The disease is caused by mutations in the gene that encodes dystrophin, a structural protein that is important for normal muscle health. Loss of dystrophin function leads to muscle degeneration. We believe that restoring dystrophin activity before the onset of severe loss of muscle function could significantly and favorably alter disease progression.</w:t>
      </w:r>
    </w:p>
    <w:p>
      <w:pPr>
        <w:spacing w:after="0" w:line="166"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The dystrophin gene is one of the largest in the human genome spanning 2.2 million base pairs. Pathogenic mutations can occur throughout the gene. Many disease</w:t>
      </w:r>
      <w:r>
        <w:rPr>
          <w:rFonts w:ascii="MS PGothic" w:cs="MS PGothic" w:eastAsia="MS PGothic" w:hAnsi="MS PGothic"/>
          <w:sz w:val="17"/>
          <w:szCs w:val="17"/>
          <w:color w:val="auto"/>
        </w:rPr>
        <w:t>‑</w:t>
      </w:r>
      <w:r>
        <w:rPr>
          <w:rFonts w:ascii="Arial" w:cs="Arial" w:eastAsia="Arial" w:hAnsi="Arial"/>
          <w:sz w:val="17"/>
          <w:szCs w:val="17"/>
          <w:color w:val="auto"/>
        </w:rPr>
        <w:t>causing mutations in the dystrophin gene consist of deletions that lead to non</w:t>
      </w:r>
      <w:r>
        <w:rPr>
          <w:rFonts w:ascii="MS PGothic" w:cs="MS PGothic" w:eastAsia="MS PGothic" w:hAnsi="MS PGothic"/>
          <w:sz w:val="17"/>
          <w:szCs w:val="17"/>
          <w:color w:val="auto"/>
        </w:rPr>
        <w:t>‑</w:t>
      </w:r>
      <w:r>
        <w:rPr>
          <w:rFonts w:ascii="Arial" w:cs="Arial" w:eastAsia="Arial" w:hAnsi="Arial"/>
          <w:sz w:val="17"/>
          <w:szCs w:val="17"/>
          <w:color w:val="auto"/>
        </w:rPr>
        <w:t>functional protein. Interestingly, large deletions in the middle of the dystrophin protein have been identified that cause only mild to moderate disease. For example, deletions of selected exons have been shown to cause the much less severe Becker muscular dystrophy. Our genome editing approach is to introduce targeted deletions of mutation</w:t>
      </w:r>
      <w:r>
        <w:rPr>
          <w:rFonts w:ascii="MS PGothic" w:cs="MS PGothic" w:eastAsia="MS PGothic" w:hAnsi="MS PGothic"/>
          <w:sz w:val="17"/>
          <w:szCs w:val="17"/>
          <w:color w:val="auto"/>
        </w:rPr>
        <w:t>‑</w:t>
      </w:r>
      <w:r>
        <w:rPr>
          <w:rFonts w:ascii="Arial" w:cs="Arial" w:eastAsia="Arial" w:hAnsi="Arial"/>
          <w:sz w:val="17"/>
          <w:szCs w:val="17"/>
          <w:color w:val="auto"/>
        </w:rPr>
        <w:t>containing segments of the gene in order to create smaller, yet functional versions of the dystrophin gene. Based on the known spectrum of DMD</w:t>
      </w:r>
      <w:r>
        <w:rPr>
          <w:rFonts w:ascii="MS PGothic" w:cs="MS PGothic" w:eastAsia="MS PGothic" w:hAnsi="MS PGothic"/>
          <w:sz w:val="17"/>
          <w:szCs w:val="17"/>
          <w:color w:val="auto"/>
        </w:rPr>
        <w:t>‑</w:t>
      </w:r>
      <w:r>
        <w:rPr>
          <w:rFonts w:ascii="Arial" w:cs="Arial" w:eastAsia="Arial" w:hAnsi="Arial"/>
          <w:sz w:val="17"/>
          <w:szCs w:val="17"/>
          <w:color w:val="auto"/>
        </w:rPr>
        <w:t>causing mutations, an NHEJ</w:t>
      </w:r>
      <w:r>
        <w:rPr>
          <w:rFonts w:ascii="MS PGothic" w:cs="MS PGothic" w:eastAsia="MS PGothic" w:hAnsi="MS PGothic"/>
          <w:sz w:val="17"/>
          <w:szCs w:val="17"/>
          <w:color w:val="auto"/>
        </w:rPr>
        <w:t>‑</w:t>
      </w:r>
      <w:r>
        <w:rPr>
          <w:rFonts w:ascii="Arial" w:cs="Arial" w:eastAsia="Arial" w:hAnsi="Arial"/>
          <w:sz w:val="17"/>
          <w:szCs w:val="17"/>
          <w:color w:val="auto"/>
        </w:rPr>
        <w:t>mediated small deletion of exon 51 would be expected to address approximately 13% of patients whereas an NHEJ</w:t>
      </w:r>
      <w:r>
        <w:rPr>
          <w:rFonts w:ascii="MS PGothic" w:cs="MS PGothic" w:eastAsia="MS PGothic" w:hAnsi="MS PGothic"/>
          <w:sz w:val="17"/>
          <w:szCs w:val="17"/>
          <w:color w:val="auto"/>
        </w:rPr>
        <w:t>‑</w:t>
      </w:r>
      <w:r>
        <w:rPr>
          <w:rFonts w:ascii="Arial" w:cs="Arial" w:eastAsia="Arial" w:hAnsi="Arial"/>
          <w:sz w:val="17"/>
          <w:szCs w:val="17"/>
          <w:color w:val="auto"/>
        </w:rPr>
        <w:t>mediated large deletion encompassing exons 45 through 55 would expand coverage to up to 60% of patients.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Cystic Fibrosis</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Cystic fibrosis (“CF”) is the most common lethal autosomal recessive disease in the Caucasian population. The overall birth prevalence of CF in the United States is approximately one in 3,700. The gene that causes CF encodes the cystic fibrosis transmembrane conductance regulator (“CFTR”), which helps maintain the water balance within the lung. Mutations in the CFTR gene lead to an imbalance of ion and water movement, leading to accumulation of mucus, chronic bacterial infection and inflammation of the airway epithelium. Correcting the CF mutations in lung epithelial</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80"/>
        <w:spacing w:after="0" w:line="239" w:lineRule="auto"/>
        <w:rPr>
          <w:sz w:val="20"/>
          <w:szCs w:val="20"/>
          <w:color w:val="auto"/>
        </w:rPr>
      </w:pPr>
      <w:r>
        <w:rPr>
          <w:rFonts w:ascii="Arial" w:cs="Arial" w:eastAsia="Arial" w:hAnsi="Arial"/>
          <w:sz w:val="16"/>
          <w:szCs w:val="16"/>
          <w:color w:val="auto"/>
        </w:rPr>
        <w:t>cells will require efficient editing of these cells and development of advanced pulmonary delivery modalities. We aim to establish multiple collaborations with academics, foundations, and other companies developing novel lung delivery approaches to achieve these goals. To that end, in May 2016 we entered into an award agreement with Cystic Fibrosis Foundation Therapeutics, Inc. (“CFFT”) pursuant to which CFFT has agreed to pay us up to $5.0 million over the agreement’s three year term to support our CF development program and related technology research and development. Under the terms of the agreement, we are required to contribute additional funds to the program in an amount equal to the funds contributed by CFFT and to pay certain amounts to CFFT upon the achievement of specified events.</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u w:val="single" w:color="auto"/>
          <w:color w:val="auto"/>
        </w:rPr>
        <w:t>Alpha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 Antitrypsin Deficiency</w:t>
      </w:r>
    </w:p>
    <w:p>
      <w:pPr>
        <w:spacing w:after="0" w:line="185"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7"/>
          <w:szCs w:val="17"/>
          <w:color w:val="auto"/>
        </w:rPr>
        <w:t>Alpha</w:t>
      </w:r>
      <w:r>
        <w:rPr>
          <w:rFonts w:ascii="MS PGothic" w:cs="MS PGothic" w:eastAsia="MS PGothic" w:hAnsi="MS PGothic"/>
          <w:sz w:val="17"/>
          <w:szCs w:val="17"/>
          <w:color w:val="auto"/>
        </w:rPr>
        <w:t>‑</w:t>
      </w:r>
      <w:r>
        <w:rPr>
          <w:rFonts w:ascii="Arial" w:cs="Arial" w:eastAsia="Arial" w:hAnsi="Arial"/>
          <w:sz w:val="17"/>
          <w:szCs w:val="17"/>
          <w:color w:val="auto"/>
        </w:rPr>
        <w:t>1 antitrypsin deficiency is a genetic disease caused by production of an abnormal alpha</w:t>
      </w:r>
      <w:r>
        <w:rPr>
          <w:rFonts w:ascii="MS PGothic" w:cs="MS PGothic" w:eastAsia="MS PGothic" w:hAnsi="MS PGothic"/>
          <w:sz w:val="17"/>
          <w:szCs w:val="17"/>
          <w:color w:val="auto"/>
        </w:rPr>
        <w:t>‑</w:t>
      </w:r>
      <w:r>
        <w:rPr>
          <w:rFonts w:ascii="Arial" w:cs="Arial" w:eastAsia="Arial" w:hAnsi="Arial"/>
          <w:sz w:val="17"/>
          <w:szCs w:val="17"/>
          <w:color w:val="auto"/>
        </w:rPr>
        <w:t>1 antitrypsin (“A1AT”) protein, leading to lung and liver disease. A1AT is one of the primary proteins made in the liver and its normal activity protects the lungs from pro</w:t>
      </w:r>
      <w:r>
        <w:rPr>
          <w:rFonts w:ascii="MS PGothic" w:cs="MS PGothic" w:eastAsia="MS PGothic" w:hAnsi="MS PGothic"/>
          <w:sz w:val="17"/>
          <w:szCs w:val="17"/>
          <w:color w:val="auto"/>
        </w:rPr>
        <w:t>‑</w:t>
      </w:r>
      <w:r>
        <w:rPr>
          <w:rFonts w:ascii="Arial" w:cs="Arial" w:eastAsia="Arial" w:hAnsi="Arial"/>
          <w:sz w:val="17"/>
          <w:szCs w:val="17"/>
          <w:color w:val="auto"/>
        </w:rPr>
        <w:t>inflammatory enzymes. This disease affects about one in 1,500 to 3,500 individuals of European ancestry. Mutations in A1AT lead to accumulation of A1AT aggregates in the liver and may cause cirrhosis. In addition, loss of A1AT activity in the lung may result in emphysema. The current standards of care are weekly intravenous infusions of functional A1AT protein obtained from human donor plasma, and lung or liver transplant for severe cases. Our genome editing approach starts with deleting, through NHEJ, the gene in the liver to prevent liver disease, followed by gene correction in the liver to address both liver and lung disease.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 and Licensing Strategy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Juno Therapeutics Collaboration and License Agreement</w:t>
      </w:r>
    </w:p>
    <w:p>
      <w:pPr>
        <w:spacing w:after="0" w:line="185" w:lineRule="exact"/>
        <w:rPr>
          <w:sz w:val="20"/>
          <w:szCs w:val="20"/>
          <w:color w:val="auto"/>
        </w:rPr>
      </w:pPr>
    </w:p>
    <w:p>
      <w:pPr>
        <w:ind w:right="200" w:firstLine="648"/>
        <w:spacing w:after="0" w:line="184" w:lineRule="exact"/>
        <w:rPr>
          <w:sz w:val="20"/>
          <w:szCs w:val="20"/>
          <w:color w:val="auto"/>
        </w:rPr>
      </w:pPr>
      <w:r>
        <w:rPr>
          <w:rFonts w:ascii="Arial" w:cs="Arial" w:eastAsia="Arial" w:hAnsi="Arial"/>
          <w:sz w:val="16"/>
          <w:szCs w:val="16"/>
          <w:color w:val="auto"/>
        </w:rPr>
        <w:t>In May 2015, we entered into a collaboration and license agreement with Juno Therapeutics for the research and development of engineered T cells with CARs and TCRs that have been genetically modified to recognize and kill other cells. In particular, Juno Therapeutics and we will research and develop CAR and TCR engineered T cell products across three research programs over a five</w:t>
      </w:r>
      <w:r>
        <w:rPr>
          <w:rFonts w:ascii="MS PGothic" w:cs="MS PGothic" w:eastAsia="MS PGothic" w:hAnsi="MS PGothic"/>
          <w:sz w:val="16"/>
          <w:szCs w:val="16"/>
          <w:color w:val="auto"/>
        </w:rPr>
        <w:t>‑</w:t>
      </w:r>
      <w:r>
        <w:rPr>
          <w:rFonts w:ascii="Arial" w:cs="Arial" w:eastAsia="Arial" w:hAnsi="Arial"/>
          <w:sz w:val="16"/>
          <w:szCs w:val="16"/>
          <w:color w:val="auto"/>
        </w:rPr>
        <w:t>year period, ending on May 26, 2020. Juno Therapeutics has the option to extend the research period through May 26, 2022, upon payment of one</w:t>
      </w:r>
      <w:r>
        <w:rPr>
          <w:rFonts w:ascii="MS PGothic" w:cs="MS PGothic" w:eastAsia="MS PGothic" w:hAnsi="MS PGothic"/>
          <w:sz w:val="16"/>
          <w:szCs w:val="16"/>
          <w:color w:val="auto"/>
        </w:rPr>
        <w:t>‑</w:t>
      </w:r>
      <w:r>
        <w:rPr>
          <w:rFonts w:ascii="Arial" w:cs="Arial" w:eastAsia="Arial" w:hAnsi="Arial"/>
          <w:sz w:val="16"/>
          <w:szCs w:val="16"/>
          <w:color w:val="auto"/>
        </w:rPr>
        <w:t>year extension fees in the mid</w:t>
      </w:r>
      <w:r>
        <w:rPr>
          <w:rFonts w:ascii="MS PGothic" w:cs="MS PGothic" w:eastAsia="MS PGothic" w:hAnsi="MS PGothic"/>
          <w:sz w:val="16"/>
          <w:szCs w:val="16"/>
          <w:color w:val="auto"/>
        </w:rPr>
        <w:t>‑</w:t>
      </w:r>
      <w:r>
        <w:rPr>
          <w:rFonts w:ascii="Arial" w:cs="Arial" w:eastAsia="Arial" w:hAnsi="Arial"/>
          <w:sz w:val="16"/>
          <w:szCs w:val="16"/>
          <w:color w:val="auto"/>
        </w:rPr>
        <w:t>single</w:t>
      </w:r>
      <w:r>
        <w:rPr>
          <w:rFonts w:ascii="MS PGothic" w:cs="MS PGothic" w:eastAsia="MS PGothic" w:hAnsi="MS PGothic"/>
          <w:sz w:val="16"/>
          <w:szCs w:val="16"/>
          <w:color w:val="auto"/>
        </w:rPr>
        <w:t>‑</w:t>
      </w:r>
      <w:r>
        <w:rPr>
          <w:rFonts w:ascii="Arial" w:cs="Arial" w:eastAsia="Arial" w:hAnsi="Arial"/>
          <w:sz w:val="16"/>
          <w:szCs w:val="16"/>
          <w:color w:val="auto"/>
        </w:rPr>
        <w:t>digit millions of dollars per year. We refer to the five</w:t>
      </w:r>
      <w:r>
        <w:rPr>
          <w:rFonts w:ascii="MS PGothic" w:cs="MS PGothic" w:eastAsia="MS PGothic" w:hAnsi="MS PGothic"/>
          <w:sz w:val="16"/>
          <w:szCs w:val="16"/>
          <w:color w:val="auto"/>
        </w:rPr>
        <w:t>‑</w:t>
      </w:r>
      <w:r>
        <w:rPr>
          <w:rFonts w:ascii="Arial" w:cs="Arial" w:eastAsia="Arial" w:hAnsi="Arial"/>
          <w:sz w:val="16"/>
          <w:szCs w:val="16"/>
          <w:color w:val="auto"/>
        </w:rPr>
        <w:t xml:space="preserve"> to seven</w:t>
      </w:r>
      <w:r>
        <w:rPr>
          <w:rFonts w:ascii="MS PGothic" w:cs="MS PGothic" w:eastAsia="MS PGothic" w:hAnsi="MS PGothic"/>
          <w:sz w:val="16"/>
          <w:szCs w:val="16"/>
          <w:color w:val="auto"/>
        </w:rPr>
        <w:t>‑</w:t>
      </w:r>
      <w:r>
        <w:rPr>
          <w:rFonts w:ascii="Arial" w:cs="Arial" w:eastAsia="Arial" w:hAnsi="Arial"/>
          <w:sz w:val="16"/>
          <w:szCs w:val="16"/>
          <w:color w:val="auto"/>
        </w:rPr>
        <w:t>year period as the research program term of the collaboration.</w:t>
      </w:r>
    </w:p>
    <w:p>
      <w:pPr>
        <w:spacing w:after="0" w:line="166"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During the research program term, we are responsible for generating genome editing reagents that modify gene targets selected by Juno Therapeutics. Juno Therapeutics is responsible for evaluating and selecting for further research and development CAR and TCR engineered T cell products modified with our genome editing reagents. Except for our obligations under the mutually agreed research plan, Juno Therapeutics has sole responsibility, at its own cost, for the worldwide development, manufacturing, and commercialization of the selected CAR and TCR engineered T cell products for the diagnosis, treatment, or prevention of any cancer in humans, excluding the diagnosis, treatment, or prevention of medullary cystic kidney disease 1 (the “Exclusive Field”).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collaboration agreement, we granted to Juno Therapeutics an exclusive (even as to us), worldwide,</w:t>
      </w:r>
    </w:p>
    <w:p>
      <w:pPr>
        <w:spacing w:after="0" w:line="176" w:lineRule="exact"/>
        <w:rPr>
          <w:sz w:val="20"/>
          <w:szCs w:val="20"/>
          <w:color w:val="auto"/>
        </w:rPr>
      </w:pPr>
      <w:r>
        <w:rPr>
          <w:rFonts w:ascii="Arial" w:cs="Arial" w:eastAsia="Arial" w:hAnsi="Arial"/>
          <w:sz w:val="17"/>
          <w:szCs w:val="17"/>
          <w:color w:val="auto"/>
        </w:rPr>
        <w:t>milestone and royalty</w:t>
      </w:r>
      <w:r>
        <w:rPr>
          <w:rFonts w:ascii="MS PGothic" w:cs="MS PGothic" w:eastAsia="MS PGothic" w:hAnsi="MS PGothic"/>
          <w:sz w:val="17"/>
          <w:szCs w:val="17"/>
          <w:color w:val="auto"/>
        </w:rPr>
        <w:t>‑</w:t>
      </w:r>
      <w:r>
        <w:rPr>
          <w:rFonts w:ascii="Arial" w:cs="Arial" w:eastAsia="Arial" w:hAnsi="Arial"/>
          <w:sz w:val="17"/>
          <w:szCs w:val="17"/>
          <w:color w:val="auto"/>
        </w:rPr>
        <w:t>bearing, sublicensable license to certain of our owned and in</w:t>
      </w:r>
      <w:r>
        <w:rPr>
          <w:rFonts w:ascii="MS PGothic" w:cs="MS PGothic" w:eastAsia="MS PGothic" w:hAnsi="MS PGothic"/>
          <w:sz w:val="17"/>
          <w:szCs w:val="17"/>
          <w:color w:val="auto"/>
        </w:rPr>
        <w:t>‑</w:t>
      </w:r>
      <w:r>
        <w:rPr>
          <w:rFonts w:ascii="Arial" w:cs="Arial" w:eastAsia="Arial" w:hAnsi="Arial"/>
          <w:sz w:val="17"/>
          <w:szCs w:val="17"/>
          <w:color w:val="auto"/>
        </w:rPr>
        <w:t>licensed patent rights to research,</w:t>
      </w:r>
    </w:p>
    <w:p>
      <w:pPr>
        <w:spacing w:after="0" w:line="216" w:lineRule="auto"/>
        <w:rPr>
          <w:sz w:val="20"/>
          <w:szCs w:val="20"/>
          <w:color w:val="auto"/>
        </w:rPr>
      </w:pPr>
      <w:r>
        <w:rPr>
          <w:rFonts w:ascii="Arial" w:cs="Arial" w:eastAsia="Arial" w:hAnsi="Arial"/>
          <w:sz w:val="17"/>
          <w:szCs w:val="17"/>
          <w:color w:val="auto"/>
        </w:rPr>
        <w:t>develop, make, have made, use, offer for sale, sell and import selected CAR and TCR engineered T cell products in the</w:t>
      </w:r>
    </w:p>
    <w:p>
      <w:pPr>
        <w:spacing w:after="0" w:line="176" w:lineRule="exact"/>
        <w:rPr>
          <w:sz w:val="20"/>
          <w:szCs w:val="20"/>
          <w:color w:val="auto"/>
        </w:rPr>
      </w:pPr>
      <w:r>
        <w:rPr>
          <w:rFonts w:ascii="Arial" w:cs="Arial" w:eastAsia="Arial" w:hAnsi="Arial"/>
          <w:sz w:val="17"/>
          <w:szCs w:val="17"/>
          <w:color w:val="auto"/>
        </w:rPr>
        <w:t>Exclusive Field. In addition, we granted to Juno Therapeutics a non</w:t>
      </w:r>
      <w:r>
        <w:rPr>
          <w:rFonts w:ascii="MS PGothic" w:cs="MS PGothic" w:eastAsia="MS PGothic" w:hAnsi="MS PGothic"/>
          <w:sz w:val="17"/>
          <w:szCs w:val="17"/>
          <w:color w:val="auto"/>
        </w:rPr>
        <w:t>‑</w:t>
      </w:r>
      <w:r>
        <w:rPr>
          <w:rFonts w:ascii="Arial" w:cs="Arial" w:eastAsia="Arial" w:hAnsi="Arial"/>
          <w:sz w:val="17"/>
          <w:szCs w:val="17"/>
          <w:color w:val="auto"/>
        </w:rPr>
        <w:t>exclusive, worldwide, milestone and royalty</w:t>
      </w:r>
      <w:r>
        <w:rPr>
          <w:rFonts w:ascii="MS PGothic" w:cs="MS PGothic" w:eastAsia="MS PGothic" w:hAnsi="MS PGothic"/>
          <w:sz w:val="17"/>
          <w:szCs w:val="17"/>
          <w:color w:val="auto"/>
        </w:rPr>
        <w:t>‑</w:t>
      </w:r>
      <w:r>
        <w:rPr>
          <w:rFonts w:ascii="Arial" w:cs="Arial" w:eastAsia="Arial" w:hAnsi="Arial"/>
          <w:sz w:val="17"/>
          <w:szCs w:val="17"/>
          <w:color w:val="auto"/>
        </w:rPr>
        <w:t>bearing,</w:t>
      </w:r>
    </w:p>
    <w:p>
      <w:pPr>
        <w:spacing w:after="0" w:line="176" w:lineRule="exact"/>
        <w:rPr>
          <w:sz w:val="20"/>
          <w:szCs w:val="20"/>
          <w:color w:val="auto"/>
        </w:rPr>
      </w:pPr>
      <w:r>
        <w:rPr>
          <w:rFonts w:ascii="Arial" w:cs="Arial" w:eastAsia="Arial" w:hAnsi="Arial"/>
          <w:sz w:val="16"/>
          <w:szCs w:val="16"/>
          <w:color w:val="auto"/>
        </w:rPr>
        <w:t>sublicensable license to certain of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 rights to use genome editing reagents that are used in the</w:t>
      </w:r>
    </w:p>
    <w:p>
      <w:pPr>
        <w:spacing w:after="0" w:line="216" w:lineRule="auto"/>
        <w:rPr>
          <w:sz w:val="20"/>
          <w:szCs w:val="20"/>
          <w:color w:val="auto"/>
        </w:rPr>
      </w:pPr>
      <w:r>
        <w:rPr>
          <w:rFonts w:ascii="Arial" w:cs="Arial" w:eastAsia="Arial" w:hAnsi="Arial"/>
          <w:sz w:val="17"/>
          <w:szCs w:val="17"/>
          <w:color w:val="auto"/>
        </w:rPr>
        <w:t>creation of a CAR or TCR engineered T cell product on which Juno Therapeutics has filed an IND for the treatment or</w:t>
      </w:r>
    </w:p>
    <w:p>
      <w:pPr>
        <w:spacing w:after="0" w:line="229" w:lineRule="auto"/>
        <w:rPr>
          <w:sz w:val="20"/>
          <w:szCs w:val="20"/>
          <w:color w:val="auto"/>
        </w:rPr>
      </w:pPr>
      <w:r>
        <w:rPr>
          <w:rFonts w:ascii="Arial" w:cs="Arial" w:eastAsia="Arial" w:hAnsi="Arial"/>
          <w:sz w:val="16"/>
          <w:szCs w:val="16"/>
          <w:color w:val="auto"/>
        </w:rPr>
        <w:t>prevention of a cancer in humans for researching, developing, making, having made, using, offering for sale, selling, and</w:t>
      </w:r>
    </w:p>
    <w:p>
      <w:pPr>
        <w:spacing w:after="0" w:line="215" w:lineRule="auto"/>
        <w:rPr>
          <w:sz w:val="20"/>
          <w:szCs w:val="20"/>
          <w:color w:val="auto"/>
        </w:rPr>
      </w:pPr>
      <w:r>
        <w:rPr>
          <w:rFonts w:ascii="Arial" w:cs="Arial" w:eastAsia="Arial" w:hAnsi="Arial"/>
          <w:sz w:val="17"/>
          <w:szCs w:val="17"/>
          <w:color w:val="auto"/>
        </w:rPr>
        <w:t>importing that CAR or TCR engineered T cell product in all fields outside of the Exclusive Field, excluding the diagnosis,</w:t>
      </w:r>
    </w:p>
    <w:p>
      <w:pPr>
        <w:spacing w:after="0" w:line="176" w:lineRule="exact"/>
        <w:rPr>
          <w:sz w:val="20"/>
          <w:szCs w:val="20"/>
          <w:color w:val="auto"/>
        </w:rPr>
      </w:pPr>
      <w:r>
        <w:rPr>
          <w:rFonts w:ascii="Arial" w:cs="Arial" w:eastAsia="Arial" w:hAnsi="Arial"/>
          <w:sz w:val="17"/>
          <w:szCs w:val="17"/>
          <w:color w:val="auto"/>
        </w:rPr>
        <w:t>treatment, or prevention of medullary cystic kidney disease 1. We further granted to Juno Therapeutics a non</w:t>
      </w:r>
      <w:r>
        <w:rPr>
          <w:rFonts w:ascii="MS PGothic" w:cs="MS PGothic" w:eastAsia="MS PGothic" w:hAnsi="MS PGothic"/>
          <w:sz w:val="17"/>
          <w:szCs w:val="17"/>
          <w:color w:val="auto"/>
        </w:rPr>
        <w:t>‑</w:t>
      </w:r>
      <w:r>
        <w:rPr>
          <w:rFonts w:ascii="Arial" w:cs="Arial" w:eastAsia="Arial" w:hAnsi="Arial"/>
          <w:sz w:val="17"/>
          <w:szCs w:val="17"/>
          <w:color w:val="auto"/>
        </w:rPr>
        <w:t>exclusive,</w:t>
      </w:r>
    </w:p>
    <w:p>
      <w:pPr>
        <w:spacing w:after="0" w:line="176" w:lineRule="exact"/>
        <w:rPr>
          <w:sz w:val="20"/>
          <w:szCs w:val="20"/>
          <w:color w:val="auto"/>
        </w:rPr>
      </w:pPr>
      <w:r>
        <w:rPr>
          <w:rFonts w:ascii="Arial" w:cs="Arial" w:eastAsia="Arial" w:hAnsi="Arial"/>
          <w:sz w:val="16"/>
          <w:szCs w:val="16"/>
          <w:color w:val="auto"/>
        </w:rPr>
        <w:t>worldwide, non</w:t>
      </w:r>
      <w:r>
        <w:rPr>
          <w:rFonts w:ascii="MS PGothic" w:cs="MS PGothic" w:eastAsia="MS PGothic" w:hAnsi="MS PGothic"/>
          <w:sz w:val="16"/>
          <w:szCs w:val="16"/>
          <w:color w:val="auto"/>
        </w:rPr>
        <w:t>‑</w:t>
      </w:r>
      <w:r>
        <w:rPr>
          <w:rFonts w:ascii="Arial" w:cs="Arial" w:eastAsia="Arial" w:hAnsi="Arial"/>
          <w:sz w:val="16"/>
          <w:szCs w:val="16"/>
          <w:color w:val="auto"/>
        </w:rPr>
        <w:t>sublicensable license to certain of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 rights to, among other things, conduct</w:t>
      </w:r>
    </w:p>
    <w:p>
      <w:pPr>
        <w:spacing w:after="0" w:line="229" w:lineRule="auto"/>
        <w:rPr>
          <w:sz w:val="20"/>
          <w:szCs w:val="20"/>
          <w:color w:val="auto"/>
        </w:rPr>
      </w:pPr>
      <w:r>
        <w:rPr>
          <w:rFonts w:ascii="Arial" w:cs="Arial" w:eastAsia="Arial" w:hAnsi="Arial"/>
          <w:sz w:val="16"/>
          <w:szCs w:val="16"/>
          <w:color w:val="auto"/>
        </w:rPr>
        <w:t>the activities assigned to Juno Therapeutics under the mutually agreed research plan and to our genome editing reagents for</w:t>
      </w:r>
    </w:p>
    <w:p>
      <w:pPr>
        <w:spacing w:after="0" w:line="215" w:lineRule="auto"/>
        <w:rPr>
          <w:sz w:val="20"/>
          <w:szCs w:val="20"/>
          <w:color w:val="auto"/>
        </w:rPr>
      </w:pPr>
      <w:r>
        <w:rPr>
          <w:rFonts w:ascii="Arial" w:cs="Arial" w:eastAsia="Arial" w:hAnsi="Arial"/>
          <w:sz w:val="17"/>
          <w:szCs w:val="17"/>
          <w:color w:val="auto"/>
        </w:rPr>
        <w:t>further research and development of CAR and TCR engineered T cell products. Juno Therapeutics granted to us a</w:t>
      </w:r>
    </w:p>
    <w:p>
      <w:pPr>
        <w:spacing w:after="0" w:line="176"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exclusive, worldwide, royalty</w:t>
      </w:r>
      <w:r>
        <w:rPr>
          <w:rFonts w:ascii="MS PGothic" w:cs="MS PGothic" w:eastAsia="MS PGothic" w:hAnsi="MS PGothic"/>
          <w:sz w:val="17"/>
          <w:szCs w:val="17"/>
          <w:color w:val="auto"/>
        </w:rPr>
        <w:t>‑</w:t>
      </w:r>
      <w:r>
        <w:rPr>
          <w:rFonts w:ascii="Arial" w:cs="Arial" w:eastAsia="Arial" w:hAnsi="Arial"/>
          <w:sz w:val="17"/>
          <w:szCs w:val="17"/>
          <w:color w:val="auto"/>
        </w:rPr>
        <w:t>free, and non</w:t>
      </w:r>
      <w:r>
        <w:rPr>
          <w:rFonts w:ascii="MS PGothic" w:cs="MS PGothic" w:eastAsia="MS PGothic" w:hAnsi="MS PGothic"/>
          <w:sz w:val="17"/>
          <w:szCs w:val="17"/>
          <w:color w:val="auto"/>
        </w:rPr>
        <w:t>‑</w:t>
      </w:r>
      <w:r>
        <w:rPr>
          <w:rFonts w:ascii="Arial" w:cs="Arial" w:eastAsia="Arial" w:hAnsi="Arial"/>
          <w:sz w:val="17"/>
          <w:szCs w:val="17"/>
          <w:color w:val="auto"/>
        </w:rPr>
        <w:t>sublicensable license to certain Juno Therapeutics patents solely for the</w:t>
      </w:r>
    </w:p>
    <w:p>
      <w:pPr>
        <w:spacing w:after="0"/>
        <w:rPr>
          <w:sz w:val="20"/>
          <w:szCs w:val="20"/>
          <w:color w:val="auto"/>
        </w:rPr>
      </w:pPr>
      <w:r>
        <w:rPr>
          <w:rFonts w:ascii="Arial" w:cs="Arial" w:eastAsia="Arial" w:hAnsi="Arial"/>
          <w:sz w:val="18"/>
          <w:szCs w:val="18"/>
          <w:color w:val="auto"/>
        </w:rPr>
        <w:t>purpose of our conducting the research activities assigned to us under the mutually agreed research plan.</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During the research program term and except pursuant to the collaboration agreement, we may not conduct or participate in, and may not license, fund or otherwise enable a third party to conduct or participate in, research, development, manufacture, or commercialization of CAR and TCR engineered T cells in the Exclusive Field. In addition, we may not enter into any collaboration, license, or other relationship with a third party to use our genome editing technology with respect to CAR and TCR engineered T cells in any other field, excluding the diagnosis, treatment, or prevention of medullary cystic kidney disease 1, unless we first provide written notice to Juno Therapeutics and provide Juno Therapeutics an opportunity to discuss a comparable collaboration, license, or other relationship. Juno Therapeutics has agreed to certain exclusivity obligations with us with respect to certain gene editing technologies.</w:t>
      </w:r>
    </w:p>
    <w:p>
      <w:pPr>
        <w:spacing w:after="0" w:line="16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During the term of the collaboration agreement and except pursuant to the collaboration agreement, we may not conduct or participate in, and may not license, fund, or otherwise enable a third party to conduct or participate in, research, development, manufacturing, or commercialization activities involving the use of our genome editing technology, or any genome editing technology similar to ours, with respect to the gene targets selected by Juno Therapeutics during the research program term for further research and development in the Exclusive Field. During the term of the collaboration agreement and except pursuant to the collaboration agreement, we may not conduct or participate in, and may not license, fund, or otherwise enable a third party to conduct or participate in, research, development, manufacturing, or commercialization activities with respect to a certain type of CAR or TCR engineered T cell product for use in the Exclusive Field, where such product targets a protein designated by Juno Therapeutics during the research program term as a target for Juno Therapeutics’ further research and development of that certain type of CAR or TCR engineered T cell product.</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Juno Therapeutics and we each must use diligent efforts to perform all activities for which Juno Therapeutics or we are responsible under the collaboration. Juno Therapeutics also is required to achieve certain regulatory objectives with respect to the engineered T cells in each of the three programs by specified dates. Under the agreement, if Juno Therapeutics does not meet its initial regulatory objective by the required date with respect to an engineered T cell in a specified program, then we can, as our exclusive remedy to Juno Therapeutics’ failure, convert the exclusive license we granted to Juno Therapeutics to a non</w:t>
      </w:r>
      <w:r>
        <w:rPr>
          <w:rFonts w:ascii="MS PGothic" w:cs="MS PGothic" w:eastAsia="MS PGothic" w:hAnsi="MS PGothic"/>
          <w:sz w:val="17"/>
          <w:szCs w:val="17"/>
          <w:color w:val="auto"/>
        </w:rPr>
        <w:t>‑</w:t>
      </w:r>
      <w:r>
        <w:rPr>
          <w:rFonts w:ascii="Arial" w:cs="Arial" w:eastAsia="Arial" w:hAnsi="Arial"/>
          <w:sz w:val="17"/>
          <w:szCs w:val="17"/>
          <w:color w:val="auto"/>
        </w:rPr>
        <w:t>exclusive license to Juno Therapeutics with respect to the particular program to which Juno Therapeutics’ failure relates. If Juno Therapeutics does not meet a subsequent regulatory objective with respect to an engineered T cell within a program, then we can, as our exclusive remedy to Juno Therapeutics’ failure, convert the exclusive license we granted to Juno Therapeutics to a non</w:t>
      </w:r>
      <w:r>
        <w:rPr>
          <w:rFonts w:ascii="MS PGothic" w:cs="MS PGothic" w:eastAsia="MS PGothic" w:hAnsi="MS PGothic"/>
          <w:sz w:val="17"/>
          <w:szCs w:val="17"/>
          <w:color w:val="auto"/>
        </w:rPr>
        <w:t>‑</w:t>
      </w:r>
      <w:r>
        <w:rPr>
          <w:rFonts w:ascii="Arial" w:cs="Arial" w:eastAsia="Arial" w:hAnsi="Arial"/>
          <w:sz w:val="17"/>
          <w:szCs w:val="17"/>
          <w:color w:val="auto"/>
        </w:rPr>
        <w:t>exclusive license to Juno Therapeutics with respect to the particular engineered T cell to which Juno Therapeutics’ failure relates.</w:t>
      </w:r>
    </w:p>
    <w:p>
      <w:pPr>
        <w:spacing w:after="0" w:line="164"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The collaboration is supervised by a joint research committee (“JRC”) comprising an equal number of representatives from each of Juno Therapeutics and us. The JRC oversees and coordinates research activities during the research program term. Moreover, each party will appoint a project leader and the project leaders will be responsible for, among other things, coordinating the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work and raising cross</w:t>
      </w:r>
      <w:r>
        <w:rPr>
          <w:rFonts w:ascii="MS PGothic" w:cs="MS PGothic" w:eastAsia="MS PGothic" w:hAnsi="MS PGothic"/>
          <w:sz w:val="17"/>
          <w:szCs w:val="17"/>
          <w:color w:val="auto"/>
        </w:rPr>
        <w:t>‑</w:t>
      </w:r>
      <w:r>
        <w:rPr>
          <w:rFonts w:ascii="Arial" w:cs="Arial" w:eastAsia="Arial" w:hAnsi="Arial"/>
          <w:sz w:val="17"/>
          <w:szCs w:val="17"/>
          <w:color w:val="auto"/>
        </w:rPr>
        <w:t>party disputes in a timely manner. Decisions of the JRC are made by unanimous vote, with each of Juno Therapeutics and us having one vote. If the JRC is not able to reach a unanimous decision, Juno Therapeutics’ and our respective chief executive officers will attempt to resolve the dispute in good faith. If the chief executive officers cannot resolve the dispute, subject to certain requirements, Juno Therapeutics has the final decision making authority with respect to disputes relating to the development of the licensed products within the research plan, and we have the final decision making authority with respect to disputes relating to our patents, know</w:t>
      </w:r>
      <w:r>
        <w:rPr>
          <w:rFonts w:ascii="MS PGothic" w:cs="MS PGothic" w:eastAsia="MS PGothic" w:hAnsi="MS PGothic"/>
          <w:sz w:val="17"/>
          <w:szCs w:val="17"/>
          <w:color w:val="auto"/>
        </w:rPr>
        <w:t>‑</w:t>
      </w:r>
      <w:r>
        <w:rPr>
          <w:rFonts w:ascii="Arial" w:cs="Arial" w:eastAsia="Arial" w:hAnsi="Arial"/>
          <w:sz w:val="17"/>
          <w:szCs w:val="17"/>
          <w:color w:val="auto"/>
        </w:rPr>
        <w:t>how and technology.</w:t>
      </w:r>
    </w:p>
    <w:p>
      <w:pPr>
        <w:spacing w:after="0" w:line="164"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Under the terms of the collaboration agreement, we received an upfront payment of $25.0 million from Juno Therapeutics and we have received two milestone payments totaling $5.0 million under the collaboration for technical progress in two research programs. In addition, we have the potential to receive up to $22.0 million in research support over a five year term across the three programs under our collaboration, subject to adjustment in accordance with the terms of the agreement, of which we had recognized $12.2 million as of December 31, 2017, inclusive of the $5.0 million in milestone payments. We are eligible to receive future research and regulatory milestones of approximately $160.0 million for each of the first products developed in each of the three research programs, of which we have achieved two milestone payments of $2.5 million each. We also are eligible to receive future commercial sales milestones of $75.0 million based on certain specified thresholds of aggregate, worldwide net sales of all engineered T cell products within each of the three research programs. Further, we are eligible to receive tiered royalties of low double</w:t>
      </w:r>
      <w:r>
        <w:rPr>
          <w:rFonts w:ascii="MS PGothic" w:cs="MS PGothic" w:eastAsia="MS PGothic" w:hAnsi="MS PGothic"/>
          <w:sz w:val="17"/>
          <w:szCs w:val="17"/>
          <w:color w:val="auto"/>
        </w:rPr>
        <w:t>‑</w:t>
      </w:r>
      <w:r>
        <w:rPr>
          <w:rFonts w:ascii="Arial" w:cs="Arial" w:eastAsia="Arial" w:hAnsi="Arial"/>
          <w:sz w:val="17"/>
          <w:szCs w:val="17"/>
          <w:color w:val="auto"/>
        </w:rPr>
        <w:t>digit percentages of Juno Therapeutics’ net sales of products licensed under our collaboration agreement. Juno Therapeutics’ obligation to pay royalties on a licensed product will expire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187" w:lineRule="exact"/>
        <w:rPr>
          <w:sz w:val="20"/>
          <w:szCs w:val="20"/>
          <w:color w:val="auto"/>
        </w:rPr>
      </w:pPr>
      <w:r>
        <w:rPr>
          <w:rFonts w:ascii="Arial" w:cs="Arial" w:eastAsia="Arial" w:hAnsi="Arial"/>
          <w:sz w:val="17"/>
          <w:szCs w:val="17"/>
          <w:color w:val="auto"/>
        </w:rPr>
        <w:t>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upon the later of the tenth anniversary of the first commercial sale of such licensed product and the expiration of the last to expire valid claim within the licensed patents covering such licensed product. If Juno Therapeutics is required to pay royalties on net sales of a licensed product to a third party because the licensed product is covered under the third party’s patent, then Juno Therapeutics can credit a certain percentage of its payments to the third party against the royalties it owes us, subject to certain maximum deduction limits.</w:t>
      </w:r>
    </w:p>
    <w:p>
      <w:pPr>
        <w:spacing w:after="0" w:line="161" w:lineRule="exact"/>
        <w:rPr>
          <w:sz w:val="20"/>
          <w:szCs w:val="20"/>
          <w:color w:val="auto"/>
        </w:rPr>
      </w:pPr>
    </w:p>
    <w:p>
      <w:pPr>
        <w:ind w:right="180" w:firstLine="648"/>
        <w:spacing w:after="0" w:line="239" w:lineRule="auto"/>
        <w:rPr>
          <w:sz w:val="20"/>
          <w:szCs w:val="20"/>
          <w:color w:val="auto"/>
        </w:rPr>
      </w:pPr>
      <w:r>
        <w:rPr>
          <w:rFonts w:ascii="Arial" w:cs="Arial" w:eastAsia="Arial" w:hAnsi="Arial"/>
          <w:sz w:val="16"/>
          <w:szCs w:val="16"/>
          <w:color w:val="auto"/>
        </w:rPr>
        <w:t>We will own any inventions developed by our employees and agents during our collaboration with Juno Therapeutics. Juno Therapeutics and we will jointly own any inventions made jointly by employees or agents of Juno Therapeutics and us during our collaboration with Juno Therapeutics. We retain control, at our own cost, of the prosecution and maintenance of our solely owned patents. Juno Therapeutics and we will be jointly responsible for the prosecution and maintenance of any jointly owned patents. We hold the final decision making authority with respect to claims of jointly owned patents relating to our genome editing technology and Juno Therapeutics holds the final decision making authority with respect to claims of jointly owned patents relating to CAR and TCR engineered T cell products.</w:t>
      </w:r>
    </w:p>
    <w:p>
      <w:pPr>
        <w:spacing w:after="0" w:line="163"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Unless terminated earlier, the term of the collaboration agreement will expire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until the date no further payments are due to us from Juno Therapeutics. Juno Therapeutics may terminate the agreement for convenience in its entirety upon six months’ written notice to us. Either Juno Therapeutics or we may terminate the agreement if the other party is in material breach and fails to cure such breach within the specified cure period. Either Juno Therapeutics or we may terminate the agreement in the event of insolvency or bankruptcy of the other party.</w:t>
      </w:r>
    </w:p>
    <w:p>
      <w:pPr>
        <w:spacing w:after="0" w:line="162"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If Juno Therapeutics terminates the agreement as a result of our uncured material breach, Juno Therapeutics’ rights and licenses to our specified patent rights, Juno Therapeutics’ obligations to pay us certain research milestones and royalties, and Juno Therapeutics’ rights to prosecute, maintain, and enforce certain patent rights each continue as set forth under the agreement. If Juno Therapeutics terminates the agreement for convenience or we terminate the agreement as a result of Juno Therapeutics’ uncured material breach, the licenses we granted to Juno Therapeutics will terminate.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date of this Annual Report on Form 10-K, Juno Therapeutics has been acquired by Celgene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We do not anticipate that this acquisition will have a significant impact on our collaboration with Juno Therapeutics.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Strategic Alliance and Option Agreement</w:t>
      </w:r>
    </w:p>
    <w:p>
      <w:pPr>
        <w:spacing w:after="0" w:line="18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In March 2017, we entered into a strategic alliance and option agreement with Allergan to discover, develop, and commercialize new gene editing medicines for a range of ocular disorders. Over a seven-year research term, Allergan will have an exclusive option to exclusively license from us up to five collaboration development programs for the treatment of ocular disorders (each, a “Collaboration Development Program”), including our LCA10 Program. We will use commercially reasonably efforts to develop at least five Collaboration Development Programs and deliver preclinical results and data meeting specified criteria with respect to each Collaboration Development Program (each, an “Option Package”) to Allergan. We will generally have responsibility for the conduct of each Collaboration Development Program and sole responsibility for all development costs of each Collaboration Development Program prior to any exercise by Allergan of its option to acquire an exclusive license to such Collaboration Development Program under the terms of the agreement. If at the end of the seven-year research term we have not delivered five Collaboration Development Programs that satisfy the Option Package criteria for each such program, the research term shall automatically extend by one-year increments until such obligation is satisfied, up to three additional years (the “Research Term”). In connection with entering into this agreement, Allergan paid us a one-time up-front payment of $90.0 million. In addition, within 45 days of the acceptance by the applicable regulatory authority of our submission of an investigational new drug application with respect to the LCA10 Program, Allergan is required to pay us a one-time payment of $25.0 million, whether or not Allergan exercises its option under the agreement to acquire an exclusive license with respect to the LCA10 Program.</w:t>
      </w:r>
    </w:p>
    <w:p>
      <w:pPr>
        <w:spacing w:after="0" w:line="167"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Upon delivery of an Option Package with respect to a Collaboration Development Program to Allergan, Allergan is entitled, for specified periods of time thereafter (each, an “Initial Option Period”), to exercise an option (an “Option”) to acquire from us an exclusive (even as to us and our affiliates) world-wide right and license to our background intellectual property and our interest in the Collaboration Development Program intellectual property to</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develop, commercialize, make, have made, use, offer for sale, sell, and import any gene editing therapy product that results from such Collaboration Development Program during the term of the agreement (a “Licensed Product”) in any category of human diseases and conditions other than the diagnosis, treatment or prevention of any cancer in humans through the use of engineered T-cells and subject to specified other limitations. Following the exercise of an Option, Allergan will have the right to grant sublicenses subject to specified terms, under Allergan’s exclusive license to our background intellectual property and our interest in the Collaboration Development Program intellectual property, to develop, commercialize, make, have made, use, offer for sale, sell, and import Licensed Products.</w:t>
      </w:r>
    </w:p>
    <w:p>
      <w:pPr>
        <w:spacing w:after="0" w:line="16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Upon the exercise of an Option within the Initial Option Period, Allergan is required to pay to us an option exercise fee of $15.0 million. At any time during the Initial Option Period, Allergan may also elect to extend the period of time in which it may exercise the Option to permit additional development work with respect to the Collaboration Development Program, and in connection with such extension Allergan will be required to pay us an option extension fee of $5.0 million. If, following such an extension, Allergan exercises the Option following the Initial Option Period, Allergan will be required to pay us a higher option exercise fee of $22.5 million plus specified costs incurred by us in connection with the additional development work. If Allergan does not exercise an Option within a specified option exercise period and any extension thereof, such Option will terminate.</w:t>
      </w:r>
    </w:p>
    <w:p>
      <w:pPr>
        <w:spacing w:after="0" w:line="168"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In addition, subject to specified limitations, at the end of the Research Term, Allergan will have the right, for a specified period of time, to exercise an Option with respect to each Collaboration Development Program for which we have not yet delivered an Option Package. Upon the exercise by Allergan of any such option, Allergan is required to pay to us an option exercise fee in the low-seven digits.</w:t>
      </w:r>
    </w:p>
    <w:p>
      <w:pPr>
        <w:spacing w:after="0" w:line="163"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Following the exercise by Allergan of an Option with respect to a Collaboration Development Program, Allergan will be responsible for the development, manufacturing and commercialization of any Licensed Products thereunder and will be required to use commercially reasonable efforts to develop, obtain regulatory approval for and commercialize at least one Licensed Product thereunder. If Allergan exercises its Option for the LCA10 Program, subject to Allergan’s financial responsibility and final decision-making authority with respect to any development activities following such exercise, we will remain primarily responsible for conducting the LCA10 Program through the acceptance for filing of the first IND application with respect to the LCA10 Program.</w:t>
      </w:r>
    </w:p>
    <w:p>
      <w:pPr>
        <w:spacing w:after="0" w:line="165" w:lineRule="exact"/>
        <w:rPr>
          <w:sz w:val="20"/>
          <w:szCs w:val="20"/>
          <w:color w:val="auto"/>
        </w:rPr>
      </w:pPr>
    </w:p>
    <w:p>
      <w:pPr>
        <w:ind w:right="40" w:firstLine="648"/>
        <w:spacing w:after="0" w:line="219" w:lineRule="auto"/>
        <w:rPr>
          <w:sz w:val="20"/>
          <w:szCs w:val="20"/>
          <w:color w:val="auto"/>
        </w:rPr>
      </w:pPr>
      <w:r>
        <w:rPr>
          <w:rFonts w:ascii="Arial" w:cs="Arial" w:eastAsia="Arial" w:hAnsi="Arial"/>
          <w:sz w:val="17"/>
          <w:szCs w:val="17"/>
          <w:color w:val="auto"/>
        </w:rPr>
        <w:t>We are entitled to receive clinical, regulatory, and launch milestone payments from Allergan up to a low-nine-digit amount in the aggregate and further commercial milestone payments up to a high-eight-digit amount in the aggregate with respect to each Collaboration Development Program for which Allergan exercises its Option, with certain of such milestone payments subject to reduction under certain circumstances. In the aggregate, we are eligible to receive clinical, regulatory, launch, and commercial milestone payments that could exceed $200.0 million for an indication in the first field per Collaboration Development Program, as well as the potential for additional regulatory milestones for indications in up to two additional fields. We are also entitled to receive royalties in the high-single digit percentages with respect to net sales of Licensed Products, subject to certain reductions under specified circumstances, and we will remain obligated to pay all license fees, milestone payments, and royalties due to its upstream licensors based on Allergan’s exercise of its license rights with respect to Licensed Products. Allergan’s obligation to pay royalties will expire on a country-by-country/Licensed Product-by-Licensed Product basis upon the latest of the expiration of patent-based exclusivity with respect to the applicable Licensed Product in the applicable country, expiration of regulatory-based exclusivity with respect to the applicable Licensed Product in the applicable country and the tenth anniversary of the first commercial sale by Allergan of the applicable Licensed Product in the applicable country. We are generally required to pay to Allergan royalties in the low- to mid-single digit percentages on net sales of products developed under Collaboration Development Programs that Allergan terminated following exercise of its Option, in each case over royalty terms equivalent to those for the royalties due to us under the agreement.</w:t>
      </w:r>
    </w:p>
    <w:p>
      <w:pPr>
        <w:spacing w:after="0" w:line="168"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With respect to the LCA10 Program and up to one other Collaboration Development Program of our choosing, following the exercise by Allergan of its Option to such programs, we will have the right to elect to participate in a profit-sharing arrangement with Allergan in the United States, on terms mutually agreed by us and Allergan and subject to a right of Allergan to reject such election under certain circumstances, under which we and Allergan would share equally in net profits and losses on specific terms to be agreed between us and Allergan, in lieu of Allergan paying royalties on net sales of any applicable Licensed Products in the United States and in such event Allergan’s milestone payment obligations would be reduced, with our being eligible to receive clinical, regulatory, and launch milestone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209" w:lineRule="auto"/>
        <w:rPr>
          <w:sz w:val="20"/>
          <w:szCs w:val="20"/>
          <w:color w:val="auto"/>
        </w:rPr>
      </w:pPr>
      <w:r>
        <w:rPr>
          <w:rFonts w:ascii="Arial" w:cs="Arial" w:eastAsia="Arial" w:hAnsi="Arial"/>
          <w:sz w:val="18"/>
          <w:szCs w:val="18"/>
          <w:color w:val="auto"/>
        </w:rPr>
        <w:t>payments up to a low nine-digit amount in the aggregate and further commercial milestone payments up to a high-eight digit amount in the aggregate, subject to reduction under certain circumstances. If we elect to participate in a profit-sharing arrangement, we are obligated to reimburse Allergan for half of the development costs incurred by Allergan with respect to the applicable Collaboration Development Program and Allergan will retain control of all development and commercialization activities for the applicable Licensed Products. Under the agreement, we and Allergan will establish an alliance steering committee (“ASC”) comprised of three members from each of us and Allergan, which will have review, oversight and decision-making responsibility for selecting the targets and indications and certain Option Package criteria for the Collaboration Development Programs and determining whether the Option Package criteria for a Collaboration Development Program have been satisfied. With respect to a given Collaboration Development Program, all decisions of the ASC will be made by consensus, subject to specified final decision-making rights, with each of us and Allergan having one vote.</w:t>
      </w:r>
    </w:p>
    <w:p>
      <w:pPr>
        <w:spacing w:after="0" w:line="165"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During the Research Term, neither we nor any of our affiliates will, subject to specified exceptions in the agreement, develop, manufacture or commercialize any gene editing therapy in the ocular field, or grant a license or sublicense to develop, manufacture or commercialize any gene editing therapy in the ocular field. During the Research Term, neither Allergan nor any of its affiliates will, subject to specified exceptions in the agreement, develop, manufacture or commercialize, or grant a license or sublicense to develop, manufacture or commercialize, any gene editing therapy in the ocular field directed to any ocular indication to which any gene editing therapy in any non-terminated Collaboration Development Program is directed or the same target to which any gene editing therapy in any non-terminated Collaboration Development Program is directed. After the Research Term, neither we, Allergan nor any of their respective affiliates will, subject to specified exceptions in the agreement, develop, manufacture or commercialize, or grant a license or sublicense to develop, manufacture or commercialize, any gene editing therapy in the ocular field directed to any ocular indication to which any Licensed Product is directed or any target to which any Licensed Product is directed.</w:t>
      </w:r>
    </w:p>
    <w:p>
      <w:pPr>
        <w:spacing w:after="0" w:line="166"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Unless earlier terminated, the term of the agreement will expire upon (i) the expiration of the Research Term if Allergan does not exercise any Option or (ii) the expiration of all payment obligations under the agreement. In addition to other termination rights, Allergan has the right to terminate the agreement (i) in its entirety for an uncured material breach by us and (ii) in its entirety for any reason on a program-by-program basis for the Collaboration Development Programs for which Allergan has exercised its Option with 90 days’ written notice. Additionally, Allergan may terminate the Research Term (a) on a Collaboration Development Program-by-Collaboration Development Program basis upon written notice to us in the event of a change of control of us or (b) for all Collaboration Development Programs, provided that, Allergan will not have any right to exercise any Option for any such Collaboration Development Program following any such termination. If Allergan terminates the Agreement for our material breach, subject to Allergan’s continued payment, reporting, and audit obligations under the agreement, Allergan has the right to retain all licenses granted under the agreement and Allergan will no longer have any diligence obligations with respect to the Licensed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Licenses</w:t>
      </w:r>
    </w:p>
    <w:p>
      <w:pPr>
        <w:spacing w:after="0" w:line="185" w:lineRule="exact"/>
        <w:rPr>
          <w:sz w:val="20"/>
          <w:szCs w:val="20"/>
          <w:color w:val="auto"/>
        </w:rPr>
      </w:pPr>
    </w:p>
    <w:p>
      <w:pPr>
        <w:ind w:right="340" w:firstLine="648"/>
        <w:spacing w:after="0" w:line="187" w:lineRule="exact"/>
        <w:rPr>
          <w:sz w:val="20"/>
          <w:szCs w:val="20"/>
          <w:color w:val="auto"/>
        </w:rPr>
      </w:pPr>
      <w:r>
        <w:rPr>
          <w:rFonts w:ascii="Arial" w:cs="Arial" w:eastAsia="Arial" w:hAnsi="Arial"/>
          <w:sz w:val="16"/>
          <w:szCs w:val="16"/>
          <w:color w:val="auto"/>
        </w:rPr>
        <w:t>We are a party to a number of license agreements under which we license patents, patent applications, and other intellectual property from third parties. The licensed intellectual property covers, in part, CRISPR and transcription activator</w:t>
      </w:r>
      <w:r>
        <w:rPr>
          <w:rFonts w:ascii="MS PGothic" w:cs="MS PGothic" w:eastAsia="MS PGothic" w:hAnsi="MS PGothic"/>
          <w:sz w:val="16"/>
          <w:szCs w:val="16"/>
          <w:color w:val="auto"/>
        </w:rPr>
        <w:t>‑</w:t>
      </w:r>
      <w:r>
        <w:rPr>
          <w:rFonts w:ascii="Arial" w:cs="Arial" w:eastAsia="Arial" w:hAnsi="Arial"/>
          <w:sz w:val="16"/>
          <w:szCs w:val="16"/>
          <w:color w:val="auto"/>
        </w:rPr>
        <w:t>like effector (“TALE”)</w:t>
      </w:r>
      <w:r>
        <w:rPr>
          <w:rFonts w:ascii="MS PGothic" w:cs="MS PGothic" w:eastAsia="MS PGothic" w:hAnsi="MS PGothic"/>
          <w:sz w:val="16"/>
          <w:szCs w:val="16"/>
          <w:color w:val="auto"/>
        </w:rPr>
        <w:t>‑</w:t>
      </w:r>
      <w:r>
        <w:rPr>
          <w:rFonts w:ascii="Arial" w:cs="Arial" w:eastAsia="Arial" w:hAnsi="Arial"/>
          <w:sz w:val="16"/>
          <w:szCs w:val="16"/>
          <w:color w:val="auto"/>
        </w:rPr>
        <w:t>related compositions of matter and their use for genome editing. These licenses impose various diligence and financial payment obligations on us. We expect to continue to enter into these types of license agreements in the future. We consider the following license agreements to be material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Broad Institute and President and Fellows of Harvard College License Agreement</w:t>
      </w:r>
    </w:p>
    <w:p>
      <w:pPr>
        <w:spacing w:after="0" w:line="185"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In October 2014, we entered into a license agreement with The Broad Institute, Inc. (“Broad”) and the President and Fellows of Harvard College (“Harvard”), for specified patent rights. In December 2016, we amended and restated this license agreement and further amended the agreement in March 2017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Among other things,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amended the original license agreement by excluding additional fields from the scope of the exclusive license granted to us; converting the exclusive license to three specified targets to a non</w:t>
      </w:r>
      <w:r>
        <w:rPr>
          <w:rFonts w:ascii="MS PGothic" w:cs="MS PGothic" w:eastAsia="MS PGothic" w:hAnsi="MS PGothic"/>
          <w:sz w:val="17"/>
          <w:szCs w:val="17"/>
          <w:color w:val="auto"/>
        </w:rPr>
        <w:t>‑</w:t>
      </w:r>
      <w:r>
        <w:rPr>
          <w:rFonts w:ascii="Arial" w:cs="Arial" w:eastAsia="Arial" w:hAnsi="Arial"/>
          <w:sz w:val="17"/>
          <w:szCs w:val="17"/>
          <w:color w:val="auto"/>
        </w:rPr>
        <w:t>exclusive license, subject to specified limitations; revising certain provisions relating to the rights of Harvard and Broad to grant further licenses under specified circumstances to third parties that wish to develop and commercialize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182" w:lineRule="exact"/>
        <w:rPr>
          <w:sz w:val="20"/>
          <w:szCs w:val="20"/>
          <w:color w:val="auto"/>
        </w:rPr>
      </w:pPr>
      <w:r>
        <w:rPr>
          <w:rFonts w:ascii="Arial" w:cs="Arial" w:eastAsia="Arial" w:hAnsi="Arial"/>
          <w:sz w:val="17"/>
          <w:szCs w:val="17"/>
          <w:color w:val="auto"/>
        </w:rPr>
        <w:t>products that target a particular gene and that otherwise would fall within the scope of our exclusive license; and providing Harvard and Broad with certain rights to designate, and reserve all rights to, gene targets for which the designating institution has an interest in researching and developing products that would otherwise be covered by rights licensed to us. The licenses granted to us under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include rights to certain patents solely owned by Harvard (the “Harvard Cas9</w:t>
      </w:r>
      <w:r>
        <w:rPr>
          <w:rFonts w:ascii="MS PGothic" w:cs="MS PGothic" w:eastAsia="MS PGothic" w:hAnsi="MS PGothic"/>
          <w:sz w:val="17"/>
          <w:szCs w:val="17"/>
          <w:color w:val="auto"/>
        </w:rPr>
        <w:t>‑</w:t>
      </w:r>
      <w:r>
        <w:rPr>
          <w:rFonts w:ascii="Arial" w:cs="Arial" w:eastAsia="Arial" w:hAnsi="Arial"/>
          <w:sz w:val="17"/>
          <w:szCs w:val="17"/>
          <w:color w:val="auto"/>
        </w:rPr>
        <w:t>I Patent Rights”), certain patents co</w:t>
      </w:r>
      <w:r>
        <w:rPr>
          <w:rFonts w:ascii="MS PGothic" w:cs="MS PGothic" w:eastAsia="MS PGothic" w:hAnsi="MS PGothic"/>
          <w:sz w:val="17"/>
          <w:szCs w:val="17"/>
          <w:color w:val="auto"/>
        </w:rPr>
        <w:t>‑</w:t>
      </w:r>
      <w:r>
        <w:rPr>
          <w:rFonts w:ascii="Arial" w:cs="Arial" w:eastAsia="Arial" w:hAnsi="Arial"/>
          <w:sz w:val="17"/>
          <w:szCs w:val="17"/>
          <w:color w:val="auto"/>
        </w:rPr>
        <w:t>owned by the Massachusetts Institute of Technology (“MIT”) and Broad, certain patents co-owned by MIT, The Rockefeller University (“Rockefeller”), and Broad, and certain patents co</w:t>
      </w:r>
      <w:r>
        <w:rPr>
          <w:rFonts w:ascii="MS PGothic" w:cs="MS PGothic" w:eastAsia="MS PGothic" w:hAnsi="MS PGothic"/>
          <w:sz w:val="17"/>
          <w:szCs w:val="17"/>
          <w:color w:val="auto"/>
        </w:rPr>
        <w:t>‑</w:t>
      </w:r>
      <w:r>
        <w:rPr>
          <w:rFonts w:ascii="Arial" w:cs="Arial" w:eastAsia="Arial" w:hAnsi="Arial"/>
          <w:sz w:val="17"/>
          <w:szCs w:val="17"/>
          <w:color w:val="auto"/>
        </w:rPr>
        <w:t>owned by MIT, Broad and Harvard. We refer to all the patents and patent applications licensed to us under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as the Harvard/Broad Cas9</w:t>
      </w:r>
      <w:r>
        <w:rPr>
          <w:rFonts w:ascii="MS PGothic" w:cs="MS PGothic" w:eastAsia="MS PGothic" w:hAnsi="MS PGothic"/>
          <w:sz w:val="17"/>
          <w:szCs w:val="17"/>
          <w:color w:val="auto"/>
        </w:rPr>
        <w:t>‑</w:t>
      </w:r>
      <w:r>
        <w:rPr>
          <w:rFonts w:ascii="Arial" w:cs="Arial" w:eastAsia="Arial" w:hAnsi="Arial"/>
          <w:sz w:val="17"/>
          <w:szCs w:val="17"/>
          <w:color w:val="auto"/>
        </w:rPr>
        <w:t>I Patent Rights.</w:t>
      </w:r>
    </w:p>
    <w:p>
      <w:pPr>
        <w:spacing w:after="0" w:line="168"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Certain patent applications in the Harvard/Broad Cas9-I Patent Rights are jointly owned by Rockefeller. In February 2017, Broad and Rockefeller entered into an inter-institutional agreement pursuant to which Rockefeller authorized Broad to act as its sole and exclusive agent for the purposes of licensing Rockefeller’s rights in such Harvard/Broad Cas9-I Patent Rights and any additional related patents or patent applications that Rockefeller may jointly own with Broad. The March 2017 amendment to the Cas9-I License Agreement included a license to Rockefeller’s rights in such patents and patent applications.</w:t>
      </w:r>
    </w:p>
    <w:p>
      <w:pPr>
        <w:spacing w:after="0" w:line="162" w:lineRule="exact"/>
        <w:rPr>
          <w:sz w:val="20"/>
          <w:szCs w:val="20"/>
          <w:color w:val="auto"/>
        </w:rPr>
      </w:pPr>
    </w:p>
    <w:p>
      <w:pPr>
        <w:ind w:right="80" w:firstLine="648"/>
        <w:spacing w:after="0" w:line="187" w:lineRule="exact"/>
        <w:rPr>
          <w:sz w:val="20"/>
          <w:szCs w:val="20"/>
          <w:color w:val="auto"/>
        </w:rPr>
      </w:pPr>
      <w:r>
        <w:rPr>
          <w:rFonts w:ascii="Arial" w:cs="Arial" w:eastAsia="Arial" w:hAnsi="Arial"/>
          <w:sz w:val="16"/>
          <w:szCs w:val="16"/>
          <w:color w:val="auto"/>
        </w:rPr>
        <w:t>The Harvard/Broad Cas9</w:t>
      </w:r>
      <w:r>
        <w:rPr>
          <w:rFonts w:ascii="MS PGothic" w:cs="MS PGothic" w:eastAsia="MS PGothic" w:hAnsi="MS PGothic"/>
          <w:sz w:val="16"/>
          <w:szCs w:val="16"/>
          <w:color w:val="auto"/>
        </w:rPr>
        <w:t>‑</w:t>
      </w:r>
      <w:r>
        <w:rPr>
          <w:rFonts w:ascii="Arial" w:cs="Arial" w:eastAsia="Arial" w:hAnsi="Arial"/>
          <w:sz w:val="16"/>
          <w:szCs w:val="16"/>
          <w:color w:val="auto"/>
        </w:rPr>
        <w:t>I Patent Rights are directed, in part, to certain CRISPR/Cas9 and TALE</w:t>
      </w:r>
      <w:r>
        <w:rPr>
          <w:rFonts w:ascii="MS PGothic" w:cs="MS PGothic" w:eastAsia="MS PGothic" w:hAnsi="MS PGothic"/>
          <w:sz w:val="16"/>
          <w:szCs w:val="16"/>
          <w:color w:val="auto"/>
        </w:rPr>
        <w:t>‑</w:t>
      </w:r>
      <w:r>
        <w:rPr>
          <w:rFonts w:ascii="Arial" w:cs="Arial" w:eastAsia="Arial" w:hAnsi="Arial"/>
          <w:sz w:val="16"/>
          <w:szCs w:val="16"/>
          <w:color w:val="auto"/>
        </w:rPr>
        <w:t>related compositions of matter and their use for genome editing and to certain CRISPR/Cas9 and TALE</w:t>
      </w:r>
      <w:r>
        <w:rPr>
          <w:rFonts w:ascii="MS PGothic" w:cs="MS PGothic" w:eastAsia="MS PGothic" w:hAnsi="MS PGothic"/>
          <w:sz w:val="16"/>
          <w:szCs w:val="16"/>
          <w:color w:val="auto"/>
        </w:rPr>
        <w:t>‑</w:t>
      </w:r>
      <w:r>
        <w:rPr>
          <w:rFonts w:ascii="Arial" w:cs="Arial" w:eastAsia="Arial" w:hAnsi="Arial"/>
          <w:sz w:val="16"/>
          <w:szCs w:val="16"/>
          <w:color w:val="auto"/>
        </w:rPr>
        <w:t>related delivery technologies. Pursuant to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and as of December 31, 2017, we have certain rights under 37 U.S. patents, 64 pending U.S. patent applications, 11 European patents and related validations, 38 pending European patent applications, and other related patent applications in jurisdictions outside of the United States and Europe.</w:t>
      </w:r>
    </w:p>
    <w:p>
      <w:pPr>
        <w:spacing w:after="0" w:line="162"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Pursuant to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Harvard and Broad granted us an 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w:t>
      </w:r>
    </w:p>
    <w:p>
      <w:pPr>
        <w:spacing w:after="0" w:line="183" w:lineRule="exact"/>
        <w:rPr>
          <w:sz w:val="20"/>
          <w:szCs w:val="20"/>
          <w:color w:val="auto"/>
        </w:rPr>
      </w:pPr>
      <w:r>
        <w:rPr>
          <w:rFonts w:ascii="Arial" w:cs="Arial" w:eastAsia="Arial" w:hAnsi="Arial"/>
          <w:sz w:val="17"/>
          <w:szCs w:val="17"/>
          <w:color w:val="auto"/>
        </w:rPr>
        <w:t>sublicensable license to the Harvard/Broad Cas9</w:t>
      </w:r>
      <w:r>
        <w:rPr>
          <w:rFonts w:ascii="MS PGothic" w:cs="MS PGothic" w:eastAsia="MS PGothic" w:hAnsi="MS PGothic"/>
          <w:sz w:val="17"/>
          <w:szCs w:val="17"/>
          <w:color w:val="auto"/>
        </w:rPr>
        <w:t>‑</w:t>
      </w:r>
      <w:r>
        <w:rPr>
          <w:rFonts w:ascii="Arial" w:cs="Arial" w:eastAsia="Arial" w:hAnsi="Arial"/>
          <w:sz w:val="17"/>
          <w:szCs w:val="17"/>
          <w:color w:val="auto"/>
        </w:rPr>
        <w:t>I Patent Rights to make, have made, use, sell, offer for sale, have sold,</w:t>
      </w:r>
    </w:p>
    <w:p>
      <w:pPr>
        <w:spacing w:after="0" w:line="229" w:lineRule="auto"/>
        <w:rPr>
          <w:sz w:val="20"/>
          <w:szCs w:val="20"/>
          <w:color w:val="auto"/>
        </w:rPr>
      </w:pPr>
      <w:r>
        <w:rPr>
          <w:rFonts w:ascii="Arial" w:cs="Arial" w:eastAsia="Arial" w:hAnsi="Arial"/>
          <w:sz w:val="16"/>
          <w:szCs w:val="16"/>
          <w:color w:val="auto"/>
        </w:rPr>
        <w:t>import, and export products and services in the field of the prevention and treatment of human disease, subject to certain</w:t>
      </w:r>
    </w:p>
    <w:p>
      <w:pPr>
        <w:spacing w:after="0" w:line="216" w:lineRule="auto"/>
        <w:rPr>
          <w:sz w:val="20"/>
          <w:szCs w:val="20"/>
          <w:color w:val="auto"/>
        </w:rPr>
      </w:pPr>
      <w:r>
        <w:rPr>
          <w:rFonts w:ascii="Arial" w:cs="Arial" w:eastAsia="Arial" w:hAnsi="Arial"/>
          <w:sz w:val="17"/>
          <w:szCs w:val="17"/>
          <w:color w:val="auto"/>
        </w:rPr>
        <w:t>limitations and retained rights. The exclusive license granted by Broad and Harvard excludes certain fields, including the</w:t>
      </w:r>
    </w:p>
    <w:p>
      <w:pPr>
        <w:spacing w:after="0" w:line="229" w:lineRule="auto"/>
        <w:rPr>
          <w:sz w:val="20"/>
          <w:szCs w:val="20"/>
          <w:color w:val="auto"/>
        </w:rPr>
      </w:pPr>
      <w:r>
        <w:rPr>
          <w:rFonts w:ascii="Arial" w:cs="Arial" w:eastAsia="Arial" w:hAnsi="Arial"/>
          <w:sz w:val="16"/>
          <w:szCs w:val="16"/>
          <w:color w:val="auto"/>
        </w:rPr>
        <w:t>modification of animals or animal cells for the creation and sale of organs suitable for xenotransplantation into humans; the</w:t>
      </w:r>
    </w:p>
    <w:p>
      <w:pPr>
        <w:spacing w:after="0" w:line="176" w:lineRule="exact"/>
        <w:rPr>
          <w:sz w:val="20"/>
          <w:szCs w:val="20"/>
          <w:color w:val="auto"/>
        </w:rPr>
      </w:pPr>
      <w:r>
        <w:rPr>
          <w:rFonts w:ascii="Arial" w:cs="Arial" w:eastAsia="Arial" w:hAnsi="Arial"/>
          <w:sz w:val="17"/>
          <w:szCs w:val="17"/>
          <w:color w:val="auto"/>
        </w:rPr>
        <w:t>research, development and commercialization of products or services in the field of livestock applications; plant</w:t>
      </w:r>
      <w:r>
        <w:rPr>
          <w:rFonts w:ascii="MS PGothic" w:cs="MS PGothic" w:eastAsia="MS PGothic" w:hAnsi="MS PGothic"/>
          <w:sz w:val="17"/>
          <w:szCs w:val="17"/>
          <w:color w:val="auto"/>
        </w:rPr>
        <w:t>‑</w:t>
      </w:r>
      <w:r>
        <w:rPr>
          <w:rFonts w:ascii="Arial" w:cs="Arial" w:eastAsia="Arial" w:hAnsi="Arial"/>
          <w:sz w:val="17"/>
          <w:szCs w:val="17"/>
          <w:color w:val="auto"/>
        </w:rPr>
        <w:t>based</w:t>
      </w:r>
    </w:p>
    <w:p>
      <w:pPr>
        <w:spacing w:after="0" w:line="215" w:lineRule="auto"/>
        <w:rPr>
          <w:sz w:val="20"/>
          <w:szCs w:val="20"/>
          <w:color w:val="auto"/>
        </w:rPr>
      </w:pPr>
      <w:r>
        <w:rPr>
          <w:rFonts w:ascii="Arial" w:cs="Arial" w:eastAsia="Arial" w:hAnsi="Arial"/>
          <w:sz w:val="17"/>
          <w:szCs w:val="17"/>
          <w:color w:val="auto"/>
        </w:rPr>
        <w:t>agricultural products; and, subject to certain limitations, products providing nutritional benefits. Moreover, the license</w:t>
      </w:r>
    </w:p>
    <w:p>
      <w:pPr>
        <w:spacing w:after="0" w:line="176" w:lineRule="exact"/>
        <w:rPr>
          <w:sz w:val="20"/>
          <w:szCs w:val="20"/>
          <w:color w:val="auto"/>
        </w:rPr>
      </w:pPr>
      <w:r>
        <w:rPr>
          <w:rFonts w:ascii="Arial" w:cs="Arial" w:eastAsia="Arial" w:hAnsi="Arial"/>
          <w:sz w:val="16"/>
          <w:szCs w:val="16"/>
          <w:color w:val="auto"/>
        </w:rPr>
        <w:t>granted by Broad is non</w:t>
      </w:r>
      <w:r>
        <w:rPr>
          <w:rFonts w:ascii="MS PGothic" w:cs="MS PGothic" w:eastAsia="MS PGothic" w:hAnsi="MS PGothic"/>
          <w:sz w:val="16"/>
          <w:szCs w:val="16"/>
          <w:color w:val="auto"/>
        </w:rPr>
        <w:t>‑</w:t>
      </w:r>
      <w:r>
        <w:rPr>
          <w:rFonts w:ascii="Arial" w:cs="Arial" w:eastAsia="Arial" w:hAnsi="Arial"/>
          <w:sz w:val="16"/>
          <w:szCs w:val="16"/>
          <w:color w:val="auto"/>
        </w:rPr>
        <w:t>exclusive with respect to the treatment of medullary cystic kidney disease 1 and three other specified</w:t>
      </w:r>
    </w:p>
    <w:p>
      <w:pPr>
        <w:spacing w:after="0" w:line="204" w:lineRule="auto"/>
        <w:rPr>
          <w:sz w:val="20"/>
          <w:szCs w:val="20"/>
          <w:color w:val="auto"/>
        </w:rPr>
      </w:pPr>
      <w:r>
        <w:rPr>
          <w:rFonts w:ascii="Arial" w:cs="Arial" w:eastAsia="Arial" w:hAnsi="Arial"/>
          <w:sz w:val="18"/>
          <w:szCs w:val="18"/>
          <w:color w:val="auto"/>
        </w:rPr>
        <w:t>targets, subject to the limitation that for such three targets, each of Broad and Harvard is only permitted to grant a</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exclusive license to one third party at a time with respect to each such target within the field of exclusive license granted</w:t>
      </w:r>
    </w:p>
    <w:p>
      <w:pPr>
        <w:spacing w:after="0" w:line="176" w:lineRule="exact"/>
        <w:rPr>
          <w:sz w:val="20"/>
          <w:szCs w:val="20"/>
          <w:color w:val="auto"/>
        </w:rPr>
      </w:pPr>
      <w:r>
        <w:rPr>
          <w:rFonts w:ascii="Arial" w:cs="Arial" w:eastAsia="Arial" w:hAnsi="Arial"/>
          <w:sz w:val="17"/>
          <w:szCs w:val="17"/>
          <w:color w:val="auto"/>
        </w:rPr>
        <w:t>to us. Harvard and Broad also granted us a non</w:t>
      </w:r>
      <w:r>
        <w:rPr>
          <w:rFonts w:ascii="MS PGothic" w:cs="MS PGothic" w:eastAsia="MS PGothic" w:hAnsi="MS PGothic"/>
          <w:sz w:val="17"/>
          <w:szCs w:val="17"/>
          <w:color w:val="auto"/>
        </w:rPr>
        <w:t>‑</w:t>
      </w:r>
      <w:r>
        <w:rPr>
          <w:rFonts w:ascii="Arial" w:cs="Arial" w:eastAsia="Arial" w:hAnsi="Arial"/>
          <w:sz w:val="17"/>
          <w:szCs w:val="17"/>
          <w:color w:val="auto"/>
        </w:rPr>
        <w:t>exclusive, worldwide, royalty</w:t>
      </w:r>
      <w:r>
        <w:rPr>
          <w:rFonts w:ascii="MS PGothic" w:cs="MS PGothic" w:eastAsia="MS PGothic" w:hAnsi="MS PGothic"/>
          <w:sz w:val="17"/>
          <w:szCs w:val="17"/>
          <w:color w:val="auto"/>
        </w:rPr>
        <w:t>‑</w:t>
      </w:r>
      <w:r>
        <w:rPr>
          <w:rFonts w:ascii="Arial" w:cs="Arial" w:eastAsia="Arial" w:hAnsi="Arial"/>
          <w:sz w:val="17"/>
          <w:szCs w:val="17"/>
          <w:color w:val="auto"/>
        </w:rPr>
        <w:t>bearing, sublicensable license to the</w:t>
      </w:r>
    </w:p>
    <w:p>
      <w:pPr>
        <w:spacing w:after="0" w:line="176" w:lineRule="exact"/>
        <w:rPr>
          <w:sz w:val="20"/>
          <w:szCs w:val="20"/>
          <w:color w:val="auto"/>
        </w:rPr>
      </w:pPr>
      <w:r>
        <w:rPr>
          <w:rFonts w:ascii="Arial" w:cs="Arial" w:eastAsia="Arial" w:hAnsi="Arial"/>
          <w:sz w:val="17"/>
          <w:szCs w:val="17"/>
          <w:color w:val="auto"/>
        </w:rPr>
        <w:t>Harvard/Broad Cas9</w:t>
      </w:r>
      <w:r>
        <w:rPr>
          <w:rFonts w:ascii="MS PGothic" w:cs="MS PGothic" w:eastAsia="MS PGothic" w:hAnsi="MS PGothic"/>
          <w:sz w:val="17"/>
          <w:szCs w:val="17"/>
          <w:color w:val="auto"/>
        </w:rPr>
        <w:t>‑</w:t>
      </w:r>
      <w:r>
        <w:rPr>
          <w:rFonts w:ascii="Arial" w:cs="Arial" w:eastAsia="Arial" w:hAnsi="Arial"/>
          <w:sz w:val="17"/>
          <w:szCs w:val="17"/>
          <w:color w:val="auto"/>
        </w:rPr>
        <w:t>I Patent Rights for all purposes, with the exception that the non</w:t>
      </w:r>
      <w:r>
        <w:rPr>
          <w:rFonts w:ascii="MS PGothic" w:cs="MS PGothic" w:eastAsia="MS PGothic" w:hAnsi="MS PGothic"/>
          <w:sz w:val="17"/>
          <w:szCs w:val="17"/>
          <w:color w:val="auto"/>
        </w:rPr>
        <w:t>‑</w:t>
      </w:r>
      <w:r>
        <w:rPr>
          <w:rFonts w:ascii="Arial" w:cs="Arial" w:eastAsia="Arial" w:hAnsi="Arial"/>
          <w:sz w:val="17"/>
          <w:szCs w:val="17"/>
          <w:color w:val="auto"/>
        </w:rPr>
        <w:t>exclusive license to certain Harvard</w:t>
      </w:r>
    </w:p>
    <w:p>
      <w:pPr>
        <w:spacing w:after="0" w:line="176" w:lineRule="exact"/>
        <w:rPr>
          <w:sz w:val="20"/>
          <w:szCs w:val="20"/>
          <w:color w:val="auto"/>
        </w:rPr>
      </w:pPr>
      <w:r>
        <w:rPr>
          <w:rFonts w:ascii="Arial" w:cs="Arial" w:eastAsia="Arial" w:hAnsi="Arial"/>
          <w:sz w:val="17"/>
          <w:szCs w:val="17"/>
          <w:color w:val="auto"/>
        </w:rPr>
        <w:t>Cas9</w:t>
      </w:r>
      <w:r>
        <w:rPr>
          <w:rFonts w:ascii="MS PGothic" w:cs="MS PGothic" w:eastAsia="MS PGothic" w:hAnsi="MS PGothic"/>
          <w:sz w:val="17"/>
          <w:szCs w:val="17"/>
          <w:color w:val="auto"/>
        </w:rPr>
        <w:t>‑</w:t>
      </w:r>
      <w:r>
        <w:rPr>
          <w:rFonts w:ascii="Arial" w:cs="Arial" w:eastAsia="Arial" w:hAnsi="Arial"/>
          <w:sz w:val="17"/>
          <w:szCs w:val="17"/>
          <w:color w:val="auto"/>
        </w:rPr>
        <w:t>I Patent Rights excludes the modification of animals or animal cells for the creation and sale of organs suitable for</w:t>
      </w:r>
    </w:p>
    <w:p>
      <w:pPr>
        <w:spacing w:after="0" w:line="229" w:lineRule="auto"/>
        <w:rPr>
          <w:sz w:val="20"/>
          <w:szCs w:val="20"/>
          <w:color w:val="auto"/>
        </w:rPr>
      </w:pPr>
      <w:r>
        <w:rPr>
          <w:rFonts w:ascii="Arial" w:cs="Arial" w:eastAsia="Arial" w:hAnsi="Arial"/>
          <w:sz w:val="16"/>
          <w:szCs w:val="16"/>
          <w:color w:val="auto"/>
        </w:rPr>
        <w:t>xenotransplantation into humans and the development and commercialization of products or services in the field of livestock</w:t>
      </w:r>
    </w:p>
    <w:p>
      <w:pPr>
        <w:spacing w:after="0" w:line="229" w:lineRule="auto"/>
        <w:rPr>
          <w:sz w:val="20"/>
          <w:szCs w:val="20"/>
          <w:color w:val="auto"/>
        </w:rPr>
      </w:pPr>
      <w:r>
        <w:rPr>
          <w:rFonts w:ascii="Arial" w:cs="Arial" w:eastAsia="Arial" w:hAnsi="Arial"/>
          <w:sz w:val="16"/>
          <w:szCs w:val="16"/>
          <w:color w:val="auto"/>
        </w:rPr>
        <w:t>applications. In addition to the exclusions described above, the following are excluded from the scope of both the exclusive</w:t>
      </w:r>
    </w:p>
    <w:p>
      <w:pPr>
        <w:spacing w:after="0" w:line="176" w:lineRule="exact"/>
        <w:rPr>
          <w:sz w:val="20"/>
          <w:szCs w:val="20"/>
          <w:color w:val="auto"/>
        </w:rPr>
      </w:pPr>
      <w:r>
        <w:rPr>
          <w:rFonts w:ascii="Arial" w:cs="Arial" w:eastAsia="Arial" w:hAnsi="Arial"/>
          <w:sz w:val="16"/>
          <w:szCs w:val="16"/>
          <w:color w:val="auto"/>
        </w:rPr>
        <w:t>and non</w:t>
      </w:r>
      <w:r>
        <w:rPr>
          <w:rFonts w:ascii="MS PGothic" w:cs="MS PGothic" w:eastAsia="MS PGothic" w:hAnsi="MS PGothic"/>
          <w:sz w:val="16"/>
          <w:szCs w:val="16"/>
          <w:color w:val="auto"/>
        </w:rPr>
        <w:t>‑</w:t>
      </w:r>
      <w:r>
        <w:rPr>
          <w:rFonts w:ascii="Arial" w:cs="Arial" w:eastAsia="Arial" w:hAnsi="Arial"/>
          <w:sz w:val="16"/>
          <w:szCs w:val="16"/>
          <w:color w:val="auto"/>
        </w:rPr>
        <w:t>exclusive licenses granted to us under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human germline modification; the stimulation</w:t>
      </w:r>
    </w:p>
    <w:p>
      <w:pPr>
        <w:spacing w:after="0" w:line="216" w:lineRule="auto"/>
        <w:rPr>
          <w:sz w:val="20"/>
          <w:szCs w:val="20"/>
          <w:color w:val="auto"/>
        </w:rPr>
      </w:pPr>
      <w:r>
        <w:rPr>
          <w:rFonts w:ascii="Arial" w:cs="Arial" w:eastAsia="Arial" w:hAnsi="Arial"/>
          <w:sz w:val="17"/>
          <w:szCs w:val="17"/>
          <w:color w:val="auto"/>
        </w:rPr>
        <w:t>of biased inheritance of particular genes or traits within a population of plants or animals; the research, development,</w:t>
      </w:r>
    </w:p>
    <w:p>
      <w:pPr>
        <w:spacing w:after="0"/>
        <w:rPr>
          <w:sz w:val="20"/>
          <w:szCs w:val="20"/>
          <w:color w:val="auto"/>
        </w:rPr>
      </w:pPr>
      <w:r>
        <w:rPr>
          <w:rFonts w:ascii="Arial" w:cs="Arial" w:eastAsia="Arial" w:hAnsi="Arial"/>
          <w:sz w:val="17"/>
          <w:szCs w:val="17"/>
          <w:color w:val="auto"/>
        </w:rPr>
        <w:t>manufacturing, or commercialization of sterile seeds; and the modification of the tobacco plant with specified exceptions.</w:t>
      </w:r>
    </w:p>
    <w:p>
      <w:pPr>
        <w:spacing w:after="0" w:line="180" w:lineRule="exact"/>
        <w:rPr>
          <w:sz w:val="20"/>
          <w:szCs w:val="20"/>
          <w:color w:val="auto"/>
        </w:rPr>
      </w:pPr>
    </w:p>
    <w:p>
      <w:pPr>
        <w:ind w:right="220" w:firstLine="648"/>
        <w:spacing w:after="0" w:line="185" w:lineRule="exact"/>
        <w:rPr>
          <w:sz w:val="20"/>
          <w:szCs w:val="20"/>
          <w:color w:val="auto"/>
        </w:rPr>
      </w:pPr>
      <w:r>
        <w:rPr>
          <w:rFonts w:ascii="Arial" w:cs="Arial" w:eastAsia="Arial" w:hAnsi="Arial"/>
          <w:sz w:val="17"/>
          <w:szCs w:val="17"/>
          <w:color w:val="auto"/>
        </w:rPr>
        <w:t>We are obligated to use commercially reasonable efforts to research, develop, and commercialize products for the prevention or treatment of human disease under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Also, we are required to achieve certain development milestones within specified time periods for products incorporating the CRISPR/Cas9, TAL, and delivery</w:t>
      </w:r>
      <w:r>
        <w:rPr>
          <w:rFonts w:ascii="MS PGothic" w:cs="MS PGothic" w:eastAsia="MS PGothic" w:hAnsi="MS PGothic"/>
          <w:sz w:val="17"/>
          <w:szCs w:val="17"/>
          <w:color w:val="auto"/>
        </w:rPr>
        <w:t>‑</w:t>
      </w:r>
      <w:r>
        <w:rPr>
          <w:rFonts w:ascii="Arial" w:cs="Arial" w:eastAsia="Arial" w:hAnsi="Arial"/>
          <w:sz w:val="17"/>
          <w:szCs w:val="17"/>
          <w:color w:val="auto"/>
        </w:rPr>
        <w:t>related technologies covered by the Harvard/Broad Cas9</w:t>
      </w:r>
      <w:r>
        <w:rPr>
          <w:rFonts w:ascii="MS PGothic" w:cs="MS PGothic" w:eastAsia="MS PGothic" w:hAnsi="MS PGothic"/>
          <w:sz w:val="17"/>
          <w:szCs w:val="17"/>
          <w:color w:val="auto"/>
        </w:rPr>
        <w:t>‑</w:t>
      </w:r>
      <w:r>
        <w:rPr>
          <w:rFonts w:ascii="Arial" w:cs="Arial" w:eastAsia="Arial" w:hAnsi="Arial"/>
          <w:sz w:val="17"/>
          <w:szCs w:val="17"/>
          <w:color w:val="auto"/>
        </w:rPr>
        <w:t>I Patent Rights. Harvard and Broad have the right to terminate our license with respect to the Harvard/Broad Cas9</w:t>
      </w:r>
      <w:r>
        <w:rPr>
          <w:rFonts w:ascii="MS PGothic" w:cs="MS PGothic" w:eastAsia="MS PGothic" w:hAnsi="MS PGothic"/>
          <w:sz w:val="17"/>
          <w:szCs w:val="17"/>
          <w:color w:val="auto"/>
        </w:rPr>
        <w:t>‑</w:t>
      </w:r>
      <w:r>
        <w:rPr>
          <w:rFonts w:ascii="Arial" w:cs="Arial" w:eastAsia="Arial" w:hAnsi="Arial"/>
          <w:sz w:val="17"/>
          <w:szCs w:val="17"/>
          <w:color w:val="auto"/>
        </w:rPr>
        <w:t>I Patent Rights covering the technology or technologies with respect to which we fail to achieve these development milestones.</w:t>
      </w:r>
    </w:p>
    <w:p>
      <w:pPr>
        <w:spacing w:after="0" w:line="165"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The licenses granted by Broad and Harvard to us under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are subject to retained rights of the U.S. government in the Harvard/Broad Cas9</w:t>
      </w:r>
      <w:r>
        <w:rPr>
          <w:rFonts w:ascii="MS PGothic" w:cs="MS PGothic" w:eastAsia="MS PGothic" w:hAnsi="MS PGothic"/>
          <w:sz w:val="17"/>
          <w:szCs w:val="17"/>
          <w:color w:val="auto"/>
        </w:rPr>
        <w:t>‑</w:t>
      </w:r>
      <w:r>
        <w:rPr>
          <w:rFonts w:ascii="Arial" w:cs="Arial" w:eastAsia="Arial" w:hAnsi="Arial"/>
          <w:sz w:val="17"/>
          <w:szCs w:val="17"/>
          <w:color w:val="auto"/>
        </w:rPr>
        <w:t>I Patent Rights and the rights retained by Broad, Harvard, MIT, and Rockefeller on behalf of themselves and other academic, government and non</w:t>
      </w:r>
      <w:r>
        <w:rPr>
          <w:rFonts w:ascii="MS PGothic" w:cs="MS PGothic" w:eastAsia="MS PGothic" w:hAnsi="MS PGothic"/>
          <w:sz w:val="17"/>
          <w:szCs w:val="17"/>
          <w:color w:val="auto"/>
        </w:rPr>
        <w:t>‑</w:t>
      </w:r>
      <w:r>
        <w:rPr>
          <w:rFonts w:ascii="Arial" w:cs="Arial" w:eastAsia="Arial" w:hAnsi="Arial"/>
          <w:sz w:val="17"/>
          <w:szCs w:val="17"/>
          <w:color w:val="auto"/>
        </w:rPr>
        <w:t>profit entities, to practice the Harvard/Broad Cas9</w:t>
      </w:r>
      <w:r>
        <w:rPr>
          <w:rFonts w:ascii="MS PGothic" w:cs="MS PGothic" w:eastAsia="MS PGothic" w:hAnsi="MS PGothic"/>
          <w:sz w:val="17"/>
          <w:szCs w:val="17"/>
          <w:color w:val="auto"/>
        </w:rPr>
        <w:t>‑</w:t>
      </w:r>
      <w:r>
        <w:rPr>
          <w:rFonts w:ascii="Arial" w:cs="Arial" w:eastAsia="Arial" w:hAnsi="Arial"/>
          <w:sz w:val="17"/>
          <w:szCs w:val="17"/>
          <w:color w:val="auto"/>
        </w:rPr>
        <w:t>I Patent Rights for research, educational, or teaching purposes. In addition, certain rights granted to us under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are further subject to a non</w:t>
      </w:r>
      <w:r>
        <w:rPr>
          <w:rFonts w:ascii="MS PGothic" w:cs="MS PGothic" w:eastAsia="MS PGothic" w:hAnsi="MS PGothic"/>
          <w:sz w:val="17"/>
          <w:szCs w:val="17"/>
          <w:color w:val="auto"/>
        </w:rPr>
        <w:t>‑</w:t>
      </w:r>
      <w:r>
        <w:rPr>
          <w:rFonts w:ascii="Arial" w:cs="Arial" w:eastAsia="Arial" w:hAnsi="Arial"/>
          <w:sz w:val="17"/>
          <w:szCs w:val="17"/>
          <w:color w:val="auto"/>
        </w:rPr>
        <w:t>exclusive license to the Howard Hughes Medical Institute for research purposes. Our exclusive license rights also are subject to rights retained by Broad, Harvard, MIT,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194" w:lineRule="exact"/>
        <w:rPr>
          <w:sz w:val="20"/>
          <w:szCs w:val="20"/>
          <w:color w:val="auto"/>
        </w:rPr>
      </w:pPr>
      <w:r>
        <w:rPr>
          <w:rFonts w:ascii="Arial" w:cs="Arial" w:eastAsia="Arial" w:hAnsi="Arial"/>
          <w:sz w:val="18"/>
          <w:szCs w:val="18"/>
          <w:color w:val="auto"/>
        </w:rPr>
        <w:t>and Rockefeller any third party to research, develop, make, have made, use, offer for sale, sell, have sold, import or otherwise exploit the Harvard/Broad Cas9</w:t>
      </w:r>
      <w:r>
        <w:rPr>
          <w:rFonts w:ascii="MS PGothic" w:cs="MS PGothic" w:eastAsia="MS PGothic" w:hAnsi="MS PGothic"/>
          <w:sz w:val="18"/>
          <w:szCs w:val="18"/>
          <w:color w:val="auto"/>
        </w:rPr>
        <w:t>‑</w:t>
      </w:r>
      <w:r>
        <w:rPr>
          <w:rFonts w:ascii="Arial" w:cs="Arial" w:eastAsia="Arial" w:hAnsi="Arial"/>
          <w:sz w:val="18"/>
          <w:szCs w:val="18"/>
          <w:color w:val="auto"/>
        </w:rPr>
        <w:t>I Patent Rights and licensed products as research products or research tools, or for research purposes.</w:t>
      </w:r>
    </w:p>
    <w:p>
      <w:pPr>
        <w:spacing w:after="0" w:line="163" w:lineRule="exact"/>
        <w:rPr>
          <w:sz w:val="20"/>
          <w:szCs w:val="20"/>
          <w:color w:val="auto"/>
        </w:rPr>
      </w:pPr>
    </w:p>
    <w:p>
      <w:pPr>
        <w:ind w:right="180" w:firstLine="648"/>
        <w:spacing w:after="0" w:line="183" w:lineRule="exact"/>
        <w:rPr>
          <w:sz w:val="20"/>
          <w:szCs w:val="20"/>
          <w:color w:val="auto"/>
        </w:rPr>
      </w:pPr>
      <w:r>
        <w:rPr>
          <w:rFonts w:ascii="Arial" w:cs="Arial" w:eastAsia="Arial" w:hAnsi="Arial"/>
          <w:sz w:val="18"/>
          <w:szCs w:val="18"/>
          <w:color w:val="auto"/>
        </w:rPr>
        <w:t>We have the right to sublicense our licensed rights provided that the sublicense agreement must be in compliance and consistent with the terms of the Cas9</w:t>
      </w:r>
      <w:r>
        <w:rPr>
          <w:rFonts w:ascii="MS PGothic" w:cs="MS PGothic" w:eastAsia="MS PGothic" w:hAnsi="MS PGothic"/>
          <w:sz w:val="18"/>
          <w:szCs w:val="18"/>
          <w:color w:val="auto"/>
        </w:rPr>
        <w:t>‑</w:t>
      </w:r>
      <w:r>
        <w:rPr>
          <w:rFonts w:ascii="Arial" w:cs="Arial" w:eastAsia="Arial" w:hAnsi="Arial"/>
          <w:sz w:val="18"/>
          <w:szCs w:val="18"/>
          <w:color w:val="auto"/>
        </w:rPr>
        <w:t>I License Agreement. Any sublicense agreement cannot include the right to grant further sublicenses without the written consent of Broad and Harvard. In addition, any sublicense agreements must contain certain terms, including a provision requiring the sublicensee to indemnify Harvard, Broad, MIT, and Howard Hughes Medical Institute according to the same terms as are provided in the Cas9</w:t>
      </w:r>
      <w:r>
        <w:rPr>
          <w:rFonts w:ascii="MS PGothic" w:cs="MS PGothic" w:eastAsia="MS PGothic" w:hAnsi="MS PGothic"/>
          <w:sz w:val="18"/>
          <w:szCs w:val="18"/>
          <w:color w:val="auto"/>
        </w:rPr>
        <w:t>‑</w:t>
      </w:r>
      <w:r>
        <w:rPr>
          <w:rFonts w:ascii="Arial" w:cs="Arial" w:eastAsia="Arial" w:hAnsi="Arial"/>
          <w:sz w:val="18"/>
          <w:szCs w:val="18"/>
          <w:color w:val="auto"/>
        </w:rPr>
        <w:t>I License Agreement and a statement that Broad, Harvard, MIT, and Howard Hughes Medical Institute are intended third party beneficiaries of the sublicense agreement for certain purposes.</w:t>
      </w:r>
    </w:p>
    <w:p>
      <w:pPr>
        <w:spacing w:after="0" w:line="165"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Under the agreement, Harvard and Broad also retained rights to grant further licenses under specified circumstances to third parties, other than specified entities, that wish to develop and commercialize products that target a particular gene and that otherwise would fall within the scope of our exclusive license from Harvard and Broad. If a third party requests a license under the Harvard/Broad Cas9</w:t>
      </w:r>
      <w:r>
        <w:rPr>
          <w:rFonts w:ascii="MS PGothic" w:cs="MS PGothic" w:eastAsia="MS PGothic" w:hAnsi="MS PGothic"/>
          <w:sz w:val="16"/>
          <w:szCs w:val="16"/>
          <w:color w:val="auto"/>
        </w:rPr>
        <w:t>‑</w:t>
      </w:r>
      <w:r>
        <w:rPr>
          <w:rFonts w:ascii="Arial" w:cs="Arial" w:eastAsia="Arial" w:hAnsi="Arial"/>
          <w:sz w:val="16"/>
          <w:szCs w:val="16"/>
          <w:color w:val="auto"/>
        </w:rPr>
        <w:t>I Patent Rights for the development and commercialization of a product that would be subject to our exclusive license grant from Harvard and Broad under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Harvard and Broad may notify us of the request (the “Cas9</w:t>
      </w:r>
      <w:r>
        <w:rPr>
          <w:rFonts w:ascii="MS PGothic" w:cs="MS PGothic" w:eastAsia="MS PGothic" w:hAnsi="MS PGothic"/>
          <w:sz w:val="16"/>
          <w:szCs w:val="16"/>
          <w:color w:val="auto"/>
        </w:rPr>
        <w:t>‑</w:t>
      </w:r>
      <w:r>
        <w:rPr>
          <w:rFonts w:ascii="Arial" w:cs="Arial" w:eastAsia="Arial" w:hAnsi="Arial"/>
          <w:sz w:val="16"/>
          <w:szCs w:val="16"/>
          <w:color w:val="auto"/>
        </w:rPr>
        <w:t>I Third Party Proposed Product Requests”). A Cas9</w:t>
      </w:r>
      <w:r>
        <w:rPr>
          <w:rFonts w:ascii="MS PGothic" w:cs="MS PGothic" w:eastAsia="MS PGothic" w:hAnsi="MS PGothic"/>
          <w:sz w:val="16"/>
          <w:szCs w:val="16"/>
          <w:color w:val="auto"/>
        </w:rPr>
        <w:t>‑</w:t>
      </w:r>
      <w:r>
        <w:rPr>
          <w:rFonts w:ascii="Arial" w:cs="Arial" w:eastAsia="Arial" w:hAnsi="Arial"/>
          <w:sz w:val="16"/>
          <w:szCs w:val="16"/>
          <w:color w:val="auto"/>
        </w:rPr>
        <w:t>I Third Party Proposed Product Request must be accompanied by a research, development and commercialization plan reasonably satisfactory to Harvard and Broad, including evidence that the third party has, or reasonably expects to have, access to any necessary intellectual property and funding. Harvard and Broad may not grant a Cas9</w:t>
      </w:r>
      <w:r>
        <w:rPr>
          <w:rFonts w:ascii="MS PGothic" w:cs="MS PGothic" w:eastAsia="MS PGothic" w:hAnsi="MS PGothic"/>
          <w:sz w:val="16"/>
          <w:szCs w:val="16"/>
          <w:color w:val="auto"/>
        </w:rPr>
        <w:t>‑</w:t>
      </w:r>
      <w:r>
        <w:rPr>
          <w:rFonts w:ascii="Arial" w:cs="Arial" w:eastAsia="Arial" w:hAnsi="Arial"/>
          <w:sz w:val="16"/>
          <w:szCs w:val="16"/>
          <w:color w:val="auto"/>
        </w:rPr>
        <w:t>I Third Party Proposed Product Request (i) if we, directly or through any of our affiliates, sublicensees, or collaborators are researching, developing, or commercializing a product directed to the same gene target that is the subject of the Cas9</w:t>
      </w:r>
      <w:r>
        <w:rPr>
          <w:rFonts w:ascii="MS PGothic" w:cs="MS PGothic" w:eastAsia="MS PGothic" w:hAnsi="MS PGothic"/>
          <w:sz w:val="16"/>
          <w:szCs w:val="16"/>
          <w:color w:val="auto"/>
        </w:rPr>
        <w:t>‑</w:t>
      </w:r>
      <w:r>
        <w:rPr>
          <w:rFonts w:ascii="Arial" w:cs="Arial" w:eastAsia="Arial" w:hAnsi="Arial"/>
          <w:sz w:val="16"/>
          <w:szCs w:val="16"/>
          <w:color w:val="auto"/>
        </w:rPr>
        <w:t>I Third Party Proposed Product Request (“Cas9</w:t>
      </w:r>
      <w:r>
        <w:rPr>
          <w:rFonts w:ascii="MS PGothic" w:cs="MS PGothic" w:eastAsia="MS PGothic" w:hAnsi="MS PGothic"/>
          <w:sz w:val="16"/>
          <w:szCs w:val="16"/>
          <w:color w:val="auto"/>
        </w:rPr>
        <w:t>‑</w:t>
      </w:r>
      <w:r>
        <w:rPr>
          <w:rFonts w:ascii="Arial" w:cs="Arial" w:eastAsia="Arial" w:hAnsi="Arial"/>
          <w:sz w:val="16"/>
          <w:szCs w:val="16"/>
          <w:color w:val="auto"/>
        </w:rPr>
        <w:t>I Licensee Product”) and we can demonstrate such ongoing efforts to Harvard’s and Broad’s reasonable satisfaction, or (ii) if we, directly or through any of our affiliates or sublicensees, wish to do so either alone or with a collaboration partner, and we can demonstrate to Harvard and Broad’s reasonable satisfaction that we are interested in researching, developing, and commercializing the Cas9</w:t>
      </w:r>
      <w:r>
        <w:rPr>
          <w:rFonts w:ascii="MS PGothic" w:cs="MS PGothic" w:eastAsia="MS PGothic" w:hAnsi="MS PGothic"/>
          <w:sz w:val="16"/>
          <w:szCs w:val="16"/>
          <w:color w:val="auto"/>
        </w:rPr>
        <w:t>‑</w:t>
      </w:r>
      <w:r>
        <w:rPr>
          <w:rFonts w:ascii="Arial" w:cs="Arial" w:eastAsia="Arial" w:hAnsi="Arial"/>
          <w:sz w:val="16"/>
          <w:szCs w:val="16"/>
          <w:color w:val="auto"/>
        </w:rPr>
        <w:t>I Licensee Product, that we have a commercially reasonable research, development, and commercialization plan to do so, and we commence and continue reasonable commercial efforts under such plan. If we, directly or through any of our affiliates, sublicensees, or collaborators, are not researching, developing, or commercializing a Cas9</w:t>
      </w:r>
      <w:r>
        <w:rPr>
          <w:rFonts w:ascii="MS PGothic" w:cs="MS PGothic" w:eastAsia="MS PGothic" w:hAnsi="MS PGothic"/>
          <w:sz w:val="16"/>
          <w:szCs w:val="16"/>
          <w:color w:val="auto"/>
        </w:rPr>
        <w:t>‑</w:t>
      </w:r>
      <w:r>
        <w:rPr>
          <w:rFonts w:ascii="Arial" w:cs="Arial" w:eastAsia="Arial" w:hAnsi="Arial"/>
          <w:sz w:val="16"/>
          <w:szCs w:val="16"/>
          <w:color w:val="auto"/>
        </w:rPr>
        <w:t>I Licensee Product nor able to develop and implement a plan reasonably satisfactory to Harvard and Broad, Harvard and Broad may grant an exclusive or non</w:t>
      </w:r>
      <w:r>
        <w:rPr>
          <w:rFonts w:ascii="MS PGothic" w:cs="MS PGothic" w:eastAsia="MS PGothic" w:hAnsi="MS PGothic"/>
          <w:sz w:val="16"/>
          <w:szCs w:val="16"/>
          <w:color w:val="auto"/>
        </w:rPr>
        <w:t>‑</w:t>
      </w:r>
      <w:r>
        <w:rPr>
          <w:rFonts w:ascii="Arial" w:cs="Arial" w:eastAsia="Arial" w:hAnsi="Arial"/>
          <w:sz w:val="16"/>
          <w:szCs w:val="16"/>
          <w:color w:val="auto"/>
        </w:rPr>
        <w:t>exclusive license to the third party on a gene target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gene target basis. Beginning in December 2018, our process to address Cas9</w:t>
      </w:r>
      <w:r>
        <w:rPr>
          <w:rFonts w:ascii="MS PGothic" w:cs="MS PGothic" w:eastAsia="MS PGothic" w:hAnsi="MS PGothic"/>
          <w:sz w:val="16"/>
          <w:szCs w:val="16"/>
          <w:color w:val="auto"/>
        </w:rPr>
        <w:t>‑</w:t>
      </w:r>
      <w:r>
        <w:rPr>
          <w:rFonts w:ascii="Arial" w:cs="Arial" w:eastAsia="Arial" w:hAnsi="Arial"/>
          <w:sz w:val="16"/>
          <w:szCs w:val="16"/>
          <w:color w:val="auto"/>
        </w:rPr>
        <w:t>I Third Party Proposed Product Requests will conform to the process established in our Cpf1 license agreement described below.</w:t>
      </w:r>
    </w:p>
    <w:p>
      <w:pPr>
        <w:spacing w:after="0" w:line="168"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also provides Broad with the right, after a specified period of time and subject to certain limitations, to designate gene targets for which Broad, whether alone or together with an affiliate or third party, has an interest in researching and developing products that would otherwise be covered by rights licensed to us under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Broad may not so designate any gene target for which we, directly or through any of our affiliates, sublicensees, or collaborators, are researching, developing, or commercializing a product, or for which we can demonstrate to Broad’s reasonable satisfaction that we are interested in researching, developing, and commercializing a product, that we have a commercially reasonable research, development, and commercialization plan to do so, and we commence and continue reasonable commercial efforts under such plan. If we directly or through any of our affiliates, sublicensees, or collaborators, are not researching, developing, or commercializing a product directed toward the gene target designated by Broad and are not able to develop and implement a plan reasonably satisfactory to Broad, Broad is entitled to reserve all rights under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including the right to grant exclusive or non</w:t>
      </w:r>
      <w:r>
        <w:rPr>
          <w:rFonts w:ascii="MS PGothic" w:cs="MS PGothic" w:eastAsia="MS PGothic" w:hAnsi="MS PGothic"/>
          <w:sz w:val="17"/>
          <w:szCs w:val="17"/>
          <w:color w:val="auto"/>
        </w:rPr>
        <w:t>‑</w:t>
      </w:r>
      <w:r>
        <w:rPr>
          <w:rFonts w:ascii="Arial" w:cs="Arial" w:eastAsia="Arial" w:hAnsi="Arial"/>
          <w:sz w:val="17"/>
          <w:szCs w:val="17"/>
          <w:color w:val="auto"/>
        </w:rPr>
        <w:t>exclusive licenses to third parties, to develop and commercialize products directed to such gene target and our license granted with respect to such gene target will terminate, and we will not be entitled under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to develop and commercialize products directed to that gene target.</w:t>
      </w:r>
    </w:p>
    <w:p>
      <w:pPr>
        <w:spacing w:after="0" w:line="165" w:lineRule="exact"/>
        <w:rPr>
          <w:sz w:val="20"/>
          <w:szCs w:val="20"/>
          <w:color w:val="auto"/>
        </w:rPr>
      </w:pPr>
    </w:p>
    <w:p>
      <w:pPr>
        <w:ind w:right="40" w:firstLine="648"/>
        <w:spacing w:after="0" w:line="187" w:lineRule="exact"/>
        <w:rPr>
          <w:sz w:val="20"/>
          <w:szCs w:val="20"/>
          <w:color w:val="auto"/>
        </w:rPr>
      </w:pPr>
      <w:r>
        <w:rPr>
          <w:rFonts w:ascii="Arial" w:cs="Arial" w:eastAsia="Arial" w:hAnsi="Arial"/>
          <w:sz w:val="16"/>
          <w:szCs w:val="16"/>
          <w:color w:val="auto"/>
        </w:rPr>
        <w:t>Under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we paid Broad and Harvard an upfront license fee in the low six figures and issued a single</w:t>
      </w:r>
      <w:r>
        <w:rPr>
          <w:rFonts w:ascii="MS PGothic" w:cs="MS PGothic" w:eastAsia="MS PGothic" w:hAnsi="MS PGothic"/>
          <w:sz w:val="16"/>
          <w:szCs w:val="16"/>
          <w:color w:val="auto"/>
        </w:rPr>
        <w:t>‑</w:t>
      </w:r>
      <w:r>
        <w:rPr>
          <w:rFonts w:ascii="Arial" w:cs="Arial" w:eastAsia="Arial" w:hAnsi="Arial"/>
          <w:sz w:val="16"/>
          <w:szCs w:val="16"/>
          <w:color w:val="auto"/>
        </w:rPr>
        <w:t>digit percentage of shares of our common stock to Broad (with Broad holding a right to request re</w:t>
      </w:r>
      <w:r>
        <w:rPr>
          <w:rFonts w:ascii="MS PGothic" w:cs="MS PGothic" w:eastAsia="MS PGothic" w:hAnsi="MS PGothic"/>
          <w:sz w:val="16"/>
          <w:szCs w:val="16"/>
          <w:color w:val="auto"/>
        </w:rPr>
        <w:t>‑</w:t>
      </w:r>
      <w:r>
        <w:rPr>
          <w:rFonts w:ascii="Arial" w:cs="Arial" w:eastAsia="Arial" w:hAnsi="Arial"/>
          <w:sz w:val="16"/>
          <w:szCs w:val="16"/>
          <w:color w:val="auto"/>
        </w:rPr>
        <w:t>issuance to its designees, including MIT or MIT’s designee) and Harvard. We also must pay an annual license maintenance fee ranging from the low</w:t>
      </w:r>
      <w:r>
        <w:rPr>
          <w:rFonts w:ascii="MS PGothic" w:cs="MS PGothic" w:eastAsia="MS PGothic" w:hAnsi="MS PGothic"/>
          <w:sz w:val="16"/>
          <w:szCs w:val="16"/>
          <w:color w:val="auto"/>
        </w:rPr>
        <w:t>‑</w:t>
      </w:r>
      <w:r>
        <w:rPr>
          <w:rFonts w:ascii="Arial" w:cs="Arial" w:eastAsia="Arial" w:hAnsi="Arial"/>
          <w:sz w:val="16"/>
          <w:szCs w:val="16"/>
          <w:color w:val="auto"/>
        </w:rPr>
        <w:t xml:space="preserve"> to mid</w:t>
      </w:r>
      <w:r>
        <w:rPr>
          <w:rFonts w:ascii="MS PGothic" w:cs="MS PGothic" w:eastAsia="MS PGothic" w:hAnsi="MS PGothic"/>
          <w:sz w:val="16"/>
          <w:szCs w:val="16"/>
          <w:color w:val="auto"/>
        </w:rPr>
        <w:t>‑</w:t>
      </w:r>
      <w:r>
        <w:rPr>
          <w:rFonts w:ascii="Arial" w:cs="Arial" w:eastAsia="Arial" w:hAnsi="Arial"/>
          <w:sz w:val="16"/>
          <w:szCs w:val="16"/>
          <w:color w:val="auto"/>
        </w:rPr>
        <w:t>five figures to the low</w:t>
      </w:r>
      <w:r>
        <w:rPr>
          <w:rFonts w:ascii="MS PGothic" w:cs="MS PGothic" w:eastAsia="MS PGothic" w:hAnsi="MS PGothic"/>
          <w:sz w:val="16"/>
          <w:szCs w:val="16"/>
          <w:color w:val="auto"/>
        </w:rPr>
        <w:t>‑</w:t>
      </w:r>
      <w:r>
        <w:rPr>
          <w:rFonts w:ascii="Arial" w:cs="Arial" w:eastAsia="Arial" w:hAnsi="Arial"/>
          <w:sz w:val="16"/>
          <w:szCs w:val="16"/>
          <w:color w:val="auto"/>
        </w:rPr>
        <w:t>six figures, depending on the calendar year. This annual license maintenance fee is creditable against royalties owed on licensed products and services in the same year as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80"/>
        <w:spacing w:after="0" w:line="184" w:lineRule="exact"/>
        <w:rPr>
          <w:sz w:val="20"/>
          <w:szCs w:val="20"/>
          <w:color w:val="auto"/>
        </w:rPr>
      </w:pPr>
      <w:r>
        <w:rPr>
          <w:rFonts w:ascii="Arial" w:cs="Arial" w:eastAsia="Arial" w:hAnsi="Arial"/>
          <w:sz w:val="16"/>
          <w:szCs w:val="16"/>
          <w:color w:val="auto"/>
        </w:rPr>
        <w:t>the maintenance fee is paid. We are obligated to reimburse Broad and Harvard for expenses associated with the prosecution and maintenance of the Harvard/Broad Cas9</w:t>
      </w:r>
      <w:r>
        <w:rPr>
          <w:rFonts w:ascii="MS PGothic" w:cs="MS PGothic" w:eastAsia="MS PGothic" w:hAnsi="MS PGothic"/>
          <w:sz w:val="16"/>
          <w:szCs w:val="16"/>
          <w:color w:val="auto"/>
        </w:rPr>
        <w:t>‑</w:t>
      </w:r>
      <w:r>
        <w:rPr>
          <w:rFonts w:ascii="Arial" w:cs="Arial" w:eastAsia="Arial" w:hAnsi="Arial"/>
          <w:sz w:val="16"/>
          <w:szCs w:val="16"/>
          <w:color w:val="auto"/>
        </w:rPr>
        <w:t xml:space="preserve">I Patent Rights, including expenses associated with any interference proceedings in the USPTO, any opposition proceedings in the EPO, or any other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or other post grant proceedings in these or other jurisdictions where we are seeking patent protection. Therefore, we are obligated to reimburse Broad and/or Harvard for expenses associated with the interference and opposition proceedings involving patents licensed to us under this agreement (described in more detail under “Legal Proceedings” in Part I, Item 3 of this Annual Report on Form 10-K).</w:t>
      </w:r>
    </w:p>
    <w:p>
      <w:pPr>
        <w:spacing w:after="0" w:line="166"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Broad and Harvard are collectively entitled to receive clinical and regulatory milestone payments totaling up to $14.8 million in the aggregate per licensed product approved in the United States, the European Union and Japan for the prevention or treatment of a human disease that afflicts at least a specified number of patients in the aggregate in the United States. If we undergo a change of control during the term of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these clinical and regulatory milestone payments will be increased by a certain percentage in the mid double</w:t>
      </w:r>
      <w:r>
        <w:rPr>
          <w:rFonts w:ascii="MS PGothic" w:cs="MS PGothic" w:eastAsia="MS PGothic" w:hAnsi="MS PGothic"/>
          <w:sz w:val="16"/>
          <w:szCs w:val="16"/>
          <w:color w:val="auto"/>
        </w:rPr>
        <w:t>‑</w:t>
      </w:r>
      <w:r>
        <w:rPr>
          <w:rFonts w:ascii="Arial" w:cs="Arial" w:eastAsia="Arial" w:hAnsi="Arial"/>
          <w:sz w:val="16"/>
          <w:szCs w:val="16"/>
          <w:color w:val="auto"/>
        </w:rPr>
        <w:t>digits. We are also obligated to make additional payments to Broad and Harvard, collectively, of up to an aggregate of $54.0 million upon the occurrence of certain sales milestones per licensed product for the prevention or treatment of a human disease that afflicts at least a specified number of patients in the aggregate in the United States. Broad and Harvard are collectively entitled to receive clinical and regulatory milestone payments totaling up to $4.1 million in the aggregate per licensed product approved in the United States and at least one jurisdiction outside the United States for the prevention or treatment of a human disease that afflicts fewer than a specified number of patients in the aggregate in the United States or a specified number of patients per year in the United States, which we refer to as an ultra</w:t>
      </w:r>
      <w:r>
        <w:rPr>
          <w:rFonts w:ascii="MS PGothic" w:cs="MS PGothic" w:eastAsia="MS PGothic" w:hAnsi="MS PGothic"/>
          <w:sz w:val="16"/>
          <w:szCs w:val="16"/>
          <w:color w:val="auto"/>
        </w:rPr>
        <w:t>‑</w:t>
      </w:r>
      <w:r>
        <w:rPr>
          <w:rFonts w:ascii="Arial" w:cs="Arial" w:eastAsia="Arial" w:hAnsi="Arial"/>
          <w:sz w:val="16"/>
          <w:szCs w:val="16"/>
          <w:color w:val="auto"/>
        </w:rPr>
        <w:t>orphan disease. We are also obligated to make additional payments to Broad and Harvard, collectively, of up to an aggregate of $36.0 million upon the occurrence of certain sales milestones per licensed product for the prevention or treatment of an ultra</w:t>
      </w:r>
      <w:r>
        <w:rPr>
          <w:rFonts w:ascii="MS PGothic" w:cs="MS PGothic" w:eastAsia="MS PGothic" w:hAnsi="MS PGothic"/>
          <w:sz w:val="16"/>
          <w:szCs w:val="16"/>
          <w:color w:val="auto"/>
        </w:rPr>
        <w:t>‑</w:t>
      </w:r>
      <w:r>
        <w:rPr>
          <w:rFonts w:ascii="Arial" w:cs="Arial" w:eastAsia="Arial" w:hAnsi="Arial"/>
          <w:sz w:val="16"/>
          <w:szCs w:val="16"/>
          <w:color w:val="auto"/>
        </w:rPr>
        <w:t>orphan disease.</w:t>
      </w:r>
    </w:p>
    <w:p>
      <w:pPr>
        <w:spacing w:after="0" w:line="163"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Broad and Harvard, collectively, are entitled to receive mid single</w:t>
      </w:r>
      <w:r>
        <w:rPr>
          <w:rFonts w:ascii="MS PGothic" w:cs="MS PGothic" w:eastAsia="MS PGothic" w:hAnsi="MS PGothic"/>
          <w:sz w:val="16"/>
          <w:szCs w:val="16"/>
          <w:color w:val="auto"/>
        </w:rPr>
        <w:t>‑</w:t>
      </w:r>
      <w:r>
        <w:rPr>
          <w:rFonts w:ascii="Arial" w:cs="Arial" w:eastAsia="Arial" w:hAnsi="Arial"/>
          <w:sz w:val="16"/>
          <w:szCs w:val="16"/>
          <w:color w:val="auto"/>
        </w:rPr>
        <w:t>digit percentage royalties on net sales of licensed products for the prevention or treatment of human disease, and ranging from low single</w:t>
      </w:r>
      <w:r>
        <w:rPr>
          <w:rFonts w:ascii="MS PGothic" w:cs="MS PGothic" w:eastAsia="MS PGothic" w:hAnsi="MS PGothic"/>
          <w:sz w:val="16"/>
          <w:szCs w:val="16"/>
          <w:color w:val="auto"/>
        </w:rPr>
        <w:t>‑</w:t>
      </w:r>
      <w:r>
        <w:rPr>
          <w:rFonts w:ascii="Arial" w:cs="Arial" w:eastAsia="Arial" w:hAnsi="Arial"/>
          <w:sz w:val="16"/>
          <w:szCs w:val="16"/>
          <w:color w:val="auto"/>
        </w:rPr>
        <w:t>digit to high single</w:t>
      </w:r>
      <w:r>
        <w:rPr>
          <w:rFonts w:ascii="MS PGothic" w:cs="MS PGothic" w:eastAsia="MS PGothic" w:hAnsi="MS PGothic"/>
          <w:sz w:val="16"/>
          <w:szCs w:val="16"/>
          <w:color w:val="auto"/>
        </w:rPr>
        <w:t>‑</w:t>
      </w:r>
      <w:r>
        <w:rPr>
          <w:rFonts w:ascii="Arial" w:cs="Arial" w:eastAsia="Arial" w:hAnsi="Arial"/>
          <w:sz w:val="16"/>
          <w:szCs w:val="16"/>
          <w:color w:val="auto"/>
        </w:rPr>
        <w:t>digit percentage royalties on net sales of other licensed products and services, made by us, our affiliates, or our sublicensees. The royalty percentage depends on the licensed product and licensed service, and whether such licensed product or licensed service is covered by a valid claim within the Harvard/Broad Cas9</w:t>
      </w:r>
      <w:r>
        <w:rPr>
          <w:rFonts w:ascii="MS PGothic" w:cs="MS PGothic" w:eastAsia="MS PGothic" w:hAnsi="MS PGothic"/>
          <w:sz w:val="16"/>
          <w:szCs w:val="16"/>
          <w:color w:val="auto"/>
        </w:rPr>
        <w:t>‑</w:t>
      </w:r>
      <w:r>
        <w:rPr>
          <w:rFonts w:ascii="Arial" w:cs="Arial" w:eastAsia="Arial" w:hAnsi="Arial"/>
          <w:sz w:val="16"/>
          <w:szCs w:val="16"/>
          <w:color w:val="auto"/>
        </w:rPr>
        <w:t>I Patent Rights. If we are legally required to pay royalties to a third party on net sales of our licensed products because such third party holds patent rights that cover such licensed product, then we can credit up to a mid double</w:t>
      </w:r>
      <w:r>
        <w:rPr>
          <w:rFonts w:ascii="MS PGothic" w:cs="MS PGothic" w:eastAsia="MS PGothic" w:hAnsi="MS PGothic"/>
          <w:sz w:val="16"/>
          <w:szCs w:val="16"/>
          <w:color w:val="auto"/>
        </w:rPr>
        <w:t>‑</w:t>
      </w:r>
      <w:r>
        <w:rPr>
          <w:rFonts w:ascii="Arial" w:cs="Arial" w:eastAsia="Arial" w:hAnsi="Arial"/>
          <w:sz w:val="16"/>
          <w:szCs w:val="16"/>
          <w:color w:val="auto"/>
        </w:rPr>
        <w:t>digit percentage of the amount paid to such third party against the royalties due to Harvard and Broad in the same period. Our obligation to pay royalties will expire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upon the later of the expiration of the last to expire valid claim of the Harvard/Broad Cas9</w:t>
      </w:r>
      <w:r>
        <w:rPr>
          <w:rFonts w:ascii="MS PGothic" w:cs="MS PGothic" w:eastAsia="MS PGothic" w:hAnsi="MS PGothic"/>
          <w:sz w:val="16"/>
          <w:szCs w:val="16"/>
          <w:color w:val="auto"/>
        </w:rPr>
        <w:t>‑</w:t>
      </w:r>
      <w:r>
        <w:rPr>
          <w:rFonts w:ascii="Arial" w:cs="Arial" w:eastAsia="Arial" w:hAnsi="Arial"/>
          <w:sz w:val="16"/>
          <w:szCs w:val="16"/>
          <w:color w:val="auto"/>
        </w:rPr>
        <w:t>I Patent Rights that cover the composition, manufacture, or use of each covered product or service in each country or the tenth anniversary of the date of the first commercial sale of the licensed product or licensed service. If we sublicense any of the Harvard/Broad Cas9</w:t>
      </w:r>
      <w:r>
        <w:rPr>
          <w:rFonts w:ascii="MS PGothic" w:cs="MS PGothic" w:eastAsia="MS PGothic" w:hAnsi="MS PGothic"/>
          <w:sz w:val="16"/>
          <w:szCs w:val="16"/>
          <w:color w:val="auto"/>
        </w:rPr>
        <w:t>‑</w:t>
      </w:r>
      <w:r>
        <w:rPr>
          <w:rFonts w:ascii="Arial" w:cs="Arial" w:eastAsia="Arial" w:hAnsi="Arial"/>
          <w:sz w:val="16"/>
          <w:szCs w:val="16"/>
          <w:color w:val="auto"/>
        </w:rPr>
        <w:t>I Patent Rights to a third party pursuant to our exclusive license under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Broad and Harvard, collectively, have the right to receive a low double</w:t>
      </w:r>
      <w:r>
        <w:rPr>
          <w:rFonts w:ascii="MS PGothic" w:cs="MS PGothic" w:eastAsia="MS PGothic" w:hAnsi="MS PGothic"/>
          <w:sz w:val="16"/>
          <w:szCs w:val="16"/>
          <w:color w:val="auto"/>
        </w:rPr>
        <w:t>‑</w:t>
      </w:r>
      <w:r>
        <w:rPr>
          <w:rFonts w:ascii="Arial" w:cs="Arial" w:eastAsia="Arial" w:hAnsi="Arial"/>
          <w:sz w:val="16"/>
          <w:szCs w:val="16"/>
          <w:color w:val="auto"/>
        </w:rPr>
        <w:t>digit percentage of the sublicense income, which percentage decreases to a high single</w:t>
      </w:r>
      <w:r>
        <w:rPr>
          <w:rFonts w:ascii="MS PGothic" w:cs="MS PGothic" w:eastAsia="MS PGothic" w:hAnsi="MS PGothic"/>
          <w:sz w:val="16"/>
          <w:szCs w:val="16"/>
          <w:color w:val="auto"/>
        </w:rPr>
        <w:t>‑</w:t>
      </w:r>
      <w:r>
        <w:rPr>
          <w:rFonts w:ascii="Arial" w:cs="Arial" w:eastAsia="Arial" w:hAnsi="Arial"/>
          <w:sz w:val="16"/>
          <w:szCs w:val="16"/>
          <w:color w:val="auto"/>
        </w:rPr>
        <w:t>digit percentage for licensed products for the prevention or treatment of human disease under sublicenses executed after we meet certain clinical milestones.</w:t>
      </w:r>
    </w:p>
    <w:p>
      <w:pPr>
        <w:spacing w:after="0" w:line="170"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Broad and Harvard retain control of the prosecution of their respective patent rights. If an interference is declared or a derivation proceeding is initiated, with respect to any Harvard/Broad Cas9</w:t>
      </w:r>
      <w:r>
        <w:rPr>
          <w:rFonts w:ascii="MS PGothic" w:cs="MS PGothic" w:eastAsia="MS PGothic" w:hAnsi="MS PGothic"/>
          <w:sz w:val="17"/>
          <w:szCs w:val="17"/>
          <w:color w:val="auto"/>
        </w:rPr>
        <w:t>‑</w:t>
      </w:r>
      <w:r>
        <w:rPr>
          <w:rFonts w:ascii="Arial" w:cs="Arial" w:eastAsia="Arial" w:hAnsi="Arial"/>
          <w:sz w:val="17"/>
          <w:szCs w:val="17"/>
          <w:color w:val="auto"/>
        </w:rPr>
        <w:t xml:space="preserve">I Patent Rights, then our prosecution related rights, including our right to receive correspondence from a patent office, will be suspended with respect to the patent rights involved in the interference or derivation proceeding until, under some circumstances, we enter into a common interest agreement with that institution. Nevertheless, we remain responsible for the cost of such interference or derivation proceeding. An interference was filed with respect to 12 U.S. patents and one U.S. patent application that are co-owned by Broad and MIT, and in some cases, Harvard, in-licensed by us under the Cas9-I License Agreement. For more information regarding this interference proceeding, see </w:t>
      </w:r>
      <w:r>
        <w:rPr>
          <w:rFonts w:ascii="Arial" w:cs="Arial" w:eastAsia="Arial" w:hAnsi="Arial"/>
          <w:sz w:val="17"/>
          <w:szCs w:val="17"/>
          <w:i w:val="1"/>
          <w:iCs w:val="1"/>
          <w:color w:val="auto"/>
        </w:rPr>
        <w:t>Intellectual Property</w:t>
      </w:r>
      <w:r>
        <w:rPr>
          <w:rFonts w:ascii="Arial" w:cs="Arial" w:eastAsia="Arial" w:hAnsi="Arial"/>
          <w:sz w:val="17"/>
          <w:szCs w:val="17"/>
          <w:color w:val="auto"/>
        </w:rPr>
        <w:t xml:space="preserve"> below, “Risk Factors—Risks Related to Our Intellectual Property” in Part I, Item 1A, and “Legal Proceedings” in Part I, Item 3. We are responsible for the cost of the interference proceeding and appeal with respect to these patents and this patent application. Broad and Harvard are required to maintain any application or patent within the Harvard/Broad Patents Rights so long as we meet our obligation to reimburse Broad and Harvard for expenses related to prosecution and there is a good faith basis for doing so. If we cease payment for the prosecution of any Harvard/Broad Patent Right, then any license granted to us with respect to such Harvard/Broad Patent Right will terminate.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187" w:lineRule="exact"/>
        <w:rPr>
          <w:sz w:val="20"/>
          <w:szCs w:val="20"/>
          <w:color w:val="auto"/>
        </w:rPr>
      </w:pPr>
      <w:r>
        <w:rPr>
          <w:rFonts w:ascii="Arial" w:cs="Arial" w:eastAsia="Arial" w:hAnsi="Arial"/>
          <w:sz w:val="16"/>
          <w:szCs w:val="16"/>
          <w:color w:val="auto"/>
        </w:rPr>
        <w:t>We have the first right, but not the obligation, to enforce the Harvard/Broad Cas9</w:t>
      </w:r>
      <w:r>
        <w:rPr>
          <w:rFonts w:ascii="MS PGothic" w:cs="MS PGothic" w:eastAsia="MS PGothic" w:hAnsi="MS PGothic"/>
          <w:sz w:val="16"/>
          <w:szCs w:val="16"/>
          <w:color w:val="auto"/>
        </w:rPr>
        <w:t>‑</w:t>
      </w:r>
      <w:r>
        <w:rPr>
          <w:rFonts w:ascii="Arial" w:cs="Arial" w:eastAsia="Arial" w:hAnsi="Arial"/>
          <w:sz w:val="16"/>
          <w:szCs w:val="16"/>
          <w:color w:val="auto"/>
        </w:rPr>
        <w:t>I Patent Rights with respect to our licensed products so long as certain conditions are met, such as providing Broad and Harvard with evidence demonstrating a good faith basis for bringing suit against a third party. We are solely responsible for the costs of any lawsuits we elect to initiate and cannot enter into a settlement without the prior written consent of Broad and Harvard (and MIT and Rockefeller, if applicable). Any sums recovered in such lawsuits will be shared between us, Broad, and Harvard.</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Unless terminated earlier, the term of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will expire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upon the expiration of the last to expire valid claim of the Harvard/Broad Cas9</w:t>
      </w:r>
      <w:r>
        <w:rPr>
          <w:rFonts w:ascii="MS PGothic" w:cs="MS PGothic" w:eastAsia="MS PGothic" w:hAnsi="MS PGothic"/>
          <w:sz w:val="17"/>
          <w:szCs w:val="17"/>
          <w:color w:val="auto"/>
        </w:rPr>
        <w:t>‑</w:t>
      </w:r>
      <w:r>
        <w:rPr>
          <w:rFonts w:ascii="Arial" w:cs="Arial" w:eastAsia="Arial" w:hAnsi="Arial"/>
          <w:sz w:val="17"/>
          <w:szCs w:val="17"/>
          <w:color w:val="auto"/>
        </w:rPr>
        <w:t>I Patent Rights in such country. However, our royalty obligations, discussed above, may survive expiration or termination. We have the right to terminate the agreement at will upon four months’ written notice to Broad and Harvard. Broad and Harvard may terminate the agreement upon a specified period of notice in the event of our uncured material breach, such notice period varying depending on the nature of the breach. Both Broad and Harvard may terminate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immediately if we challenge the enforceability, validity, or scope of any Harvard/Broad Patent Right or assist a third party to do so, or in the event of our bankruptcy or insolvency. Neither Broad nor Harvard acting alone has the right to terminate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However, Broad and Harvard may separately terminate the licenses granted to us with respect to their respective patent rights upon the occurrence of the same events that would give rise to the right of both institutions acting collectively to terminate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Broad Institute—Cpf1 License Agreement</w:t>
      </w:r>
    </w:p>
    <w:p>
      <w:pPr>
        <w:spacing w:after="0" w:line="18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In December 2016, we entered into a license agreement with Broad, for specified patent rights (“Cpf1 Patent Rights”) related primarily to Cpf1 compositions of matter and their use for gene editing (the “Cpf1 License Agreement”). Pursuant to the Cpf1 License Agreement, Broad, on behalf of itself, Harvard, MIT, Wageningen University (“Wageningen”), and the University of Tokyo (“Tokyo” and collectively with the other institutions, the “Cpf1 Institutions”) granted us an 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the Cpf1 Patent Rights, to make, have made, use, have used, sell, offer for sale, have sold, export and import products solely in the field of the prevention or treatment of human disease using gene therapy, editing of genetic material, or targeting of genetic material, subject to certain limitations and retained rights (collectively, the “Exclusive Cpf1 Field”), as well as a non</w:t>
      </w:r>
      <w:r>
        <w:rPr>
          <w:rFonts w:ascii="MS PGothic" w:cs="MS PGothic" w:eastAsia="MS PGothic" w:hAnsi="MS PGothic"/>
          <w:sz w:val="16"/>
          <w:szCs w:val="16"/>
          <w:color w:val="auto"/>
        </w:rPr>
        <w:t>‑</w:t>
      </w:r>
      <w:r>
        <w:rPr>
          <w:rFonts w:ascii="Arial" w:cs="Arial" w:eastAsia="Arial" w:hAnsi="Arial"/>
          <w:sz w:val="16"/>
          <w:szCs w:val="16"/>
          <w:color w:val="auto"/>
        </w:rPr>
        <w:t>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the Cpf1 Patent Rights for all other purposes, subject to certain limitations and retained rights. The licenses granted to us under the Cpf1 License Agreement exclude certain fields, including human germline modification; the stimulation of biased inheritance of particular genes or traits within a population of plants or animals; the research, development, manufacturing, or commercialization of sterile seeds; and the modification of the tobacco plant with specified exceptions.</w:t>
      </w:r>
    </w:p>
    <w:p>
      <w:pPr>
        <w:spacing w:after="0" w:line="170"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Tokyo and the National Institute of Health (“NIH”) are joint owners on certain Cpf1 Patent Rights. Broad has only granted a license to us with respect to its interests and to Tokyo’s interests in these U.S. patent applications but not to any foreign equivalents thereof. Broad does not, and does not purport to, grant any rights in NIH’s interest in these U.S. patent applications under our agreement. As a result, we may not have exclusive rights under any U.S. patents that issue from these U.S. patent applications and we may not have any rights under any foreign patents that issue from any foreign equivalents thereof.</w:t>
      </w:r>
    </w:p>
    <w:p>
      <w:pPr>
        <w:spacing w:after="0" w:line="16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Pursuant to the Cpf1 License Agreement, and as of December 31, 2017, we have certain rights under one U.S. patent, three pending U.S. patent applications, one European patent and related validations, two pending European patent applications, five pending PCT patent applications, and other related patent applications in jurisdictions outside of the United States and Europe.</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are obligated to use commercially reasonable efforts to research, develop, and commercialize licensed products in the Exclusive Cpf1 Field. We are also required to achieve certain development milestones within specified time periods for products covered by the Cpf1 Patent Rights, with Broad having the right to terminate the Cpf1 License Agreement if we fail to achieve these milestones within the required time periods. We have the right to sublicense our licensed rights provided that the sublicense agreement must be in compliance and consistent with the terms of the Cpf1 License Agreement. Any sublicense agreement cannot include the right to grant further sublicenses without the written consent of Broad. In addition, any sublicense agreements must contain certain terms, including a provision requiring the sublicensee to indemnify the Cpf1 Institutions according to the same terms as are provided in the Cpf1 License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Agreement and a statement that the Cpf1 Institutions are intended third party beneficiaries of the sublicense agreement for certain purposes.</w:t>
      </w:r>
    </w:p>
    <w:p>
      <w:pPr>
        <w:spacing w:after="0" w:line="162" w:lineRule="exact"/>
        <w:rPr>
          <w:sz w:val="20"/>
          <w:szCs w:val="20"/>
          <w:color w:val="auto"/>
        </w:rPr>
      </w:pPr>
    </w:p>
    <w:p>
      <w:pPr>
        <w:ind w:right="160" w:firstLine="648"/>
        <w:spacing w:after="0" w:line="185" w:lineRule="exact"/>
        <w:rPr>
          <w:sz w:val="20"/>
          <w:szCs w:val="20"/>
          <w:color w:val="auto"/>
        </w:rPr>
      </w:pPr>
      <w:r>
        <w:rPr>
          <w:rFonts w:ascii="Arial" w:cs="Arial" w:eastAsia="Arial" w:hAnsi="Arial"/>
          <w:sz w:val="17"/>
          <w:szCs w:val="17"/>
          <w:color w:val="auto"/>
        </w:rPr>
        <w:t>The licenses granted to us under the Cpf1 License Agreement are subject to retained rights of the U.S. government in the Cpf1 Patent Rights and rights retained by the Cpf1 Institutions on behalf of themselves and other academic, government and non</w:t>
      </w:r>
      <w:r>
        <w:rPr>
          <w:rFonts w:ascii="MS PGothic" w:cs="MS PGothic" w:eastAsia="MS PGothic" w:hAnsi="MS PGothic"/>
          <w:sz w:val="17"/>
          <w:szCs w:val="17"/>
          <w:color w:val="auto"/>
        </w:rPr>
        <w:t>‑</w:t>
      </w:r>
      <w:r>
        <w:rPr>
          <w:rFonts w:ascii="Arial" w:cs="Arial" w:eastAsia="Arial" w:hAnsi="Arial"/>
          <w:sz w:val="17"/>
          <w:szCs w:val="17"/>
          <w:color w:val="auto"/>
        </w:rPr>
        <w:t>profit entities, to practice the Cpf1 Patent Rights for research, teaching, or educational purposes. Our exclusive license rights also are subject to rights retained by the Cpf1 Institutions for themselves and any third party to research, develop, make, have made, use, offer for sale, sell, have sold, import or otherwise exploit the Cpf1 Patent Rights and licensed products as research products or research tools, or for research purposes.</w:t>
      </w:r>
    </w:p>
    <w:p>
      <w:pPr>
        <w:spacing w:after="0" w:line="165"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Under the Cpf1 License Agreement, Broad also retained rights to grant further licenses under specified circumstances to third parties that wish to develop and commercialize products that target a particular gene and that otherwise would fall within the scope of our exclusive license from Broad. Beginning in December 2018, if a third party requests a license under the Cpf1 Patent Rights for the development and commercialization of a product that would be subject to our exclusive license grant from Broad (a “Cpf1 Third Party Proposed Product Request”), Broad may notify us of such request. A Cpf1 Third Party Proposed Product Request must be accompanied by a research, development and commercialization plan reasonably satisfactory to Broad, including evidence that the third party has, or reasonably expects to have, access to any necessary intellectual property and funding. Broad may not grant a Cpf1 Third Party Proposed Product Request (i) if we, directly or through any of our affiliates, sublicensees, or collaborators are researching, developing, or commercializing a product directed to the same gene target that is the subject of the Cpf1Third Party Proposed Product Request (“Cpf1 Licensee Product”) and we can demonstrate such ongoing efforts to Broad’s reasonable satisfaction, or (ii) if we, directly or through any of our affiliates or sublicensees, wish to do so either alone or with a collaboration partner, and we can demonstrate to Broad’s reasonable satisfaction that we are interested in researching, developing, and commercializing a Cpf1 Licensee Product, that we have a commercially reasonable research, development, and commercialization plan to do so, and we commence and continue reasonable commercial efforts under such plan. If we, directly or through any of our affiliates, sublicensees, or collaborators, are not researching, developing, or commercializing a Cpf1 Licensee Product nor able to develop and implement a plan reasonably satisfactory to Broad, Broad may grant an exclusive or non</w:t>
      </w:r>
      <w:r>
        <w:rPr>
          <w:rFonts w:ascii="MS PGothic" w:cs="MS PGothic" w:eastAsia="MS PGothic" w:hAnsi="MS PGothic"/>
          <w:sz w:val="16"/>
          <w:szCs w:val="16"/>
          <w:color w:val="auto"/>
        </w:rPr>
        <w:t>‑</w:t>
      </w:r>
      <w:r>
        <w:rPr>
          <w:rFonts w:ascii="Arial" w:cs="Arial" w:eastAsia="Arial" w:hAnsi="Arial"/>
          <w:sz w:val="16"/>
          <w:szCs w:val="16"/>
          <w:color w:val="auto"/>
        </w:rPr>
        <w:t>exclusive license to the third party on a gene target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gene target basis.</w:t>
      </w:r>
    </w:p>
    <w:p>
      <w:pPr>
        <w:spacing w:after="0" w:line="24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The Cpf1 License Agreement also provides Broad with the right, beginning in December 2017 and subject to certain limitations, to designate gene targets for which Broad, whether alone or together with a Cpf1 Institution, affiliate or third party, has an interest in researching and developing products that would otherwise be covered by rights licensed to us under the Cpf1 License Agreement. Broad may not so designate any gene target for which we, directly or through any of our affiliates, sublicensees, or collaborators, are researching, developing, or commercializing a product, or for which we can demonstrate to Broad’s reasonable satisfaction that we are interested in researching, developing, and commercializing a product, that we have a commercially reasonable research, development, and commercialization plan to do so, and we commence and continue reasonable commercial efforts under such plan. If we, directly or through any of our affiliates, sublicensees, or collaborators, are not researching, developing, or commercializing a product directed toward the gene target designated by Broad and are not able to develop and implement a plan reasonably satisfactory to Broad, Broad is entitled to reserve all rights under the Cpf1 License Agreement, including the right to grant exclusive or non</w:t>
      </w:r>
      <w:r>
        <w:rPr>
          <w:rFonts w:ascii="MS PGothic" w:cs="MS PGothic" w:eastAsia="MS PGothic" w:hAnsi="MS PGothic"/>
          <w:sz w:val="17"/>
          <w:szCs w:val="17"/>
          <w:color w:val="auto"/>
        </w:rPr>
        <w:t>‑</w:t>
      </w:r>
      <w:r>
        <w:rPr>
          <w:rFonts w:ascii="Arial" w:cs="Arial" w:eastAsia="Arial" w:hAnsi="Arial"/>
          <w:sz w:val="17"/>
          <w:szCs w:val="17"/>
          <w:color w:val="auto"/>
        </w:rPr>
        <w:t>exclusive licenses to third parties, to develop and commercialize products directed to such gene target, our license with respect to such gene target will terminate, and we will not be entitled under the Cpf1 License Agreement to develop and commercialize products directed to such gene target.</w:t>
      </w:r>
    </w:p>
    <w:p>
      <w:pPr>
        <w:spacing w:after="0" w:line="16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Under the Cpf1 License Agreement, we paid Broad and Wageningen an aggregate upfront license fee in the mid seven digits and issued to Broad and Wageningen promissory notes (the “Initial Promissory Notes”) in an aggregate principal amount of $10.0 million. The Initial Promissory Notes bore interest at 4.8% per annum. Principal and interest on the Initial Promissory Notes were payable on the first anniversary of the issuance date (or if earlier, a specified period of time following a sale of our company). We could elect to make any payment of amounts outstanding under the Initial Promissory Notes either in the form of cash or, subject to certain conditions, in shares of our common stock of equal value, with such shares being valued for such purpose at the closing price of our common stock as reported the Nasdaq Stock Market for the trading day immediately preceding the date of such payment if our common stock was then listed on the Nasdaq Stock Market. In the event of a change of control of our company or a sale of our company, we were required to pay all remaining principal and accrued interest on the Initial Promissory Notes in cash within a specified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period following such event. We settled the Initial Promissory Notes in shares of our common stock in 2017 and they are no longer outstanding.</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Broad and Wageningen are collectively entitled to receive clinical and regulatory milestone payments totaling up to $20.0 million in the aggregate per licensed product approved in the United States, the European Union and Japan for the prevention or treatment of a human disease that afflicts at least a specified number of patients in the aggregate in the United States. If we undergo a change of control during the term of the Cpf1 License Agreement, certain of these clinical and regulatory milestone payments will be increased by a certain percentage in the mid double</w:t>
      </w:r>
      <w:r>
        <w:rPr>
          <w:rFonts w:ascii="MS PGothic" w:cs="MS PGothic" w:eastAsia="MS PGothic" w:hAnsi="MS PGothic"/>
          <w:sz w:val="16"/>
          <w:szCs w:val="16"/>
          <w:color w:val="auto"/>
        </w:rPr>
        <w:t>‑</w:t>
      </w:r>
      <w:r>
        <w:rPr>
          <w:rFonts w:ascii="Arial" w:cs="Arial" w:eastAsia="Arial" w:hAnsi="Arial"/>
          <w:sz w:val="16"/>
          <w:szCs w:val="16"/>
          <w:color w:val="auto"/>
        </w:rPr>
        <w:t>digits. We are also obligated to make additional payments to Broad and Wageningen, collectively, of up to an aggregate of $54.0 million upon the occurrence of certain sales milestones per licensed product for the prevention or treatment of a human disease that afflicts at least a specified number of patients in the aggregate in the United States. Broad and Wageningen are collectively entitled to receive clinical and regulatory milestone payments totaling up to $6.0 million in the aggregate per licensed product approved in the United States, the European Union and Japan for the prevention or treatment of an ultra</w:t>
      </w:r>
      <w:r>
        <w:rPr>
          <w:rFonts w:ascii="MS PGothic" w:cs="MS PGothic" w:eastAsia="MS PGothic" w:hAnsi="MS PGothic"/>
          <w:sz w:val="16"/>
          <w:szCs w:val="16"/>
          <w:color w:val="auto"/>
        </w:rPr>
        <w:t>‑</w:t>
      </w:r>
      <w:r>
        <w:rPr>
          <w:rFonts w:ascii="Arial" w:cs="Arial" w:eastAsia="Arial" w:hAnsi="Arial"/>
          <w:sz w:val="16"/>
          <w:szCs w:val="16"/>
          <w:color w:val="auto"/>
        </w:rPr>
        <w:t>orphan disease. We are also obligated to make additional payments to Broad and Wageningen, collectively, of up to an aggregate of $36.0 million upon the occurrence of certain sales milestones per licensed product for the prevention or treatment of an ultra</w:t>
      </w:r>
      <w:r>
        <w:rPr>
          <w:rFonts w:ascii="MS PGothic" w:cs="MS PGothic" w:eastAsia="MS PGothic" w:hAnsi="MS PGothic"/>
          <w:sz w:val="16"/>
          <w:szCs w:val="16"/>
          <w:color w:val="auto"/>
        </w:rPr>
        <w:t>‑</w:t>
      </w:r>
      <w:r>
        <w:rPr>
          <w:rFonts w:ascii="Arial" w:cs="Arial" w:eastAsia="Arial" w:hAnsi="Arial"/>
          <w:sz w:val="16"/>
          <w:szCs w:val="16"/>
          <w:color w:val="auto"/>
        </w:rPr>
        <w:t>orphan disease.</w:t>
      </w:r>
    </w:p>
    <w:p>
      <w:pPr>
        <w:spacing w:after="0" w:line="170"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Broad and Wageningen, collectively, are entitled to receive mid single</w:t>
      </w:r>
      <w:r>
        <w:rPr>
          <w:rFonts w:ascii="MS PGothic" w:cs="MS PGothic" w:eastAsia="MS PGothic" w:hAnsi="MS PGothic"/>
          <w:sz w:val="17"/>
          <w:szCs w:val="17"/>
          <w:color w:val="auto"/>
        </w:rPr>
        <w:t>‑</w:t>
      </w:r>
      <w:r>
        <w:rPr>
          <w:rFonts w:ascii="Arial" w:cs="Arial" w:eastAsia="Arial" w:hAnsi="Arial"/>
          <w:sz w:val="17"/>
          <w:szCs w:val="17"/>
          <w:color w:val="auto"/>
        </w:rPr>
        <w:t>digit percentage royalties on net sales of products for the prevention or treatment of human disease, and ranging from sub single</w:t>
      </w:r>
      <w:r>
        <w:rPr>
          <w:rFonts w:ascii="MS PGothic" w:cs="MS PGothic" w:eastAsia="MS PGothic" w:hAnsi="MS PGothic"/>
          <w:sz w:val="17"/>
          <w:szCs w:val="17"/>
          <w:color w:val="auto"/>
        </w:rPr>
        <w:t>‑</w:t>
      </w:r>
      <w:r>
        <w:rPr>
          <w:rFonts w:ascii="Arial" w:cs="Arial" w:eastAsia="Arial" w:hAnsi="Arial"/>
          <w:sz w:val="17"/>
          <w:szCs w:val="17"/>
          <w:color w:val="auto"/>
        </w:rPr>
        <w:t>digit to high single</w:t>
      </w:r>
      <w:r>
        <w:rPr>
          <w:rFonts w:ascii="MS PGothic" w:cs="MS PGothic" w:eastAsia="MS PGothic" w:hAnsi="MS PGothic"/>
          <w:sz w:val="17"/>
          <w:szCs w:val="17"/>
          <w:color w:val="auto"/>
        </w:rPr>
        <w:t>‑</w:t>
      </w:r>
      <w:r>
        <w:rPr>
          <w:rFonts w:ascii="Arial" w:cs="Arial" w:eastAsia="Arial" w:hAnsi="Arial"/>
          <w:sz w:val="17"/>
          <w:szCs w:val="17"/>
          <w:color w:val="auto"/>
        </w:rPr>
        <w:t>digit percentage royalties on net sales of other products and services, made by us, our affiliates, or our sublicensees. The royalty percentage depends on the product and service, and whether such licensed product or licensed service is covered by a valid claim within the Cpf1 Patent Rights. If we are legally required to pay royalties to a third party on net sales of our products because such third party holds patent rights that cover such licensed product, then we can credit up to a mid double</w:t>
      </w:r>
      <w:r>
        <w:rPr>
          <w:rFonts w:ascii="MS PGothic" w:cs="MS PGothic" w:eastAsia="MS PGothic" w:hAnsi="MS PGothic"/>
          <w:sz w:val="17"/>
          <w:szCs w:val="17"/>
          <w:color w:val="auto"/>
        </w:rPr>
        <w:t>‑</w:t>
      </w:r>
      <w:r>
        <w:rPr>
          <w:rFonts w:ascii="Arial" w:cs="Arial" w:eastAsia="Arial" w:hAnsi="Arial"/>
          <w:sz w:val="17"/>
          <w:szCs w:val="17"/>
          <w:color w:val="auto"/>
        </w:rPr>
        <w:t>digit percentage of the amount paid to such third party against the royalties due to Broad and Wageningen in the same period. Our obligation to pay royalties will expire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upon the later of the expiration of the last to expire valid claim of the Cpf1 Patent Rights that covers each licensed product or licensed service in each country or the tenth anniversary of the date of the first commercial sale of the product or service. If we sublicense any of the Cpf1 Patent Rights to a third party, Broad and Wageningen, collectively, have the right to receive high single</w:t>
      </w:r>
      <w:r>
        <w:rPr>
          <w:rFonts w:ascii="MS PGothic" w:cs="MS PGothic" w:eastAsia="MS PGothic" w:hAnsi="MS PGothic"/>
          <w:sz w:val="17"/>
          <w:szCs w:val="17"/>
          <w:color w:val="auto"/>
        </w:rPr>
        <w:t>‑</w:t>
      </w:r>
      <w:r>
        <w:rPr>
          <w:rFonts w:ascii="Arial" w:cs="Arial" w:eastAsia="Arial" w:hAnsi="Arial"/>
          <w:sz w:val="17"/>
          <w:szCs w:val="17"/>
          <w:color w:val="auto"/>
        </w:rPr>
        <w:t>digit to low double</w:t>
      </w:r>
      <w:r>
        <w:rPr>
          <w:rFonts w:ascii="MS PGothic" w:cs="MS PGothic" w:eastAsia="MS PGothic" w:hAnsi="MS PGothic"/>
          <w:sz w:val="17"/>
          <w:szCs w:val="17"/>
          <w:color w:val="auto"/>
        </w:rPr>
        <w:t>‑</w:t>
      </w:r>
      <w:r>
        <w:rPr>
          <w:rFonts w:ascii="Arial" w:cs="Arial" w:eastAsia="Arial" w:hAnsi="Arial"/>
          <w:sz w:val="17"/>
          <w:szCs w:val="17"/>
          <w:color w:val="auto"/>
        </w:rPr>
        <w:t>digit percentages of the sublicense income, depending on the stage of development of the products or services in question at the time of the sublicense.</w:t>
      </w:r>
    </w:p>
    <w:p>
      <w:pPr>
        <w:spacing w:after="0" w:line="169"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Under the Cpf1 License Agreement, Broad and Wageningen are also entitled, collectively, to receive success payments in the event our market capitalization reaches specified thresholds ascending from a high nine digit dollar amount to $10.0 billion (“Market Cap Success Payments”) or sale of our company for consideration in excess of those thresholds, (“Company Sale Success Payments,” which with the Market Cap Success Payments, the “Success Payments”). The Success Payments that may be paid to Broad and Wageningen range from a mid-seven digit dollar amount to a mid-eight digit dollar amount, and collectively will not exceed, in aggregate, $125.0 million, which maximum would be payable only if we achieve a market capitalization threshold of $10.0 billion and have at least one product candidate covered by a claim of a patent right licensed to us under either the Cpf1 License Agreement or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that is or was the subject of a clinical trial pursuant to development efforts by us or any of our affiliates or sublicensees. Market Cap Success Payments are payable by us in cash or in the form of promissory notes on substantially the same terms and conditions as the Initial Promissory Notes, except that the maturity date of such notes will, subject to certain exceptions, be 150 days following issuance. Following a change in control of our company, Market Cap Success Payments are required to be made in cash. Company Sale Success Payments are payable solely in cash.</w:t>
      </w:r>
    </w:p>
    <w:p>
      <w:pPr>
        <w:spacing w:after="0" w:line="166"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March 2017, a Market Cap Success Payment in the amount of $5.0 million under the Cpf1 License Agreement became due upon our market capitalization reaching $750 million, and we issued promissory notes to Broad and Wageningen in the aggregate original principal amount of $5.0 million (the “March Success Payment Notes”). The principal and interest on the March Success Payment Notes was due and payable in August 2017. In August 2017, we issued an aggregate of 271,347 shares of our common stock to Broad and paid $0.4 million to Wageningen as payment of all outstanding principal and interest under the March Success Payment Notes. Upon such issuance and payment, the March Success Payment Notes were cancelled. In September 2017, Wageningen designated Broad as the recipient of any future promissory notes that are owed to Wageningen pursuant to the Cpf1 License Agreement.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In December 2017, a success payment in the amount of $5.0 million under the Cpf1 License Agreement became due upon our market capitalization reaching $1.0 billion for a specified period of time, and we issued a promissory note to Broad in the original principal amount of $5.0 million (the “December Cpf1 Success Payment Note”). The principal and interest on the December Cpf1 Success Payment Note was due and payable in May 2018. In January 2018, we issued 150,606 shares of our common stock to Broad as payment of all outstanding principal and interest under the December Cpf1 Success Payment Note. Upon such issuance and payment, the December Cpf1 Success Payment Note was cancelled.</w:t>
      </w:r>
    </w:p>
    <w:p>
      <w:pPr>
        <w:spacing w:after="0" w:line="161"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In addition, in the event that a sale of our company or change of control has occurred and the maximum amount of potential Success Payments under the Cpf1 License Agreement has not been paid to Broad and Wageningen, Broad and Wageningen are entitled to receive, upon the subsequent achievement of specified regulatory milestones, percentages ranging from high single digits to mid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low double digits of the remaining unpaid maximum amount of Success Payments. Broad and Wageningen are further entitled to receive up to the full remaining unpaid maximum amount of Success Payments upon the subsequent achievement of specified sales milestones. All such post</w:t>
      </w:r>
      <w:r>
        <w:rPr>
          <w:rFonts w:ascii="MS PGothic" w:cs="MS PGothic" w:eastAsia="MS PGothic" w:hAnsi="MS PGothic"/>
          <w:sz w:val="17"/>
          <w:szCs w:val="17"/>
          <w:color w:val="auto"/>
        </w:rPr>
        <w:t>‑</w:t>
      </w:r>
      <w:r>
        <w:rPr>
          <w:rFonts w:ascii="Arial" w:cs="Arial" w:eastAsia="Arial" w:hAnsi="Arial"/>
          <w:sz w:val="17"/>
          <w:szCs w:val="17"/>
          <w:color w:val="auto"/>
        </w:rPr>
        <w:t>sale or post</w:t>
      </w:r>
      <w:r>
        <w:rPr>
          <w:rFonts w:ascii="MS PGothic" w:cs="MS PGothic" w:eastAsia="MS PGothic" w:hAnsi="MS PGothic"/>
          <w:sz w:val="17"/>
          <w:szCs w:val="17"/>
          <w:color w:val="auto"/>
        </w:rPr>
        <w:t>‑</w:t>
      </w:r>
      <w:r>
        <w:rPr>
          <w:rFonts w:ascii="Arial" w:cs="Arial" w:eastAsia="Arial" w:hAnsi="Arial"/>
          <w:sz w:val="17"/>
          <w:szCs w:val="17"/>
          <w:color w:val="auto"/>
        </w:rPr>
        <w:t>change of control milestone payments are required to be made in cash.</w:t>
      </w:r>
    </w:p>
    <w:p>
      <w:pPr>
        <w:spacing w:after="0" w:line="162"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Broad retains control of the prosecution and maintenance of the Cpf1 Patent Rights. We have the right to provide input in the prosecution of the Cpf1 Patent Rights, including to direct Broad to file and prosecute patents in certain countries. We are also obligated to reimburse Broad and Wageningen for all unreimbursed expenses incurred by them in connection with the prosecution and maintenance of the Cpf1 Patent Rights prior to the date of the Cpf1 License Agreement, and to reimburse Broad for expenses associated with the prosecution and maintenance of the Cpf1 Patent Rights following the date of the Cpf1 License Agreement.</w:t>
      </w:r>
    </w:p>
    <w:p>
      <w:pPr>
        <w:spacing w:after="0" w:line="162"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We have the first right, but not the obligation, to enforce the Cpf1 Patent Rights with respect to our licensed products in the Exclusive Cpf1 Field so long as certain conditions are met, such as providing Broad and the applicable Cpf1 Institutions with evidence demonstrating a good faith basis for bringing suit against a third party. We are solely responsible for the costs of any lawsuits we elect to initiate and cannot enter into a settlement without the prior written consent of Broad. Any sums recovered in such lawsuits will be shared between Broad, Wageningen, and us.</w:t>
      </w:r>
    </w:p>
    <w:p>
      <w:pPr>
        <w:spacing w:after="0" w:line="161" w:lineRule="exact"/>
        <w:rPr>
          <w:sz w:val="20"/>
          <w:szCs w:val="20"/>
          <w:color w:val="auto"/>
        </w:rPr>
      </w:pPr>
    </w:p>
    <w:p>
      <w:pPr>
        <w:ind w:right="60" w:firstLine="648"/>
        <w:spacing w:after="0" w:line="182" w:lineRule="exact"/>
        <w:rPr>
          <w:sz w:val="20"/>
          <w:szCs w:val="20"/>
          <w:color w:val="auto"/>
        </w:rPr>
      </w:pPr>
      <w:r>
        <w:rPr>
          <w:rFonts w:ascii="Arial" w:cs="Arial" w:eastAsia="Arial" w:hAnsi="Arial"/>
          <w:sz w:val="18"/>
          <w:szCs w:val="18"/>
          <w:color w:val="auto"/>
        </w:rPr>
        <w:t>Unless terminated earlier, the term of the Cpf1 License Agreement will expire on a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upon the expiration of the last to expire valid claim of the Cpf1 Patent Rights in such country. However, our royalty obligations, discussed above, may survive expiration or termination. We have the right to terminate the Cpf1 License Agreement at will upon four months’ written notice to Broad. Either party may terminate the Cpf1 License Agreement upon a specified period of notice in the event of the other party’s uncured material breach of a material obligation, such notice period varying depending on the nature of the breach. Broad may terminate the Cpf1 License Agreement immediately if we challenge the enforceability, validity, or scope of any Cpf1 Patent Right or assist a third party to do so, or in the event of our bankruptcy or insolvency.</w:t>
      </w:r>
    </w:p>
    <w:p>
      <w:pPr>
        <w:spacing w:after="0" w:line="165" w:lineRule="exact"/>
        <w:rPr>
          <w:sz w:val="20"/>
          <w:szCs w:val="20"/>
          <w:color w:val="auto"/>
        </w:rPr>
      </w:pPr>
    </w:p>
    <w:p>
      <w:pPr>
        <w:spacing w:after="0" w:line="207" w:lineRule="exact"/>
        <w:rPr>
          <w:sz w:val="20"/>
          <w:szCs w:val="20"/>
          <w:color w:val="auto"/>
        </w:rPr>
      </w:pPr>
      <w:r>
        <w:rPr>
          <w:rFonts w:ascii="Arial" w:cs="Arial" w:eastAsia="Arial" w:hAnsi="Arial"/>
          <w:sz w:val="18"/>
          <w:szCs w:val="18"/>
          <w:u w:val="single" w:color="auto"/>
          <w:color w:val="auto"/>
        </w:rPr>
        <w:t>The Broad Institute—Cas9</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II License Agreement</w:t>
      </w:r>
    </w:p>
    <w:p>
      <w:pPr>
        <w:spacing w:after="0" w:line="18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In December 2016, we entered into a license agreement with Broad for specified patent rights (the “Cas9</w:t>
      </w:r>
      <w:r>
        <w:rPr>
          <w:rFonts w:ascii="MS PGothic" w:cs="MS PGothic" w:eastAsia="MS PGothic" w:hAnsi="MS PGothic"/>
          <w:sz w:val="16"/>
          <w:szCs w:val="16"/>
          <w:color w:val="auto"/>
        </w:rPr>
        <w:t>‑</w:t>
      </w:r>
      <w:r>
        <w:rPr>
          <w:rFonts w:ascii="Arial" w:cs="Arial" w:eastAsia="Arial" w:hAnsi="Arial"/>
          <w:sz w:val="16"/>
          <w:szCs w:val="16"/>
          <w:color w:val="auto"/>
        </w:rPr>
        <w:t>II Patent Rights”) related primarily to certain Cas9 compositions of matter and their use for gene editing (the “Cas9</w:t>
      </w:r>
      <w:r>
        <w:rPr>
          <w:rFonts w:ascii="MS PGothic" w:cs="MS PGothic" w:eastAsia="MS PGothic" w:hAnsi="MS PGothic"/>
          <w:sz w:val="16"/>
          <w:szCs w:val="16"/>
          <w:color w:val="auto"/>
        </w:rPr>
        <w:t>‑</w:t>
      </w:r>
      <w:r>
        <w:rPr>
          <w:rFonts w:ascii="Arial" w:cs="Arial" w:eastAsia="Arial" w:hAnsi="Arial"/>
          <w:sz w:val="16"/>
          <w:szCs w:val="16"/>
          <w:color w:val="auto"/>
        </w:rPr>
        <w:t>II License Agreement”). Pursuant to the Cas9</w:t>
      </w:r>
      <w:r>
        <w:rPr>
          <w:rFonts w:ascii="MS PGothic" w:cs="MS PGothic" w:eastAsia="MS PGothic" w:hAnsi="MS PGothic"/>
          <w:sz w:val="16"/>
          <w:szCs w:val="16"/>
          <w:color w:val="auto"/>
        </w:rPr>
        <w:t>‑</w:t>
      </w:r>
      <w:r>
        <w:rPr>
          <w:rFonts w:ascii="Arial" w:cs="Arial" w:eastAsia="Arial" w:hAnsi="Arial"/>
          <w:sz w:val="16"/>
          <w:szCs w:val="16"/>
          <w:color w:val="auto"/>
        </w:rPr>
        <w:t>II License Agreement, Broad, on behalf of itself, MIT, Harvard, and the University of Iowa Research Foundation (“Iowa,” and collectively with the other institutions, the “Cas9</w:t>
      </w:r>
      <w:r>
        <w:rPr>
          <w:rFonts w:ascii="MS PGothic" w:cs="MS PGothic" w:eastAsia="MS PGothic" w:hAnsi="MS PGothic"/>
          <w:sz w:val="16"/>
          <w:szCs w:val="16"/>
          <w:color w:val="auto"/>
        </w:rPr>
        <w:t>‑</w:t>
      </w:r>
      <w:r>
        <w:rPr>
          <w:rFonts w:ascii="Arial" w:cs="Arial" w:eastAsia="Arial" w:hAnsi="Arial"/>
          <w:sz w:val="16"/>
          <w:szCs w:val="16"/>
          <w:color w:val="auto"/>
        </w:rPr>
        <w:t>II Institutions”), granted us an 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certain of the Cas9</w:t>
      </w:r>
      <w:r>
        <w:rPr>
          <w:rFonts w:ascii="MS PGothic" w:cs="MS PGothic" w:eastAsia="MS PGothic" w:hAnsi="MS PGothic"/>
          <w:sz w:val="16"/>
          <w:szCs w:val="16"/>
          <w:color w:val="auto"/>
        </w:rPr>
        <w:t>‑</w:t>
      </w:r>
      <w:r>
        <w:rPr>
          <w:rFonts w:ascii="Arial" w:cs="Arial" w:eastAsia="Arial" w:hAnsi="Arial"/>
          <w:sz w:val="16"/>
          <w:szCs w:val="16"/>
          <w:color w:val="auto"/>
        </w:rPr>
        <w:t>II Patent Rights in the field of the prevention or treatment of human disease using gene therapy, editing of genetic material, or targeting of genetic material, subject to certain limitations and retained rights, as well as a non</w:t>
      </w:r>
      <w:r>
        <w:rPr>
          <w:rFonts w:ascii="MS PGothic" w:cs="MS PGothic" w:eastAsia="MS PGothic" w:hAnsi="MS PGothic"/>
          <w:sz w:val="16"/>
          <w:szCs w:val="16"/>
          <w:color w:val="auto"/>
        </w:rPr>
        <w:t>‑</w:t>
      </w:r>
      <w:r>
        <w:rPr>
          <w:rFonts w:ascii="Arial" w:cs="Arial" w:eastAsia="Arial" w:hAnsi="Arial"/>
          <w:sz w:val="16"/>
          <w:szCs w:val="16"/>
          <w:color w:val="auto"/>
        </w:rPr>
        <w:t>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all of the Cas9</w:t>
      </w:r>
      <w:r>
        <w:rPr>
          <w:rFonts w:ascii="MS PGothic" w:cs="MS PGothic" w:eastAsia="MS PGothic" w:hAnsi="MS PGothic"/>
          <w:sz w:val="16"/>
          <w:szCs w:val="16"/>
          <w:color w:val="auto"/>
        </w:rPr>
        <w:t>‑</w:t>
      </w:r>
      <w:r>
        <w:rPr>
          <w:rFonts w:ascii="Arial" w:cs="Arial" w:eastAsia="Arial" w:hAnsi="Arial"/>
          <w:sz w:val="16"/>
          <w:szCs w:val="16"/>
          <w:color w:val="auto"/>
        </w:rPr>
        <w:t>II Patent Rights for all purposes, subject to certain limitations and retained rights, in each case on terms substantially similar to the licenses granted to us under Cpf1 License Agreement, except that:</w:t>
      </w:r>
    </w:p>
    <w:p>
      <w:pPr>
        <w:spacing w:after="0" w:line="168" w:lineRule="exact"/>
        <w:rPr>
          <w:sz w:val="20"/>
          <w:szCs w:val="20"/>
          <w:color w:val="auto"/>
        </w:rPr>
      </w:pPr>
    </w:p>
    <w:p>
      <w:pPr>
        <w:ind w:left="980" w:right="20" w:hanging="329"/>
        <w:spacing w:after="0" w:line="189" w:lineRule="exact"/>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terms relating to retained rights of the Cas9</w:t>
      </w:r>
      <w:r>
        <w:rPr>
          <w:rFonts w:ascii="MS PGothic" w:cs="MS PGothic" w:eastAsia="MS PGothic" w:hAnsi="MS PGothic"/>
          <w:sz w:val="17"/>
          <w:szCs w:val="17"/>
          <w:color w:val="auto"/>
        </w:rPr>
        <w:t>‑</w:t>
      </w:r>
      <w:r>
        <w:rPr>
          <w:rFonts w:ascii="Arial" w:cs="Arial" w:eastAsia="Arial" w:hAnsi="Arial"/>
          <w:sz w:val="17"/>
          <w:szCs w:val="17"/>
          <w:color w:val="auto"/>
        </w:rPr>
        <w:t>II Institutions to grant licenses to the Cas9</w:t>
      </w:r>
      <w:r>
        <w:rPr>
          <w:rFonts w:ascii="MS PGothic" w:cs="MS PGothic" w:eastAsia="MS PGothic" w:hAnsi="MS PGothic"/>
          <w:sz w:val="17"/>
          <w:szCs w:val="17"/>
          <w:color w:val="auto"/>
        </w:rPr>
        <w:t>‑</w:t>
      </w:r>
      <w:r>
        <w:rPr>
          <w:rFonts w:ascii="Arial" w:cs="Arial" w:eastAsia="Arial" w:hAnsi="Arial"/>
          <w:sz w:val="17"/>
          <w:szCs w:val="17"/>
          <w:color w:val="auto"/>
        </w:rPr>
        <w:t>II Patent Rights under specified circumstances to third parties, including to third parties that wish to develop and commercialize products that target a particular gene and that otherwise would fall within the scope of our exclusive license are on terms substantially similar to those under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upfront license fee is in the low seven digits and is payable in cash;</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required to pay an annual license maintenance fee in the mid</w:t>
      </w:r>
      <w:r>
        <w:rPr>
          <w:rFonts w:ascii="MS PGothic" w:cs="MS PGothic" w:eastAsia="MS PGothic" w:hAnsi="MS PGothic"/>
          <w:sz w:val="18"/>
          <w:szCs w:val="18"/>
          <w:color w:val="auto"/>
        </w:rPr>
        <w:t>‑</w:t>
      </w:r>
      <w:r>
        <w:rPr>
          <w:rFonts w:ascii="Arial" w:cs="Arial" w:eastAsia="Arial" w:hAnsi="Arial"/>
          <w:sz w:val="18"/>
          <w:szCs w:val="18"/>
          <w:color w:val="auto"/>
        </w:rPr>
        <w:t>five figures;</w:t>
      </w:r>
    </w:p>
    <w:p>
      <w:pPr>
        <w:spacing w:after="0" w:line="184" w:lineRule="exact"/>
        <w:rPr>
          <w:rFonts w:ascii="Arial" w:cs="Arial" w:eastAsia="Arial" w:hAnsi="Arial"/>
          <w:sz w:val="18"/>
          <w:szCs w:val="18"/>
          <w:color w:val="auto"/>
        </w:rPr>
      </w:pPr>
    </w:p>
    <w:p>
      <w:pPr>
        <w:ind w:left="980" w:hanging="329"/>
        <w:spacing w:after="0" w:line="232"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clinical and regulatory milestone payments per licensed product approved in the United States, the European Union and Japan for the prevention or treatment of a human disease that afflicts at least a specified number of patients in the aggregate in the United States total up to $3.7 million in the aggregate, and the sales milestone payments for any such licensed product total up to $13.5 million in the aggregate;</w:t>
      </w:r>
    </w:p>
    <w:p>
      <w:pPr>
        <w:spacing w:after="0" w:line="162" w:lineRule="exact"/>
        <w:rPr>
          <w:rFonts w:ascii="Arial" w:cs="Arial" w:eastAsia="Arial" w:hAnsi="Arial"/>
          <w:sz w:val="17"/>
          <w:szCs w:val="17"/>
          <w:color w:val="auto"/>
        </w:rPr>
      </w:pPr>
    </w:p>
    <w:p>
      <w:pPr>
        <w:ind w:left="980" w:right="200" w:hanging="329"/>
        <w:spacing w:after="0" w:line="232"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required to pay clinical and regulatory milestone payments totaling up to $1.1 million in the aggregate per licensed product approved in the United States and the European Union or Japan for the prevention or treatment of a human disease that afflicts fewer than a specified number of patients in the United States, plus sales milestone payments of up to $9.0 million for any such licensed product;</w:t>
      </w:r>
    </w:p>
    <w:p>
      <w:pPr>
        <w:spacing w:after="0" w:line="162" w:lineRule="exact"/>
        <w:rPr>
          <w:rFonts w:ascii="Arial" w:cs="Arial" w:eastAsia="Arial" w:hAnsi="Arial"/>
          <w:sz w:val="17"/>
          <w:szCs w:val="17"/>
          <w:color w:val="auto"/>
        </w:rPr>
      </w:pPr>
    </w:p>
    <w:p>
      <w:pPr>
        <w:ind w:left="980" w:right="200" w:hanging="329"/>
        <w:spacing w:after="0" w:line="189" w:lineRule="exact"/>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royalty rate on net sales of licensed products for the prevention or treatment of human disease that are covered by the Cas9</w:t>
      </w:r>
      <w:r>
        <w:rPr>
          <w:rFonts w:ascii="MS PGothic" w:cs="MS PGothic" w:eastAsia="MS PGothic" w:hAnsi="MS PGothic"/>
          <w:sz w:val="16"/>
          <w:szCs w:val="16"/>
          <w:color w:val="auto"/>
        </w:rPr>
        <w:t>‑</w:t>
      </w:r>
      <w:r>
        <w:rPr>
          <w:rFonts w:ascii="Arial" w:cs="Arial" w:eastAsia="Arial" w:hAnsi="Arial"/>
          <w:sz w:val="16"/>
          <w:szCs w:val="16"/>
          <w:color w:val="auto"/>
        </w:rPr>
        <w:t>II Patent Rights subject to our exclusive license is a low single</w:t>
      </w:r>
      <w:r>
        <w:rPr>
          <w:rFonts w:ascii="MS PGothic" w:cs="MS PGothic" w:eastAsia="MS PGothic" w:hAnsi="MS PGothic"/>
          <w:sz w:val="16"/>
          <w:szCs w:val="16"/>
          <w:color w:val="auto"/>
        </w:rPr>
        <w:t>‑</w:t>
      </w:r>
      <w:r>
        <w:rPr>
          <w:rFonts w:ascii="Arial" w:cs="Arial" w:eastAsia="Arial" w:hAnsi="Arial"/>
          <w:sz w:val="16"/>
          <w:szCs w:val="16"/>
          <w:color w:val="auto"/>
        </w:rPr>
        <w:t>digit percentage, and the royalty rate on net sales of other licensed products and licensed services covered by the Cas9</w:t>
      </w:r>
      <w:r>
        <w:rPr>
          <w:rFonts w:ascii="MS PGothic" w:cs="MS PGothic" w:eastAsia="MS PGothic" w:hAnsi="MS PGothic"/>
          <w:sz w:val="16"/>
          <w:szCs w:val="16"/>
          <w:color w:val="auto"/>
        </w:rPr>
        <w:t>‑</w:t>
      </w:r>
      <w:r>
        <w:rPr>
          <w:rFonts w:ascii="Arial" w:cs="Arial" w:eastAsia="Arial" w:hAnsi="Arial"/>
          <w:sz w:val="16"/>
          <w:szCs w:val="16"/>
          <w:color w:val="auto"/>
        </w:rPr>
        <w:t>II Patent Rights subject to our exclusive license ranges from sub single</w:t>
      </w:r>
      <w:r>
        <w:rPr>
          <w:rFonts w:ascii="MS PGothic" w:cs="MS PGothic" w:eastAsia="MS PGothic" w:hAnsi="MS PGothic"/>
          <w:sz w:val="16"/>
          <w:szCs w:val="16"/>
          <w:color w:val="auto"/>
        </w:rPr>
        <w:t>‑</w:t>
      </w:r>
      <w:r>
        <w:rPr>
          <w:rFonts w:ascii="Arial" w:cs="Arial" w:eastAsia="Arial" w:hAnsi="Arial"/>
          <w:sz w:val="16"/>
          <w:szCs w:val="16"/>
          <w:color w:val="auto"/>
        </w:rPr>
        <w:t>digit to low single</w:t>
      </w:r>
      <w:r>
        <w:rPr>
          <w:rFonts w:ascii="MS PGothic" w:cs="MS PGothic" w:eastAsia="MS PGothic" w:hAnsi="MS PGothic"/>
          <w:sz w:val="16"/>
          <w:szCs w:val="16"/>
          <w:color w:val="auto"/>
        </w:rPr>
        <w:t>‑</w:t>
      </w:r>
      <w:r>
        <w:rPr>
          <w:rFonts w:ascii="Arial" w:cs="Arial" w:eastAsia="Arial" w:hAnsi="Arial"/>
          <w:sz w:val="16"/>
          <w:szCs w:val="16"/>
          <w:color w:val="auto"/>
        </w:rPr>
        <w:t>digit percentages;</w:t>
      </w:r>
    </w:p>
    <w:p>
      <w:pPr>
        <w:spacing w:after="0" w:line="164" w:lineRule="exact"/>
        <w:rPr>
          <w:rFonts w:ascii="Arial" w:cs="Arial" w:eastAsia="Arial" w:hAnsi="Arial"/>
          <w:sz w:val="16"/>
          <w:szCs w:val="16"/>
          <w:color w:val="auto"/>
        </w:rPr>
      </w:pPr>
    </w:p>
    <w:p>
      <w:pPr>
        <w:ind w:left="980" w:right="320" w:hanging="329"/>
        <w:spacing w:after="0" w:line="194" w:lineRule="exact"/>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royalty rates for the sale of licensed products and licensed services covered by the Cas9</w:t>
      </w:r>
      <w:r>
        <w:rPr>
          <w:rFonts w:ascii="MS PGothic" w:cs="MS PGothic" w:eastAsia="MS PGothic" w:hAnsi="MS PGothic"/>
          <w:sz w:val="17"/>
          <w:szCs w:val="17"/>
          <w:color w:val="auto"/>
        </w:rPr>
        <w:t>‑</w:t>
      </w:r>
      <w:r>
        <w:rPr>
          <w:rFonts w:ascii="Arial" w:cs="Arial" w:eastAsia="Arial" w:hAnsi="Arial"/>
          <w:sz w:val="17"/>
          <w:szCs w:val="17"/>
          <w:color w:val="auto"/>
        </w:rPr>
        <w:t>II Patent Rights subject only to our non</w:t>
      </w:r>
      <w:r>
        <w:rPr>
          <w:rFonts w:ascii="MS PGothic" w:cs="MS PGothic" w:eastAsia="MS PGothic" w:hAnsi="MS PGothic"/>
          <w:sz w:val="17"/>
          <w:szCs w:val="17"/>
          <w:color w:val="auto"/>
        </w:rPr>
        <w:t>‑</w:t>
      </w:r>
      <w:r>
        <w:rPr>
          <w:rFonts w:ascii="Arial" w:cs="Arial" w:eastAsia="Arial" w:hAnsi="Arial"/>
          <w:sz w:val="17"/>
          <w:szCs w:val="17"/>
          <w:color w:val="auto"/>
        </w:rPr>
        <w:t>exclusive license are 50% of the applicable royalty rates for licensed products and licensed services covered by the Cas9</w:t>
      </w:r>
      <w:r>
        <w:rPr>
          <w:rFonts w:ascii="MS PGothic" w:cs="MS PGothic" w:eastAsia="MS PGothic" w:hAnsi="MS PGothic"/>
          <w:sz w:val="17"/>
          <w:szCs w:val="17"/>
          <w:color w:val="auto"/>
        </w:rPr>
        <w:t>‑</w:t>
      </w:r>
      <w:r>
        <w:rPr>
          <w:rFonts w:ascii="Arial" w:cs="Arial" w:eastAsia="Arial" w:hAnsi="Arial"/>
          <w:sz w:val="17"/>
          <w:szCs w:val="17"/>
          <w:color w:val="auto"/>
        </w:rPr>
        <w:t>II Patent Rights subject to our exclusive license;</w:t>
      </w:r>
    </w:p>
    <w:p>
      <w:pPr>
        <w:spacing w:after="0" w:line="161" w:lineRule="exact"/>
        <w:rPr>
          <w:rFonts w:ascii="Arial" w:cs="Arial" w:eastAsia="Arial" w:hAnsi="Arial"/>
          <w:sz w:val="17"/>
          <w:szCs w:val="17"/>
          <w:color w:val="auto"/>
        </w:rPr>
      </w:pPr>
    </w:p>
    <w:p>
      <w:pPr>
        <w:ind w:left="980" w:right="140" w:hanging="329"/>
        <w:spacing w:after="0" w:line="183"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Success Payments are payable based on our market capitalization reaching specified thresholds ascending from a low ten digit dollar amount to $9.0 billion or a sale of our company for consideration in excess of those thresholds, and will not exceed, in the aggregate, $30.0 million, which maximum would be owed only if we reach a market capitalization threshold of $9.0 billion and have at least one product candidate covered by a claim of a patent right licensed to us under either the Cas9</w:t>
      </w:r>
      <w:r>
        <w:rPr>
          <w:rFonts w:ascii="MS PGothic" w:cs="MS PGothic" w:eastAsia="MS PGothic" w:hAnsi="MS PGothic"/>
          <w:sz w:val="18"/>
          <w:szCs w:val="18"/>
          <w:color w:val="auto"/>
        </w:rPr>
        <w:t>‑</w:t>
      </w:r>
      <w:r>
        <w:rPr>
          <w:rFonts w:ascii="Arial" w:cs="Arial" w:eastAsia="Arial" w:hAnsi="Arial"/>
          <w:sz w:val="18"/>
          <w:szCs w:val="18"/>
          <w:color w:val="auto"/>
        </w:rPr>
        <w:t>II License Agreement or the Cas9</w:t>
      </w:r>
      <w:r>
        <w:rPr>
          <w:rFonts w:ascii="MS PGothic" w:cs="MS PGothic" w:eastAsia="MS PGothic" w:hAnsi="MS PGothic"/>
          <w:sz w:val="18"/>
          <w:szCs w:val="18"/>
          <w:color w:val="auto"/>
        </w:rPr>
        <w:t>‑</w:t>
      </w:r>
      <w:r>
        <w:rPr>
          <w:rFonts w:ascii="Arial" w:cs="Arial" w:eastAsia="Arial" w:hAnsi="Arial"/>
          <w:sz w:val="18"/>
          <w:szCs w:val="18"/>
          <w:color w:val="auto"/>
        </w:rPr>
        <w:t>I License Agreement that is or was the subject of a clinical trial pursuant to development efforts by us or any of our affiliates or sublicensees;</w:t>
      </w:r>
    </w:p>
    <w:p>
      <w:pPr>
        <w:spacing w:after="0" w:line="165" w:lineRule="exact"/>
        <w:rPr>
          <w:rFonts w:ascii="Arial" w:cs="Arial" w:eastAsia="Arial" w:hAnsi="Arial"/>
          <w:sz w:val="18"/>
          <w:szCs w:val="18"/>
          <w:color w:val="auto"/>
        </w:rPr>
      </w:pPr>
    </w:p>
    <w:p>
      <w:pPr>
        <w:ind w:left="980" w:right="60" w:hanging="329"/>
        <w:spacing w:after="0" w:line="185"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many of our rights and obligations with respect to the control and enforcement of the Cas9</w:t>
      </w:r>
      <w:r>
        <w:rPr>
          <w:rFonts w:ascii="MS PGothic" w:cs="MS PGothic" w:eastAsia="MS PGothic" w:hAnsi="MS PGothic"/>
          <w:sz w:val="18"/>
          <w:szCs w:val="18"/>
          <w:color w:val="auto"/>
        </w:rPr>
        <w:t>‑</w:t>
      </w:r>
      <w:r>
        <w:rPr>
          <w:rFonts w:ascii="Arial" w:cs="Arial" w:eastAsia="Arial" w:hAnsi="Arial"/>
          <w:sz w:val="18"/>
          <w:szCs w:val="18"/>
          <w:color w:val="auto"/>
        </w:rPr>
        <w:t>II Patent Rights, including our right to direct Broad to file and prosecute patents in certain countries, our obligation to reimburse Broad for expenses associated with the prosecution and maintenance of patent rights following the effective date, and our first right to enforce and defend the patent rights, only apply to the Cas9</w:t>
      </w:r>
      <w:r>
        <w:rPr>
          <w:rFonts w:ascii="MS PGothic" w:cs="MS PGothic" w:eastAsia="MS PGothic" w:hAnsi="MS PGothic"/>
          <w:sz w:val="18"/>
          <w:szCs w:val="18"/>
          <w:color w:val="auto"/>
        </w:rPr>
        <w:t>‑</w:t>
      </w:r>
      <w:r>
        <w:rPr>
          <w:rFonts w:ascii="Arial" w:cs="Arial" w:eastAsia="Arial" w:hAnsi="Arial"/>
          <w:sz w:val="18"/>
          <w:szCs w:val="18"/>
          <w:color w:val="auto"/>
        </w:rPr>
        <w:t>II Patent Rights that are subject to our exclusive license, and do not apply to the Cas9</w:t>
      </w:r>
      <w:r>
        <w:rPr>
          <w:rFonts w:ascii="MS PGothic" w:cs="MS PGothic" w:eastAsia="MS PGothic" w:hAnsi="MS PGothic"/>
          <w:sz w:val="18"/>
          <w:szCs w:val="18"/>
          <w:color w:val="auto"/>
        </w:rPr>
        <w:t>‑</w:t>
      </w:r>
      <w:r>
        <w:rPr>
          <w:rFonts w:ascii="Arial" w:cs="Arial" w:eastAsia="Arial" w:hAnsi="Arial"/>
          <w:sz w:val="18"/>
          <w:szCs w:val="18"/>
          <w:color w:val="auto"/>
        </w:rPr>
        <w:t>II Patent Rights that are subject only to our non</w:t>
      </w:r>
      <w:r>
        <w:rPr>
          <w:rFonts w:ascii="MS PGothic" w:cs="MS PGothic" w:eastAsia="MS PGothic" w:hAnsi="MS PGothic"/>
          <w:sz w:val="18"/>
          <w:szCs w:val="18"/>
          <w:color w:val="auto"/>
        </w:rPr>
        <w:t>‑</w:t>
      </w:r>
      <w:r>
        <w:rPr>
          <w:rFonts w:ascii="Arial" w:cs="Arial" w:eastAsia="Arial" w:hAnsi="Arial"/>
          <w:sz w:val="18"/>
          <w:szCs w:val="18"/>
          <w:color w:val="auto"/>
        </w:rPr>
        <w:t>exclusive license; and</w:t>
      </w:r>
    </w:p>
    <w:p>
      <w:pPr>
        <w:spacing w:after="0" w:line="162" w:lineRule="exact"/>
        <w:rPr>
          <w:rFonts w:ascii="Arial" w:cs="Arial" w:eastAsia="Arial" w:hAnsi="Arial"/>
          <w:sz w:val="18"/>
          <w:szCs w:val="18"/>
          <w:color w:val="auto"/>
        </w:rPr>
      </w:pPr>
    </w:p>
    <w:p>
      <w:pPr>
        <w:ind w:left="980" w:hanging="329"/>
        <w:spacing w:after="0" w:line="194" w:lineRule="exact"/>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the first right, but not obligation, to enforce the Cas9</w:t>
      </w:r>
      <w:r>
        <w:rPr>
          <w:rFonts w:ascii="MS PGothic" w:cs="MS PGothic" w:eastAsia="MS PGothic" w:hAnsi="MS PGothic"/>
          <w:sz w:val="18"/>
          <w:szCs w:val="18"/>
          <w:color w:val="auto"/>
        </w:rPr>
        <w:t>‑</w:t>
      </w:r>
      <w:r>
        <w:rPr>
          <w:rFonts w:ascii="Arial" w:cs="Arial" w:eastAsia="Arial" w:hAnsi="Arial"/>
          <w:sz w:val="18"/>
          <w:szCs w:val="18"/>
          <w:color w:val="auto"/>
        </w:rPr>
        <w:t>II Patent Rights that are subject to our exclusive license, and Broad has the sole and exclusive right, at Broad’s expense, to enforce and defend the Cas9</w:t>
      </w:r>
      <w:r>
        <w:rPr>
          <w:rFonts w:ascii="MS PGothic" w:cs="MS PGothic" w:eastAsia="MS PGothic" w:hAnsi="MS PGothic"/>
          <w:sz w:val="18"/>
          <w:szCs w:val="18"/>
          <w:color w:val="auto"/>
        </w:rPr>
        <w:t>‑</w:t>
      </w:r>
      <w:r>
        <w:rPr>
          <w:rFonts w:ascii="Arial" w:cs="Arial" w:eastAsia="Arial" w:hAnsi="Arial"/>
          <w:sz w:val="18"/>
          <w:szCs w:val="18"/>
          <w:color w:val="auto"/>
        </w:rPr>
        <w:t>II Patent Rights subject to our non</w:t>
      </w:r>
      <w:r>
        <w:rPr>
          <w:rFonts w:ascii="MS PGothic" w:cs="MS PGothic" w:eastAsia="MS PGothic" w:hAnsi="MS PGothic"/>
          <w:sz w:val="18"/>
          <w:szCs w:val="18"/>
          <w:color w:val="auto"/>
        </w:rPr>
        <w:t>‑</w:t>
      </w:r>
      <w:r>
        <w:rPr>
          <w:rFonts w:ascii="Arial" w:cs="Arial" w:eastAsia="Arial" w:hAnsi="Arial"/>
          <w:sz w:val="18"/>
          <w:szCs w:val="18"/>
          <w:color w:val="auto"/>
        </w:rPr>
        <w:t>exclusive license.</w:t>
      </w:r>
    </w:p>
    <w:p>
      <w:pPr>
        <w:spacing w:after="0" w:line="163" w:lineRule="exact"/>
        <w:rPr>
          <w:sz w:val="20"/>
          <w:szCs w:val="20"/>
          <w:color w:val="auto"/>
        </w:rPr>
      </w:pPr>
    </w:p>
    <w:p>
      <w:pPr>
        <w:ind w:right="120" w:firstLine="648"/>
        <w:spacing w:after="0" w:line="194" w:lineRule="exact"/>
        <w:rPr>
          <w:sz w:val="20"/>
          <w:szCs w:val="20"/>
          <w:color w:val="auto"/>
        </w:rPr>
      </w:pPr>
      <w:r>
        <w:rPr>
          <w:rFonts w:ascii="Arial" w:cs="Arial" w:eastAsia="Arial" w:hAnsi="Arial"/>
          <w:sz w:val="18"/>
          <w:szCs w:val="18"/>
          <w:color w:val="auto"/>
        </w:rPr>
        <w:t>Pursuant to the Cas9</w:t>
      </w:r>
      <w:r>
        <w:rPr>
          <w:rFonts w:ascii="MS PGothic" w:cs="MS PGothic" w:eastAsia="MS PGothic" w:hAnsi="MS PGothic"/>
          <w:sz w:val="18"/>
          <w:szCs w:val="18"/>
          <w:color w:val="auto"/>
        </w:rPr>
        <w:t>‑</w:t>
      </w:r>
      <w:r>
        <w:rPr>
          <w:rFonts w:ascii="Arial" w:cs="Arial" w:eastAsia="Arial" w:hAnsi="Arial"/>
          <w:sz w:val="18"/>
          <w:szCs w:val="18"/>
          <w:color w:val="auto"/>
        </w:rPr>
        <w:t>II License Agreement, and as of December 31, 2017, we have certain rights under 13 pending U.S. patent applications, 13 pending European patent applications, and other related patent applications in jurisdictions outside of the United States and Europe.</w:t>
      </w:r>
    </w:p>
    <w:p>
      <w:pPr>
        <w:spacing w:after="0" w:line="123"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In December 2017, a success payment in the amount of $2.5 million under our Cas9-II License Agreement became due upon our market capitalization reaching $1.0 billion for a specified period of time, and we issued a promissory note to Broad in the original principal amount of $2.5 million (the “December Cas9-II Success Payment Note”). The principal and interest on the December Cas9-II Success Payment Note was due and payable in May 2018. In January 2018, we issued 75,303 shares of our common stock to Broad as payment of all outstanding principal and interest under the December Cas9-II Success Payment Note. Upon such issuance and payment, the December Cas9-II Success Payment Note was cancelled.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General Hospital Corporation License Agreements</w:t>
      </w:r>
    </w:p>
    <w:p>
      <w:pPr>
        <w:spacing w:after="0" w:line="185" w:lineRule="exact"/>
        <w:rPr>
          <w:sz w:val="20"/>
          <w:szCs w:val="20"/>
          <w:color w:val="auto"/>
        </w:rPr>
      </w:pPr>
    </w:p>
    <w:p>
      <w:pPr>
        <w:ind w:right="20" w:firstLine="648"/>
        <w:spacing w:after="0" w:line="184" w:lineRule="exact"/>
        <w:rPr>
          <w:sz w:val="20"/>
          <w:szCs w:val="20"/>
          <w:color w:val="auto"/>
        </w:rPr>
      </w:pPr>
      <w:r>
        <w:rPr>
          <w:rFonts w:ascii="Arial" w:cs="Arial" w:eastAsia="Arial" w:hAnsi="Arial"/>
          <w:sz w:val="17"/>
          <w:szCs w:val="17"/>
          <w:color w:val="auto"/>
        </w:rPr>
        <w:t>In August 2014, we entered into a license agreement with The General Hospital Corporation, d/b/a Massachusetts General Hospital (“MGH”), for specified patent rights (the “First License MGH Patent Rights”) and specified know</w:t>
      </w:r>
      <w:r>
        <w:rPr>
          <w:rFonts w:ascii="MS PGothic" w:cs="MS PGothic" w:eastAsia="MS PGothic" w:hAnsi="MS PGothic"/>
          <w:sz w:val="17"/>
          <w:szCs w:val="17"/>
          <w:color w:val="auto"/>
        </w:rPr>
        <w:t>‑</w:t>
      </w:r>
      <w:r>
        <w:rPr>
          <w:rFonts w:ascii="Arial" w:cs="Arial" w:eastAsia="Arial" w:hAnsi="Arial"/>
          <w:sz w:val="17"/>
          <w:szCs w:val="17"/>
          <w:color w:val="auto"/>
        </w:rPr>
        <w:t>how and biological materials (the “First MGH License Agreement”). The First License MGH Patent Rights are directed, in part, to CRISPR/Cas9 and TALE</w:t>
      </w:r>
      <w:r>
        <w:rPr>
          <w:rFonts w:ascii="MS PGothic" w:cs="MS PGothic" w:eastAsia="MS PGothic" w:hAnsi="MS PGothic"/>
          <w:sz w:val="17"/>
          <w:szCs w:val="17"/>
          <w:color w:val="auto"/>
        </w:rPr>
        <w:t>‑</w:t>
      </w:r>
      <w:r>
        <w:rPr>
          <w:rFonts w:ascii="Arial" w:cs="Arial" w:eastAsia="Arial" w:hAnsi="Arial"/>
          <w:sz w:val="17"/>
          <w:szCs w:val="17"/>
          <w:color w:val="auto"/>
        </w:rPr>
        <w:t>related compositions of matter and their use for genome editing. Pursuant to the First MGH License Agreement, and as of December 31, 2017, we have certain rights under two U.S. patents, 14 pending U.S. patent applications, one European patent and related validations, ten pending European patent applications, and other related patent applications in jurisdictions outside of the United States and Europe.</w:t>
      </w:r>
    </w:p>
    <w:p>
      <w:pPr>
        <w:spacing w:after="0" w:line="162"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Pursuant to the First MGH License Agreement, MGH granted us an 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the First License MGH Patent Rights, to make, have made, use, have used, sell, offer for sale, and import products and processes in the fields of the prevention or treatment of human or animal disease and agriculture, which includes plants and animals bred and raised for human consumption (such field, the “First MGH Exclusive License Field”). Products and processes used for clinical diagnostic assays, and the research, development and sale of research tools, kits, and reagents in the field of agriculture are specifically excluded from our exclusive license to the First License MGH Patent Rights. MGH also granted us a non</w:t>
      </w:r>
      <w:r>
        <w:rPr>
          <w:rFonts w:ascii="MS PGothic" w:cs="MS PGothic" w:eastAsia="MS PGothic" w:hAnsi="MS PGothic"/>
          <w:sz w:val="16"/>
          <w:szCs w:val="16"/>
          <w:color w:val="auto"/>
        </w:rPr>
        <w:t>‑</w:t>
      </w:r>
      <w:r>
        <w:rPr>
          <w:rFonts w:ascii="Arial" w:cs="Arial" w:eastAsia="Arial" w:hAnsi="Arial"/>
          <w:sz w:val="16"/>
          <w:szCs w:val="16"/>
          <w:color w:val="auto"/>
        </w:rPr>
        <w:t>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the First License MGH Patent Rights to make, have made, use, have used, sell, offer for sale, and import products and processes in substantially all fields other than the First MGH Exclusive License Field. Products and processes used for clinical diagnostic assays are specifically excluded from our non</w:t>
      </w:r>
      <w:r>
        <w:rPr>
          <w:rFonts w:ascii="MS PGothic" w:cs="MS PGothic" w:eastAsia="MS PGothic" w:hAnsi="MS PGothic"/>
          <w:sz w:val="16"/>
          <w:szCs w:val="16"/>
          <w:color w:val="auto"/>
        </w:rPr>
        <w:t>‑</w:t>
      </w:r>
      <w:r>
        <w:rPr>
          <w:rFonts w:ascii="Arial" w:cs="Arial" w:eastAsia="Arial" w:hAnsi="Arial"/>
          <w:sz w:val="16"/>
          <w:szCs w:val="16"/>
          <w:color w:val="auto"/>
        </w:rPr>
        <w:t>exclusive license to the First License MGH Patent Rights. In addition, MGH granted us a non</w:t>
      </w:r>
      <w:r>
        <w:rPr>
          <w:rFonts w:ascii="MS PGothic" w:cs="MS PGothic" w:eastAsia="MS PGothic" w:hAnsi="MS PGothic"/>
          <w:sz w:val="16"/>
          <w:szCs w:val="16"/>
          <w:color w:val="auto"/>
        </w:rPr>
        <w:t>‑</w:t>
      </w:r>
      <w:r>
        <w:rPr>
          <w:rFonts w:ascii="Arial" w:cs="Arial" w:eastAsia="Arial" w:hAnsi="Arial"/>
          <w:sz w:val="16"/>
          <w:szCs w:val="16"/>
          <w:color w:val="auto"/>
        </w:rPr>
        <w:t>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under specified MGH know</w:t>
      </w:r>
      <w:r>
        <w:rPr>
          <w:rFonts w:ascii="MS PGothic" w:cs="MS PGothic" w:eastAsia="MS PGothic" w:hAnsi="MS PGothic"/>
          <w:sz w:val="16"/>
          <w:szCs w:val="16"/>
          <w:color w:val="auto"/>
        </w:rPr>
        <w:t>‑</w:t>
      </w:r>
      <w:r>
        <w:rPr>
          <w:rFonts w:ascii="Arial" w:cs="Arial" w:eastAsia="Arial" w:hAnsi="Arial"/>
          <w:sz w:val="16"/>
          <w:szCs w:val="16"/>
          <w:color w:val="auto"/>
        </w:rPr>
        <w:t>how and biological materials to make, have made, use, have used, sell, offer for sale, and import products and processes in all fields, except for products and processes used for clinical diagnostic assays. The licenses granted to us by MGH under the First MGH License Agreement are subject to retained rights of the U.S. government in the First License MGH Patent Rights and a royalty</w:t>
      </w:r>
      <w:r>
        <w:rPr>
          <w:rFonts w:ascii="MS PGothic" w:cs="MS PGothic" w:eastAsia="MS PGothic" w:hAnsi="MS PGothic"/>
          <w:sz w:val="16"/>
          <w:szCs w:val="16"/>
          <w:color w:val="auto"/>
        </w:rPr>
        <w:t>‑</w:t>
      </w:r>
      <w:r>
        <w:rPr>
          <w:rFonts w:ascii="Arial" w:cs="Arial" w:eastAsia="Arial" w:hAnsi="Arial"/>
          <w:sz w:val="16"/>
          <w:szCs w:val="16"/>
          <w:color w:val="auto"/>
        </w:rPr>
        <w:t>free right of MGH, academic, and not</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profit institutions, to practice the First License MGH Patent Rights for educational, research, and clinical purposes.</w:t>
      </w:r>
    </w:p>
    <w:p>
      <w:pPr>
        <w:spacing w:after="0" w:line="167"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We are obligated to use commercially reasonable efforts to research, develop, and commercialize products and processes in the exclusive license field and outside the First MGH Exclusive License Field under the First MGH License Agreement. Also, we are required to achieve certain development milestones within specified time periods for products and processes in the First MGH Exclusive License Field and outside the First MGH Exclusive License Field. MGH has the right to terminate our license if we fail to achieve these development milestones.</w:t>
      </w:r>
    </w:p>
    <w:p>
      <w:pPr>
        <w:spacing w:after="0" w:line="161"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Under the First MGH License Agreement, we paid MGH an upfront license fee in the low six digit dollar amount and issued less than one percent of our common stock to MGH. We also must pay an annual license maintenance fee ranging from low</w:t>
      </w:r>
      <w:r>
        <w:rPr>
          <w:rFonts w:ascii="MS PGothic" w:cs="MS PGothic" w:eastAsia="MS PGothic" w:hAnsi="MS PGothic"/>
          <w:sz w:val="16"/>
          <w:szCs w:val="16"/>
          <w:color w:val="auto"/>
        </w:rPr>
        <w:t>‑</w:t>
      </w:r>
      <w:r>
        <w:rPr>
          <w:rFonts w:ascii="Arial" w:cs="Arial" w:eastAsia="Arial" w:hAnsi="Arial"/>
          <w:sz w:val="16"/>
          <w:szCs w:val="16"/>
          <w:color w:val="auto"/>
        </w:rPr>
        <w:t xml:space="preserve"> to mid</w:t>
      </w:r>
      <w:r>
        <w:rPr>
          <w:rFonts w:ascii="MS PGothic" w:cs="MS PGothic" w:eastAsia="MS PGothic" w:hAnsi="MS PGothic"/>
          <w:sz w:val="16"/>
          <w:szCs w:val="16"/>
          <w:color w:val="auto"/>
        </w:rPr>
        <w:t>‑</w:t>
      </w:r>
      <w:r>
        <w:rPr>
          <w:rFonts w:ascii="Arial" w:cs="Arial" w:eastAsia="Arial" w:hAnsi="Arial"/>
          <w:sz w:val="16"/>
          <w:szCs w:val="16"/>
          <w:color w:val="auto"/>
        </w:rPr>
        <w:t xml:space="preserve">five digit dollar amount, depending on the calendar year, beginning in 2017. We are obligated to reimburse MGH for expenses associated with the prosecution and maintenance of the First License MGH Patent Rights, including expenses associated with any interference proceedings in the USPTO, any opposition proceedings in the EPO, or any other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or other post grant proceedings in these or other jurisdictions where we are seeking patent protection.</w:t>
      </w:r>
    </w:p>
    <w:p>
      <w:pPr>
        <w:spacing w:after="0" w:line="166"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MGH is entitled to receive clinical, regulatory, and commercial milestone payments totaling up to $1.4 million in the aggregate for the first licensed product or process, clinical, and regulatory milestone payments totaling up to $125,000 in the aggregate for each of the second, third, and fourth indications for which we conduct clinical trials of a licensed product or process and commercial milestone payments totaling up to $625,000 in the aggregate for each of the second, third, and fourth licensed products or process we introduce into the market. We are obligated to make additional payments to MGH of up to an aggregate of $1.8 million upon the occurrence of certain sales milestones.</w:t>
      </w:r>
    </w:p>
    <w:p>
      <w:pPr>
        <w:spacing w:after="0" w:line="16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We are also obligated to pay MGH low single</w:t>
      </w:r>
      <w:r>
        <w:rPr>
          <w:rFonts w:ascii="MS PGothic" w:cs="MS PGothic" w:eastAsia="MS PGothic" w:hAnsi="MS PGothic"/>
          <w:sz w:val="16"/>
          <w:szCs w:val="16"/>
          <w:color w:val="auto"/>
        </w:rPr>
        <w:t>‑</w:t>
      </w:r>
      <w:r>
        <w:rPr>
          <w:rFonts w:ascii="Arial" w:cs="Arial" w:eastAsia="Arial" w:hAnsi="Arial"/>
          <w:sz w:val="16"/>
          <w:szCs w:val="16"/>
          <w:color w:val="auto"/>
        </w:rPr>
        <w:t>digit percentage royalties on net sales of products for the prevention or treatment of human disease, and ranging from low single</w:t>
      </w:r>
      <w:r>
        <w:rPr>
          <w:rFonts w:ascii="MS PGothic" w:cs="MS PGothic" w:eastAsia="MS PGothic" w:hAnsi="MS PGothic"/>
          <w:sz w:val="16"/>
          <w:szCs w:val="16"/>
          <w:color w:val="auto"/>
        </w:rPr>
        <w:t>‑</w:t>
      </w:r>
      <w:r>
        <w:rPr>
          <w:rFonts w:ascii="Arial" w:cs="Arial" w:eastAsia="Arial" w:hAnsi="Arial"/>
          <w:sz w:val="16"/>
          <w:szCs w:val="16"/>
          <w:color w:val="auto"/>
        </w:rPr>
        <w:t>digit to low double</w:t>
      </w:r>
      <w:r>
        <w:rPr>
          <w:rFonts w:ascii="MS PGothic" w:cs="MS PGothic" w:eastAsia="MS PGothic" w:hAnsi="MS PGothic"/>
          <w:sz w:val="16"/>
          <w:szCs w:val="16"/>
          <w:color w:val="auto"/>
        </w:rPr>
        <w:t>‑</w:t>
      </w:r>
      <w:r>
        <w:rPr>
          <w:rFonts w:ascii="Arial" w:cs="Arial" w:eastAsia="Arial" w:hAnsi="Arial"/>
          <w:sz w:val="16"/>
          <w:szCs w:val="16"/>
          <w:color w:val="auto"/>
        </w:rPr>
        <w:t>digit percentage royalties on net sales of other products and services made by us, our affiliates, or our sublicensees. The royalty percentage depends on the product and service, and whether such licensed product or licensed service is covered by a valid claim within the First License MGH Patent Rights. If we pay royalties to a third party on net sales of our products, then we can credit up to a mid double</w:t>
      </w:r>
      <w:r>
        <w:rPr>
          <w:rFonts w:ascii="MS PGothic" w:cs="MS PGothic" w:eastAsia="MS PGothic" w:hAnsi="MS PGothic"/>
          <w:sz w:val="16"/>
          <w:szCs w:val="16"/>
          <w:color w:val="auto"/>
        </w:rPr>
        <w:t>‑</w:t>
      </w:r>
      <w:r>
        <w:rPr>
          <w:rFonts w:ascii="Arial" w:cs="Arial" w:eastAsia="Arial" w:hAnsi="Arial"/>
          <w:sz w:val="16"/>
          <w:szCs w:val="16"/>
          <w:color w:val="auto"/>
        </w:rPr>
        <w:t>digit percentage of the amount paid to such third party against the royalties due to MGH. Our obligation to pay royalties will expire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upon the later of the expiration of the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80"/>
        <w:spacing w:after="0" w:line="180" w:lineRule="exact"/>
        <w:rPr>
          <w:sz w:val="20"/>
          <w:szCs w:val="20"/>
          <w:color w:val="auto"/>
        </w:rPr>
      </w:pPr>
      <w:r>
        <w:rPr>
          <w:rFonts w:ascii="Arial" w:cs="Arial" w:eastAsia="Arial" w:hAnsi="Arial"/>
          <w:sz w:val="17"/>
          <w:szCs w:val="17"/>
          <w:color w:val="auto"/>
        </w:rPr>
        <w:t>last to expire valid claim of the First License MGH Patent Rights that cover the composition, manufacture or use of each covered product or service in each country or the tenth anniversary of the date of the first commercial sale of the product or service. If we sublicense any of the First License MGH Patent Rights or know</w:t>
      </w:r>
      <w:r>
        <w:rPr>
          <w:rFonts w:ascii="MS PGothic" w:cs="MS PGothic" w:eastAsia="MS PGothic" w:hAnsi="MS PGothic"/>
          <w:sz w:val="17"/>
          <w:szCs w:val="17"/>
          <w:color w:val="auto"/>
        </w:rPr>
        <w:t>‑</w:t>
      </w:r>
      <w:r>
        <w:rPr>
          <w:rFonts w:ascii="Arial" w:cs="Arial" w:eastAsia="Arial" w:hAnsi="Arial"/>
          <w:sz w:val="17"/>
          <w:szCs w:val="17"/>
          <w:color w:val="auto"/>
        </w:rPr>
        <w:t>how or materials licensed under the First MGH License Agreement to a third party in the First MGH Exclusive License Field, MGH has the right to receive a low double</w:t>
      </w:r>
      <w:r>
        <w:rPr>
          <w:rFonts w:ascii="MS PGothic" w:cs="MS PGothic" w:eastAsia="MS PGothic" w:hAnsi="MS PGothic"/>
          <w:sz w:val="17"/>
          <w:szCs w:val="17"/>
          <w:color w:val="auto"/>
        </w:rPr>
        <w:t>‑</w:t>
      </w:r>
      <w:r>
        <w:rPr>
          <w:rFonts w:ascii="Arial" w:cs="Arial" w:eastAsia="Arial" w:hAnsi="Arial"/>
          <w:sz w:val="17"/>
          <w:szCs w:val="17"/>
          <w:color w:val="auto"/>
        </w:rPr>
        <w:t>digit percentage of the sublicense income, which percentage decreases to a high single</w:t>
      </w:r>
      <w:r>
        <w:rPr>
          <w:rFonts w:ascii="MS PGothic" w:cs="MS PGothic" w:eastAsia="MS PGothic" w:hAnsi="MS PGothic"/>
          <w:sz w:val="17"/>
          <w:szCs w:val="17"/>
          <w:color w:val="auto"/>
        </w:rPr>
        <w:t>‑</w:t>
      </w:r>
      <w:r>
        <w:rPr>
          <w:rFonts w:ascii="Arial" w:cs="Arial" w:eastAsia="Arial" w:hAnsi="Arial"/>
          <w:sz w:val="17"/>
          <w:szCs w:val="17"/>
          <w:color w:val="auto"/>
        </w:rPr>
        <w:t>digit percentage after a specified period of time. If we sublicense any of the First License MGH Patent Rights or know</w:t>
      </w:r>
      <w:r>
        <w:rPr>
          <w:rFonts w:ascii="MS PGothic" w:cs="MS PGothic" w:eastAsia="MS PGothic" w:hAnsi="MS PGothic"/>
          <w:sz w:val="17"/>
          <w:szCs w:val="17"/>
          <w:color w:val="auto"/>
        </w:rPr>
        <w:t>‑</w:t>
      </w:r>
      <w:r>
        <w:rPr>
          <w:rFonts w:ascii="Arial" w:cs="Arial" w:eastAsia="Arial" w:hAnsi="Arial"/>
          <w:sz w:val="17"/>
          <w:szCs w:val="17"/>
          <w:color w:val="auto"/>
        </w:rPr>
        <w:t>how or materials licensed under the First MGH License Agreement to a third party in the field of research products or processes, MGH has the right to receive a high double</w:t>
      </w:r>
      <w:r>
        <w:rPr>
          <w:rFonts w:ascii="MS PGothic" w:cs="MS PGothic" w:eastAsia="MS PGothic" w:hAnsi="MS PGothic"/>
          <w:sz w:val="17"/>
          <w:szCs w:val="17"/>
          <w:color w:val="auto"/>
        </w:rPr>
        <w:t>‑</w:t>
      </w:r>
      <w:r>
        <w:rPr>
          <w:rFonts w:ascii="Arial" w:cs="Arial" w:eastAsia="Arial" w:hAnsi="Arial"/>
          <w:sz w:val="17"/>
          <w:szCs w:val="17"/>
          <w:color w:val="auto"/>
        </w:rPr>
        <w:t>digit percentage of the sublicense income. If we sublicense any of the First License MGH Patent Rights or know</w:t>
      </w:r>
      <w:r>
        <w:rPr>
          <w:rFonts w:ascii="MS PGothic" w:cs="MS PGothic" w:eastAsia="MS PGothic" w:hAnsi="MS PGothic"/>
          <w:sz w:val="17"/>
          <w:szCs w:val="17"/>
          <w:color w:val="auto"/>
        </w:rPr>
        <w:t>‑</w:t>
      </w:r>
      <w:r>
        <w:rPr>
          <w:rFonts w:ascii="Arial" w:cs="Arial" w:eastAsia="Arial" w:hAnsi="Arial"/>
          <w:sz w:val="17"/>
          <w:szCs w:val="17"/>
          <w:color w:val="auto"/>
        </w:rPr>
        <w:t>how or materials licensed under the First MGH License Agreement to a third party in any field outside the First MGH Exclusive License Field and outside the field of research products or processes, MGH has the right to receive a low double</w:t>
      </w:r>
      <w:r>
        <w:rPr>
          <w:rFonts w:ascii="MS PGothic" w:cs="MS PGothic" w:eastAsia="MS PGothic" w:hAnsi="MS PGothic"/>
          <w:sz w:val="17"/>
          <w:szCs w:val="17"/>
          <w:color w:val="auto"/>
        </w:rPr>
        <w:t>‑</w:t>
      </w:r>
      <w:r>
        <w:rPr>
          <w:rFonts w:ascii="Arial" w:cs="Arial" w:eastAsia="Arial" w:hAnsi="Arial"/>
          <w:sz w:val="17"/>
          <w:szCs w:val="17"/>
          <w:color w:val="auto"/>
        </w:rPr>
        <w:t>digit percentage of the sublicense income.</w:t>
      </w:r>
    </w:p>
    <w:p>
      <w:pPr>
        <w:spacing w:after="0" w:line="167"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MGH retains control of the prosecution and maintenance of the First License MGH Patent Rights. We have the right to provide input in the prosecution of the First License MGH Patent Rights, including directing MGH to file and prosecute patents in certain countries. MGH controls the enforcement of the First License MGH Patent Rights, except for the enforcement of the rights exclusively licensed to us, which we control at our expense. We may not enter into any settlement without the prior written consent of MGH. We also retain the first right to defend against any legal or administrative action taken by a third party against a First License MGH Patent Right at our own costs.</w:t>
      </w:r>
    </w:p>
    <w:p>
      <w:pPr>
        <w:spacing w:after="0" w:line="16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8"/>
          <w:szCs w:val="18"/>
          <w:color w:val="auto"/>
        </w:rPr>
        <w:t>Unless terminated earlier, the term of the First MGH License Agreement will expire, on a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upon the expiration or abandonment of all First License MGH Patent Rights in such country. However, our royalty obligations, discussed above, may survive expiration or termination. We have the right to terminate the First MGH License Agreement at will upon 90 days’ written notice to MGH. MGH may terminate the First MGH License Agreement upon a specified period of written notice in the event of our uncured material breach, such notice period varying depending on the nature of the breach. MGH also may terminate the First MGH License Agreement immediately if we challenge the enforceability, validity, or scope of any First License MGH Patent Right or assist a third party to do so, or in the event of our bankruptcy or insolvency.</w:t>
      </w:r>
    </w:p>
    <w:p>
      <w:pPr>
        <w:spacing w:after="0" w:line="165"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In August 2016, we entered into a second license agreement with MGH for specified patent rights (the “Second License MGH Patent Rights” and such agreement, the “Second MGH License Agreement”). Pursuant to the Second MGH License Agreement, and as of December 31, 2017, we have certain rights under two issued U.S. patents, six pending U.S. patent applications, one pending European patent application, one pending PCT patent application, and other related patent applications in jurisdictions outside of the United States and Europe. The Second License MGH Patent Rights are directed, in part, to CRISPR/Cas9 compositions of matter and their use for genome editing.</w:t>
      </w:r>
    </w:p>
    <w:p>
      <w:pPr>
        <w:spacing w:after="0" w:line="16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Pursuant to the Second MGH License Agreement, MGH granted us an 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the Second License MGH Patent Rights, to make, have made, use, have used, sell, offer for sale and have sold products and processes in the fields of the prevention and treatment of human and animal disease, or collectively, the Second MGH Exclusive Field. MGH also granted us a non</w:t>
      </w:r>
      <w:r>
        <w:rPr>
          <w:rFonts w:ascii="MS PGothic" w:cs="MS PGothic" w:eastAsia="MS PGothic" w:hAnsi="MS PGothic"/>
          <w:sz w:val="16"/>
          <w:szCs w:val="16"/>
          <w:color w:val="auto"/>
        </w:rPr>
        <w:t>‑</w:t>
      </w:r>
      <w:r>
        <w:rPr>
          <w:rFonts w:ascii="Arial" w:cs="Arial" w:eastAsia="Arial" w:hAnsi="Arial"/>
          <w:sz w:val="16"/>
          <w:szCs w:val="16"/>
          <w:color w:val="auto"/>
        </w:rPr>
        <w:t>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use research data and other information pertaining to the Second License MGH Patent Rights to make, have made, use, have used, sell, offer for sale and have sold products and processes in the Second MGH Exclusive Field. The licenses granted to us by MGH under the Second MGH License Agreement are subject to retained rights of the U.S. government in the Second License MGH Patent Rights and the royalty</w:t>
      </w:r>
      <w:r>
        <w:rPr>
          <w:rFonts w:ascii="MS PGothic" w:cs="MS PGothic" w:eastAsia="MS PGothic" w:hAnsi="MS PGothic"/>
          <w:sz w:val="16"/>
          <w:szCs w:val="16"/>
          <w:color w:val="auto"/>
        </w:rPr>
        <w:t>‑</w:t>
      </w:r>
      <w:r>
        <w:rPr>
          <w:rFonts w:ascii="Arial" w:cs="Arial" w:eastAsia="Arial" w:hAnsi="Arial"/>
          <w:sz w:val="16"/>
          <w:szCs w:val="16"/>
          <w:color w:val="auto"/>
        </w:rPr>
        <w:t>free right of MGH, its affiliates, and academic, government, and not</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profit institutions to practice the Second License MGH Patent Rights for research and educational purposes.</w:t>
      </w:r>
    </w:p>
    <w:p>
      <w:pPr>
        <w:spacing w:after="0" w:line="168"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are obligated under the Second MGH License Agreement to use commercially reasonable efforts to research, develop, and commercialize products and processes in the Second MGH Exclusive Field. As part of these obligations, we are required to achieve certain development milestones within specified time periods, with MGH having the right to terminate the Second MGH License Agreement if we fail to achieve these milestones within the required time periods.</w:t>
      </w:r>
    </w:p>
    <w:p>
      <w:pPr>
        <w:spacing w:after="0" w:line="155" w:lineRule="exact"/>
        <w:rPr>
          <w:sz w:val="20"/>
          <w:szCs w:val="20"/>
          <w:color w:val="auto"/>
        </w:rPr>
      </w:pPr>
    </w:p>
    <w:p>
      <w:pPr>
        <w:ind w:right="100" w:firstLine="648"/>
        <w:spacing w:after="0" w:line="238" w:lineRule="auto"/>
        <w:rPr>
          <w:sz w:val="20"/>
          <w:szCs w:val="20"/>
          <w:color w:val="auto"/>
        </w:rPr>
      </w:pPr>
      <w:r>
        <w:rPr>
          <w:rFonts w:ascii="Arial" w:cs="Arial" w:eastAsia="Arial" w:hAnsi="Arial"/>
          <w:sz w:val="17"/>
          <w:szCs w:val="17"/>
          <w:color w:val="auto"/>
        </w:rPr>
        <w:t>Under the Second MGH License Agreement, we paid MGH an upfront license fee in the high six digits. We also must pay an annual license maintenance fee beginning in 2018 that increases over time within a specified dollar range in the low six digits, with such maintenance fee being creditable against any royalties due to MGH under the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Second MGH License Agreement in the same calendar year. We are obligated to reimburse MGH for expenses associated with the prosecution and maintenance of the Second License MGH Patent Rights.</w:t>
      </w:r>
    </w:p>
    <w:p>
      <w:pPr>
        <w:spacing w:after="0" w:line="162" w:lineRule="exact"/>
        <w:rPr>
          <w:sz w:val="20"/>
          <w:szCs w:val="20"/>
          <w:color w:val="auto"/>
        </w:rPr>
      </w:pPr>
    </w:p>
    <w:p>
      <w:pPr>
        <w:ind w:right="160" w:firstLine="648"/>
        <w:spacing w:after="0" w:line="244" w:lineRule="auto"/>
        <w:rPr>
          <w:sz w:val="20"/>
          <w:szCs w:val="20"/>
          <w:color w:val="auto"/>
        </w:rPr>
      </w:pPr>
      <w:r>
        <w:rPr>
          <w:rFonts w:ascii="Arial" w:cs="Arial" w:eastAsia="Arial" w:hAnsi="Arial"/>
          <w:sz w:val="16"/>
          <w:szCs w:val="16"/>
          <w:color w:val="auto"/>
        </w:rPr>
        <w:t>MGH is entitled to receive clinical and regulatory milestone payments totaling less than $1.0 million in the aggregate for up to four licensed products or processes to achieve the specified clinical and regulatory milestones. In addition, MGH is entitled to receive commercial sales milestone payments totaling up to $4.9 million in the aggregate upon the achievement of milestones relating to first commercial sales of up to four licensed products or processes in the United States and abroad as well as milestones relating to annual net sales of products or processes meeting specified thresholds.</w:t>
      </w:r>
    </w:p>
    <w:p>
      <w:pPr>
        <w:spacing w:after="0" w:line="159"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We are also obligated to pay MGH royalties of less than 1% on net sales of products and processes for the prevention or treatment of human disease, and royalties of a low single</w:t>
      </w:r>
      <w:r>
        <w:rPr>
          <w:rFonts w:ascii="MS PGothic" w:cs="MS PGothic" w:eastAsia="MS PGothic" w:hAnsi="MS PGothic"/>
          <w:sz w:val="16"/>
          <w:szCs w:val="16"/>
          <w:color w:val="auto"/>
        </w:rPr>
        <w:t>‑</w:t>
      </w:r>
      <w:r>
        <w:rPr>
          <w:rFonts w:ascii="Arial" w:cs="Arial" w:eastAsia="Arial" w:hAnsi="Arial"/>
          <w:sz w:val="16"/>
          <w:szCs w:val="16"/>
          <w:color w:val="auto"/>
        </w:rPr>
        <w:t>digit percentage on net sales of products and processes for the prevention or treatment of a non</w:t>
      </w:r>
      <w:r>
        <w:rPr>
          <w:rFonts w:ascii="MS PGothic" w:cs="MS PGothic" w:eastAsia="MS PGothic" w:hAnsi="MS PGothic"/>
          <w:sz w:val="16"/>
          <w:szCs w:val="16"/>
          <w:color w:val="auto"/>
        </w:rPr>
        <w:t>‑</w:t>
      </w:r>
      <w:r>
        <w:rPr>
          <w:rFonts w:ascii="Arial" w:cs="Arial" w:eastAsia="Arial" w:hAnsi="Arial"/>
          <w:sz w:val="16"/>
          <w:szCs w:val="16"/>
          <w:color w:val="auto"/>
        </w:rPr>
        <w:t>human animal disease, made by us, our affiliates, or our sublicensees. Our obligation to pay royalties will expire on a product/process</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product/process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upon the later of the expiration of the last to expire valid claim of the Second License MGH Patent Rights that covers the applicable product or process and the tenth anniversary of the date of the first commercial sale of the applicable product or process. The royalty percentages that we are obligated to pay are subject to reduction if at the time of sale the applicable product or process is not covered by a valid claim within the Second License MGH Patent Rights. If we pay royalties to a third party on net sales of a product or process for which a royalty is due under both First MGH License Agreement and the Second MGH License Agreement, we can credit up to a mid double</w:t>
      </w:r>
      <w:r>
        <w:rPr>
          <w:rFonts w:ascii="MS PGothic" w:cs="MS PGothic" w:eastAsia="MS PGothic" w:hAnsi="MS PGothic"/>
          <w:sz w:val="16"/>
          <w:szCs w:val="16"/>
          <w:color w:val="auto"/>
        </w:rPr>
        <w:t>‑</w:t>
      </w:r>
      <w:r>
        <w:rPr>
          <w:rFonts w:ascii="Arial" w:cs="Arial" w:eastAsia="Arial" w:hAnsi="Arial"/>
          <w:sz w:val="16"/>
          <w:szCs w:val="16"/>
          <w:color w:val="auto"/>
        </w:rPr>
        <w:t>digit percentage of the amount paid to such third party against the royalties due to MGH under the Second MGH License Agreement, provided that the royalties due to MGH under the Second MGH License Agreement may not be reduced by more than a low to mid double</w:t>
      </w:r>
      <w:r>
        <w:rPr>
          <w:rFonts w:ascii="MS PGothic" w:cs="MS PGothic" w:eastAsia="MS PGothic" w:hAnsi="MS PGothic"/>
          <w:sz w:val="16"/>
          <w:szCs w:val="16"/>
          <w:color w:val="auto"/>
        </w:rPr>
        <w:t>‑</w:t>
      </w:r>
      <w:r>
        <w:rPr>
          <w:rFonts w:ascii="Arial" w:cs="Arial" w:eastAsia="Arial" w:hAnsi="Arial"/>
          <w:sz w:val="16"/>
          <w:szCs w:val="16"/>
          <w:color w:val="auto"/>
        </w:rPr>
        <w:t>digit percentage.</w:t>
      </w:r>
    </w:p>
    <w:p>
      <w:pPr>
        <w:spacing w:after="0" w:line="170" w:lineRule="exact"/>
        <w:rPr>
          <w:sz w:val="20"/>
          <w:szCs w:val="20"/>
          <w:color w:val="auto"/>
        </w:rPr>
      </w:pPr>
    </w:p>
    <w:p>
      <w:pPr>
        <w:ind w:right="60" w:firstLine="648"/>
        <w:spacing w:after="0" w:line="233" w:lineRule="auto"/>
        <w:rPr>
          <w:sz w:val="20"/>
          <w:szCs w:val="20"/>
          <w:color w:val="auto"/>
        </w:rPr>
      </w:pPr>
      <w:r>
        <w:rPr>
          <w:rFonts w:ascii="Arial" w:cs="Arial" w:eastAsia="Arial" w:hAnsi="Arial"/>
          <w:sz w:val="16"/>
          <w:szCs w:val="16"/>
          <w:color w:val="auto"/>
        </w:rPr>
        <w:t>Under the Second MGH License Agreement, MGH is also entitled to receive certain payments in the event our market capitalization reaches specified thresholds ranging from low to high ten digit dollar amounts (the “MGH Market Cap Success Payments”). The MGH Market Cap Success Payments payable to MGH range from a low seven digit dollar amount to a low eight digit dollar amount, which low eight digit dollar amount would be payable only if we achieve at least market capitalization of a high ten digit dollar amount and if we have one licensed product that (i) is the subject of a Phase 1 clinical trial of which we or one of our affiliates or sublicensees is the sponsor, (ii) was the subject of a Phase 1 clinical trial of which we or one of our affiliates or sublicensees was the sponsor with us having determined to conduct a subsequent clinical trial with respect to such product candidate, or (iii) has been approved for sale in either the United States or the European Union. In addition, in the event of an asset sale or merger of our company to a third party for consideration in excess of one or more market capitalization thresholds, we must pay MGH all MGH Market Cap Success Payments corresponding to such market capitalization thresholds that have not previously been paid (the “MGH Company Sale Success Payments”). MGH Market Cap Success Payments are payable in cash or shares of our common stock at our discretion, and MGH Company Sale Success Payments are payable solely in cash. In December 2017, an MGH Market Cap Success Payment of $2.0 million became due under our Second MGH License Agreement in connection with our market capitalization reaching $1.0 billion, which we settled in January 2018 through the issuance of 80,000 shares of our common stock to MGH.</w:t>
      </w:r>
    </w:p>
    <w:p>
      <w:pPr>
        <w:spacing w:after="0" w:line="170"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MGH retains control of the prosecution and maintenance of the Second License MGH Patent Rights. We have the right to provide input in the prosecution of the Second License MGH Patent Rights, including to direct MGH to file and prosecute patents in certain countries at our cost. We control, at our expense, the enforcement of the rights exclusively licensed to us. We may not enter into any settlement without the prior written consent of MGH. We also retain the first right to defend against any legal or administrative action taken by a third party against a Second License MGH Patent Right at our own cost.</w:t>
      </w:r>
    </w:p>
    <w:p>
      <w:pPr>
        <w:spacing w:after="0" w:line="162"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Unless terminated earlier, the term of the Second MGH License Agreement will expire upon the expiration or abandonment of all the Second License MGH Patent Rights. However, our royalty obligations may survive expiration or termination. We have the right to terminate the Second MGH License Agreement at will upon 90 days written notice to MGH. MGH may terminate the Second MGH License Agreement upon specified periods of written notice in the event of our uncured material breach, with the length of such notice period varying depending on the nature of the breach. MGH also may terminate the license agreement immediately if we challenge the validity of any Second License MGH Patent Rights or in the event of our bankruptcy or insolvency.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Our success depends in part on our ability to obtain and maintain proprietary protection for our platform technology, programs, and know</w:t>
      </w:r>
      <w:r>
        <w:rPr>
          <w:rFonts w:ascii="MS PGothic" w:cs="MS PGothic" w:eastAsia="MS PGothic" w:hAnsi="MS PGothic"/>
          <w:sz w:val="17"/>
          <w:szCs w:val="17"/>
          <w:color w:val="auto"/>
        </w:rPr>
        <w:t>‑</w:t>
      </w:r>
      <w:r>
        <w:rPr>
          <w:rFonts w:ascii="Arial" w:cs="Arial" w:eastAsia="Arial" w:hAnsi="Arial"/>
          <w:sz w:val="17"/>
          <w:szCs w:val="17"/>
          <w:color w:val="auto"/>
        </w:rPr>
        <w:t>how related to our business, defend and enforce our intellectual property rights, in particular, our patent rights, preserve the confidentiality of our trade secrets, and operate without infringing valid and enforceable intellectual property rights of others. We seek to protect our proprietary position by, among other things, exclusively licensing and filing U.S. and certain foreign patent applications related to our platform technology, existing and planned programs, and improvements that are important to the development of our business, where patent protection is available. We also rely on trade secrets, know</w:t>
      </w:r>
      <w:r>
        <w:rPr>
          <w:rFonts w:ascii="MS PGothic" w:cs="MS PGothic" w:eastAsia="MS PGothic" w:hAnsi="MS PGothic"/>
          <w:sz w:val="17"/>
          <w:szCs w:val="17"/>
          <w:color w:val="auto"/>
        </w:rPr>
        <w:t>‑</w:t>
      </w:r>
      <w:r>
        <w:rPr>
          <w:rFonts w:ascii="Arial" w:cs="Arial" w:eastAsia="Arial" w:hAnsi="Arial"/>
          <w:sz w:val="17"/>
          <w:szCs w:val="17"/>
          <w:color w:val="auto"/>
        </w:rPr>
        <w:t>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63"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Our in</w:t>
      </w:r>
      <w:r>
        <w:rPr>
          <w:rFonts w:ascii="MS PGothic" w:cs="MS PGothic" w:eastAsia="MS PGothic" w:hAnsi="MS PGothic"/>
          <w:sz w:val="17"/>
          <w:szCs w:val="17"/>
          <w:color w:val="auto"/>
        </w:rPr>
        <w:t>‑</w:t>
      </w:r>
      <w:r>
        <w:rPr>
          <w:rFonts w:ascii="Arial" w:cs="Arial" w:eastAsia="Arial" w:hAnsi="Arial"/>
          <w:sz w:val="17"/>
          <w:szCs w:val="17"/>
          <w:color w:val="auto"/>
        </w:rPr>
        <w:t xml:space="preserve">licensed patents and patent applications cover various aspects of our genome editing platform technology, including CRISPR systems that employ Cas9 including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Cas9, high</w:t>
      </w:r>
      <w:r>
        <w:rPr>
          <w:rFonts w:ascii="MS PGothic" w:cs="MS PGothic" w:eastAsia="MS PGothic" w:hAnsi="MS PGothic"/>
          <w:sz w:val="17"/>
          <w:szCs w:val="17"/>
          <w:color w:val="auto"/>
        </w:rPr>
        <w:t>‑</w:t>
      </w:r>
      <w:r>
        <w:rPr>
          <w:rFonts w:ascii="Arial" w:cs="Arial" w:eastAsia="Arial" w:hAnsi="Arial"/>
          <w:sz w:val="17"/>
          <w:szCs w:val="17"/>
          <w:color w:val="auto"/>
        </w:rPr>
        <w:t>fidelity Cas9 nucleases and Cas9 PAM variants, self</w:t>
      </w:r>
      <w:r>
        <w:rPr>
          <w:rFonts w:ascii="MS PGothic" w:cs="MS PGothic" w:eastAsia="MS PGothic" w:hAnsi="MS PGothic"/>
          <w:sz w:val="17"/>
          <w:szCs w:val="17"/>
          <w:color w:val="auto"/>
        </w:rPr>
        <w:t>‑</w:t>
      </w:r>
      <w:r>
        <w:rPr>
          <w:rFonts w:ascii="Arial" w:cs="Arial" w:eastAsia="Arial" w:hAnsi="Arial"/>
          <w:sz w:val="17"/>
          <w:szCs w:val="17"/>
          <w:color w:val="auto"/>
        </w:rPr>
        <w:t>inactivating forms of Cas9, Cas9 nickases, CRISPR systems that employ Cpf1 including Cpf1 nickases and other variants and self</w:t>
      </w:r>
      <w:r>
        <w:rPr>
          <w:rFonts w:ascii="MS PGothic" w:cs="MS PGothic" w:eastAsia="MS PGothic" w:hAnsi="MS PGothic"/>
          <w:sz w:val="17"/>
          <w:szCs w:val="17"/>
          <w:color w:val="auto"/>
        </w:rPr>
        <w:t>‑</w:t>
      </w:r>
      <w:r>
        <w:rPr>
          <w:rFonts w:ascii="Arial" w:cs="Arial" w:eastAsia="Arial" w:hAnsi="Arial"/>
          <w:sz w:val="17"/>
          <w:szCs w:val="17"/>
          <w:color w:val="auto"/>
        </w:rPr>
        <w:t>inactivating forms of Cpf1, and also CRISPR systems that employ viral vectors for delivery, single guide RNAs, or modified guide RNAs. We also have filed patent applications and have in</w:t>
      </w:r>
      <w:r>
        <w:rPr>
          <w:rFonts w:ascii="MS PGothic" w:cs="MS PGothic" w:eastAsia="MS PGothic" w:hAnsi="MS PGothic"/>
          <w:sz w:val="17"/>
          <w:szCs w:val="17"/>
          <w:color w:val="auto"/>
        </w:rPr>
        <w:t>‑</w:t>
      </w:r>
      <w:r>
        <w:rPr>
          <w:rFonts w:ascii="Arial" w:cs="Arial" w:eastAsia="Arial" w:hAnsi="Arial"/>
          <w:sz w:val="17"/>
          <w:szCs w:val="17"/>
          <w:color w:val="auto"/>
        </w:rPr>
        <w:t>licensed rights to filed patent applications directed to each of the four components of our genome editing platform technology. We intend to pursue, when possible, additional patent protection, including composition of matter, method of use, and process claims, directed to each component of our platform technology. We also intend to obtain rights to existing delivery technologies through one or more licenses from third parties.</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Notwithstanding these efforts, we cannot be sure that patents will be granted with respect to any patent applications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technology. Moreover, trade secrets can be difficult to protect.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“Risk Factors—Risks Related to Our Intellectual Property.”</w:t>
      </w:r>
    </w:p>
    <w:p>
      <w:pPr>
        <w:spacing w:after="0" w:line="168"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As of December 31, 2017, we owned one U.S patent, 19 pending U.S. non</w:t>
      </w:r>
      <w:r>
        <w:rPr>
          <w:rFonts w:ascii="MS PGothic" w:cs="MS PGothic" w:eastAsia="MS PGothic" w:hAnsi="MS PGothic"/>
          <w:sz w:val="17"/>
          <w:szCs w:val="17"/>
          <w:color w:val="auto"/>
        </w:rPr>
        <w:t>‑</w:t>
      </w:r>
      <w:r>
        <w:rPr>
          <w:rFonts w:ascii="Arial" w:cs="Arial" w:eastAsia="Arial" w:hAnsi="Arial"/>
          <w:sz w:val="17"/>
          <w:szCs w:val="17"/>
          <w:color w:val="auto"/>
        </w:rPr>
        <w:t>provisional patent applications, 16 pending European patent applications, 16 pending U.S. provisional patent applications, 16 pending Patent Cooperation Treaty (“PCT”) patent applications, and other related patent applications in jurisdictions outside the United States and Europe, which include claims to compositions of matter and methods of use. One of these U.S. patents and its U.S. and foreign counterpart applications are co</w:t>
      </w:r>
      <w:r>
        <w:rPr>
          <w:rFonts w:ascii="MS PGothic" w:cs="MS PGothic" w:eastAsia="MS PGothic" w:hAnsi="MS PGothic"/>
          <w:sz w:val="17"/>
          <w:szCs w:val="17"/>
          <w:color w:val="auto"/>
        </w:rPr>
        <w:t>‑</w:t>
      </w:r>
      <w:r>
        <w:rPr>
          <w:rFonts w:ascii="Arial" w:cs="Arial" w:eastAsia="Arial" w:hAnsi="Arial"/>
          <w:sz w:val="17"/>
          <w:szCs w:val="17"/>
          <w:color w:val="auto"/>
        </w:rPr>
        <w:t>owned with Broad and Iowa and we have obtained an exclusive license to such co</w:t>
      </w:r>
      <w:r>
        <w:rPr>
          <w:rFonts w:ascii="MS PGothic" w:cs="MS PGothic" w:eastAsia="MS PGothic" w:hAnsi="MS PGothic"/>
          <w:sz w:val="17"/>
          <w:szCs w:val="17"/>
          <w:color w:val="auto"/>
        </w:rPr>
        <w:t>‑</w:t>
      </w:r>
      <w:r>
        <w:rPr>
          <w:rFonts w:ascii="Arial" w:cs="Arial" w:eastAsia="Arial" w:hAnsi="Arial"/>
          <w:sz w:val="17"/>
          <w:szCs w:val="17"/>
          <w:color w:val="auto"/>
        </w:rPr>
        <w:t>ownership rights from these third parties in the field of prevention or treatment of human disease using gene therapy or genome editing. In addition, three of these pending PCT patent applications and four of these pending U.S. provisional patent applications are co</w:t>
      </w:r>
      <w:r>
        <w:rPr>
          <w:rFonts w:ascii="MS PGothic" w:cs="MS PGothic" w:eastAsia="MS PGothic" w:hAnsi="MS PGothic"/>
          <w:sz w:val="17"/>
          <w:szCs w:val="17"/>
          <w:color w:val="auto"/>
        </w:rPr>
        <w:t>‑</w:t>
      </w:r>
      <w:r>
        <w:rPr>
          <w:rFonts w:ascii="Arial" w:cs="Arial" w:eastAsia="Arial" w:hAnsi="Arial"/>
          <w:sz w:val="17"/>
          <w:szCs w:val="17"/>
          <w:color w:val="auto"/>
        </w:rPr>
        <w:t>owned with certain of our collaborators because they encompass inventions developed under our collaborations. We intend to pursue, when possible, composition of matter, method of use, dosing, and formulation patent protection for genome editing products that we develop during the course of our business.</w:t>
      </w:r>
    </w:p>
    <w:p>
      <w:pPr>
        <w:spacing w:after="0" w:line="164"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of December 31, 2017, we in</w:t>
      </w:r>
      <w:r>
        <w:rPr>
          <w:rFonts w:ascii="MS PGothic" w:cs="MS PGothic" w:eastAsia="MS PGothic" w:hAnsi="MS PGothic"/>
          <w:sz w:val="16"/>
          <w:szCs w:val="16"/>
          <w:color w:val="auto"/>
        </w:rPr>
        <w:t>‑</w:t>
      </w:r>
      <w:r>
        <w:rPr>
          <w:rFonts w:ascii="Arial" w:cs="Arial" w:eastAsia="Arial" w:hAnsi="Arial"/>
          <w:sz w:val="16"/>
          <w:szCs w:val="16"/>
          <w:color w:val="auto"/>
        </w:rPr>
        <w:t>licensed 44 U.S. patents, which include claims to compositions of matter, methods of use, and certain processes as well as approximately 103 pending U.S. non</w:t>
      </w:r>
      <w:r>
        <w:rPr>
          <w:rFonts w:ascii="MS PGothic" w:cs="MS PGothic" w:eastAsia="MS PGothic" w:hAnsi="MS PGothic"/>
          <w:sz w:val="16"/>
          <w:szCs w:val="16"/>
          <w:color w:val="auto"/>
        </w:rPr>
        <w:t>‑</w:t>
      </w:r>
      <w:r>
        <w:rPr>
          <w:rFonts w:ascii="Arial" w:cs="Arial" w:eastAsia="Arial" w:hAnsi="Arial"/>
          <w:sz w:val="16"/>
          <w:szCs w:val="16"/>
          <w:color w:val="auto"/>
        </w:rPr>
        <w:t>provisional patent applications, 13 European patents and related validations, 66 pending European patent applications, six pending PCT patent applications, and other related patent applications in jurisdictions outside the United States and Europe, which include claims to compositions of matter, methods of use, and certain processes. The patents and patent applications outside of the United States and Europe are held primarily in Canada, Japan, and Australia, although some of our in</w:t>
      </w:r>
      <w:r>
        <w:rPr>
          <w:rFonts w:ascii="MS PGothic" w:cs="MS PGothic" w:eastAsia="MS PGothic" w:hAnsi="MS PGothic"/>
          <w:sz w:val="16"/>
          <w:szCs w:val="16"/>
          <w:color w:val="auto"/>
        </w:rPr>
        <w:t>‑</w:t>
      </w:r>
      <w:r>
        <w:rPr>
          <w:rFonts w:ascii="Arial" w:cs="Arial" w:eastAsia="Arial" w:hAnsi="Arial"/>
          <w:sz w:val="16"/>
          <w:szCs w:val="16"/>
          <w:color w:val="auto"/>
        </w:rPr>
        <w:t>licensed patent families were filed in a larger number of countries. Our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claim the inventions of investigators at various universities and institutions and the majority of these licensed patents and patent applications are licensed on an exclusive basis. The exclusive licenses are, in some cases, limited to certain technical fields. Certain U.S. patent applications licensed to us by Broad include Tokyo and NIH as joint applicants. Broad has only granted a license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to us with respect to its interests and to Tokyo’s interests in these U.S. patent applications but not to any foreign equivalents thereof. Broad does not and does not purport to grant any rights in NIH’s interest in these U.S. patent applications under our agreement. As a result, we may not have exclusive rights under any U.S. patents that issue from these U.S. patent applications and we may not have any rights under any foreign patents that issue from any foreign equivalents thereof. For more information regarding these license agreements, please see the section of this Annual Report on Form 10-K titled “Business —Intellectual Property Licenses.”</w:t>
      </w:r>
    </w:p>
    <w:p>
      <w:pPr>
        <w:spacing w:after="0" w:line="162"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On January 11, 2016, the Patent Trial and Appeal Board of the USPTO (the “PTAB”) declared an interference between a pending U.S. patent application (U.S. Serial No. 13/842,859) that is owned by the University of California, the University of Vienna, and Emmanuelle Charpentier and 12 U.S. patents (U.S. Patent Nos. 8,697,359; 8,771,945; 8,795,965; 8,865,406; 8,871,445; 8,889,356; 8,895,308; 8,906,616; 8,932,814; 8,945,839; 8,993,233; and 8,999,641) that are co</w:t>
      </w:r>
      <w:r>
        <w:rPr>
          <w:rFonts w:ascii="MS PGothic" w:cs="MS PGothic" w:eastAsia="MS PGothic" w:hAnsi="MS PGothic"/>
          <w:sz w:val="16"/>
          <w:szCs w:val="16"/>
          <w:color w:val="auto"/>
        </w:rPr>
        <w:t>‑</w:t>
      </w:r>
      <w:r>
        <w:rPr>
          <w:rFonts w:ascii="Arial" w:cs="Arial" w:eastAsia="Arial" w:hAnsi="Arial"/>
          <w:sz w:val="16"/>
          <w:szCs w:val="16"/>
          <w:color w:val="auto"/>
        </w:rPr>
        <w:t>owned by Broad and MIT, and in some cases Harvard, and in</w:t>
      </w:r>
      <w:r>
        <w:rPr>
          <w:rFonts w:ascii="MS PGothic" w:cs="MS PGothic" w:eastAsia="MS PGothic" w:hAnsi="MS PGothic"/>
          <w:sz w:val="16"/>
          <w:szCs w:val="16"/>
          <w:color w:val="auto"/>
        </w:rPr>
        <w:t>‑</w:t>
      </w:r>
      <w:r>
        <w:rPr>
          <w:rFonts w:ascii="Arial" w:cs="Arial" w:eastAsia="Arial" w:hAnsi="Arial"/>
          <w:sz w:val="16"/>
          <w:szCs w:val="16"/>
          <w:color w:val="auto"/>
        </w:rPr>
        <w:t>licensed by us. On March 17, 2016, the PTAB re</w:t>
      </w:r>
      <w:r>
        <w:rPr>
          <w:rFonts w:ascii="MS PGothic" w:cs="MS PGothic" w:eastAsia="MS PGothic" w:hAnsi="MS PGothic"/>
          <w:sz w:val="16"/>
          <w:szCs w:val="16"/>
          <w:color w:val="auto"/>
        </w:rPr>
        <w:t>‑</w:t>
      </w:r>
      <w:r>
        <w:rPr>
          <w:rFonts w:ascii="Arial" w:cs="Arial" w:eastAsia="Arial" w:hAnsi="Arial"/>
          <w:sz w:val="16"/>
          <w:szCs w:val="16"/>
          <w:color w:val="auto"/>
        </w:rPr>
        <w:t>declared the interference to add a pending U.S. patent application (U.S. Serial No. 14/704,551) that is co</w:t>
      </w:r>
      <w:r>
        <w:rPr>
          <w:rFonts w:ascii="MS PGothic" w:cs="MS PGothic" w:eastAsia="MS PGothic" w:hAnsi="MS PGothic"/>
          <w:sz w:val="16"/>
          <w:szCs w:val="16"/>
          <w:color w:val="auto"/>
        </w:rPr>
        <w:t>‑</w:t>
      </w:r>
      <w:r>
        <w:rPr>
          <w:rFonts w:ascii="Arial" w:cs="Arial" w:eastAsia="Arial" w:hAnsi="Arial"/>
          <w:sz w:val="16"/>
          <w:szCs w:val="16"/>
          <w:color w:val="auto"/>
        </w:rPr>
        <w:t>owned by Broad, MIT, and Harvard, and in</w:t>
      </w:r>
      <w:r>
        <w:rPr>
          <w:rFonts w:ascii="MS PGothic" w:cs="MS PGothic" w:eastAsia="MS PGothic" w:hAnsi="MS PGothic"/>
          <w:sz w:val="16"/>
          <w:szCs w:val="16"/>
          <w:color w:val="auto"/>
        </w:rPr>
        <w:t>‑</w:t>
      </w:r>
      <w:r>
        <w:rPr>
          <w:rFonts w:ascii="Arial" w:cs="Arial" w:eastAsia="Arial" w:hAnsi="Arial"/>
          <w:sz w:val="16"/>
          <w:szCs w:val="16"/>
          <w:color w:val="auto"/>
        </w:rPr>
        <w:t>licensed by us. An interference is a proceeding within the USPTO to determine priority of invention of the subject matter of patent claims filed by different parties. In the interference, the University of California, the University of Vienna and Emmanuelle Charpentier asserted that inventors from the University of California and the University of Vienna, and Emmanuelle Charpentier made certain inventions claimed in the Broad, MIT and Harvard patents before the inventors from Broad, MIT and, in certain cases, Harvard. The declaration of interference defined the invention that was subject to the declaration of interference, also referred to as “the count,” as relating to a method that involves contacting a target DNA in a eukaryotic cell with certain defined CRISPR/Cas9 components for the purpose of cleaving or editing a target DNA molecule or modulating transcription of at least one gene encoded thereon. All of the claims in the pending U.S. patent application that is owned by the University of California, the University of Vienna, and Emmanuelle Charpentier and all of the claims in the 12 U.S. patents and one pending U.S. patent application that are co-owned by Broad and MIT, and in some cases, Harvard, and in-licensed by us were implicated in the interference.</w:t>
      </w:r>
    </w:p>
    <w:p>
      <w:pPr>
        <w:spacing w:after="0" w:line="164"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On February 15, 2017, the PTAB held that there is no interference</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between the parties for the subject matter of the count. A judgment of no interference</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means that no interference is needed to resolve priority between the parties because the PTAB determined that our in-licensed claims are directed to subject matter that is patentably distinct from those of the University of California, the University of Vienna, and Emmanuelle Charpentier. The interference proceeding has therefore ended. Therefore, the 12 U.S. patents and one U.S. patent application that we have in</w:t>
      </w:r>
      <w:r>
        <w:rPr>
          <w:rFonts w:ascii="MS PGothic" w:cs="MS PGothic" w:eastAsia="MS PGothic" w:hAnsi="MS PGothic"/>
          <w:sz w:val="17"/>
          <w:szCs w:val="17"/>
          <w:color w:val="auto"/>
        </w:rPr>
        <w:t>‑</w:t>
      </w:r>
      <w:r>
        <w:rPr>
          <w:rFonts w:ascii="Arial" w:cs="Arial" w:eastAsia="Arial" w:hAnsi="Arial"/>
          <w:sz w:val="17"/>
          <w:szCs w:val="17"/>
          <w:color w:val="auto"/>
        </w:rPr>
        <w:t>licensed from Broad, acting on behalf of itself, MIT, and Harvard, as well as the U.S. patent application owned by the University of California, the University of Vienna, and Emmanuelle Charpentier, with respect to which the PTAB had declared an interference were not modified or revoked as a result of this interference proceeding.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Having filed a notice of appeal on April 12, 2017, the University of California, the University of Vienna, and</w:t>
      </w:r>
    </w:p>
    <w:p>
      <w:pPr>
        <w:spacing w:after="0" w:line="229" w:lineRule="auto"/>
        <w:rPr>
          <w:sz w:val="20"/>
          <w:szCs w:val="20"/>
          <w:color w:val="auto"/>
        </w:rPr>
      </w:pPr>
      <w:r>
        <w:rPr>
          <w:rFonts w:ascii="Arial" w:cs="Arial" w:eastAsia="Arial" w:hAnsi="Arial"/>
          <w:sz w:val="16"/>
          <w:szCs w:val="16"/>
          <w:color w:val="auto"/>
        </w:rPr>
        <w:t>Emmanuelle Charpentier filed an appeal brief to the Court of Appeals for the Federal Circuit on July 25, 2017 for review of</w:t>
      </w:r>
    </w:p>
    <w:p>
      <w:pPr>
        <w:spacing w:after="0" w:line="215" w:lineRule="auto"/>
        <w:rPr>
          <w:sz w:val="20"/>
          <w:szCs w:val="20"/>
          <w:color w:val="auto"/>
        </w:rPr>
      </w:pPr>
      <w:r>
        <w:rPr>
          <w:rFonts w:ascii="Arial" w:cs="Arial" w:eastAsia="Arial" w:hAnsi="Arial"/>
          <w:sz w:val="17"/>
          <w:szCs w:val="17"/>
          <w:color w:val="auto"/>
        </w:rPr>
        <w:t>the no interference-in-fact decision made by the PTAB in the interference proceeding. Broad filed its responsive brief on</w:t>
      </w:r>
    </w:p>
    <w:p>
      <w:pPr>
        <w:spacing w:after="0" w:line="229" w:lineRule="auto"/>
        <w:rPr>
          <w:sz w:val="20"/>
          <w:szCs w:val="20"/>
          <w:color w:val="auto"/>
        </w:rPr>
      </w:pPr>
      <w:r>
        <w:rPr>
          <w:rFonts w:ascii="Arial" w:cs="Arial" w:eastAsia="Arial" w:hAnsi="Arial"/>
          <w:sz w:val="16"/>
          <w:szCs w:val="16"/>
          <w:color w:val="auto"/>
        </w:rPr>
        <w:t>October 25, 2017. The University of California, the University of Vienna and Emmanuelle Charpentier filed a reply brief on</w:t>
      </w:r>
    </w:p>
    <w:p>
      <w:pPr>
        <w:spacing w:after="0" w:line="204" w:lineRule="auto"/>
        <w:rPr>
          <w:sz w:val="20"/>
          <w:szCs w:val="20"/>
          <w:color w:val="auto"/>
        </w:rPr>
      </w:pPr>
      <w:r>
        <w:rPr>
          <w:rFonts w:ascii="Arial" w:cs="Arial" w:eastAsia="Arial" w:hAnsi="Arial"/>
          <w:sz w:val="18"/>
          <w:szCs w:val="18"/>
          <w:color w:val="auto"/>
        </w:rPr>
        <w:t>November 22, 2017. It is uncertain when or in what manner the Federal Circuit will act on this appeal. A final,</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appealable judgment of no interference</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bars any further interference between the same parties for claims to the</w:t>
      </w:r>
    </w:p>
    <w:p>
      <w:pPr>
        <w:spacing w:after="0" w:line="229" w:lineRule="auto"/>
        <w:rPr>
          <w:sz w:val="20"/>
          <w:szCs w:val="20"/>
          <w:color w:val="auto"/>
        </w:rPr>
      </w:pPr>
      <w:r>
        <w:rPr>
          <w:rFonts w:ascii="Arial" w:cs="Arial" w:eastAsia="Arial" w:hAnsi="Arial"/>
          <w:sz w:val="16"/>
          <w:szCs w:val="16"/>
          <w:color w:val="auto"/>
        </w:rPr>
        <w:t>same invention as the count of the interference. However, as discussed below, certain of these 12 U.S. patents and one U.S.</w:t>
      </w:r>
    </w:p>
    <w:p>
      <w:pPr>
        <w:spacing w:after="0" w:line="229" w:lineRule="auto"/>
        <w:rPr>
          <w:sz w:val="20"/>
          <w:szCs w:val="20"/>
          <w:color w:val="auto"/>
        </w:rPr>
      </w:pPr>
      <w:r>
        <w:rPr>
          <w:rFonts w:ascii="Arial" w:cs="Arial" w:eastAsia="Arial" w:hAnsi="Arial"/>
          <w:sz w:val="16"/>
          <w:szCs w:val="16"/>
          <w:color w:val="auto"/>
        </w:rPr>
        <w:t>patent application are, or may in the future be, subject to further intellectual property proceedings and disputes, including</w:t>
      </w:r>
    </w:p>
    <w:p>
      <w:pPr>
        <w:spacing w:after="0"/>
        <w:rPr>
          <w:sz w:val="20"/>
          <w:szCs w:val="20"/>
          <w:color w:val="auto"/>
        </w:rPr>
      </w:pPr>
      <w:r>
        <w:rPr>
          <w:rFonts w:ascii="Arial" w:cs="Arial" w:eastAsia="Arial" w:hAnsi="Arial"/>
          <w:sz w:val="18"/>
          <w:szCs w:val="18"/>
          <w:color w:val="auto"/>
        </w:rPr>
        <w:t>interference proceedings.</w:t>
      </w:r>
    </w:p>
    <w:p>
      <w:pPr>
        <w:spacing w:after="0" w:line="169"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Separately, ToolGen Inc. (“Toolgen”) filed Suggestions of Interference in the USPTO on April 13, 2015 suggesting that it believes some of the claims pending in its applications (U.S. Serial No. 14/685,568 and U.S. Serial No. 14/685,510) interfere with certain claims in five U.S. patents, which we have in</w:t>
      </w:r>
      <w:r>
        <w:rPr>
          <w:rFonts w:ascii="MS PGothic" w:cs="MS PGothic" w:eastAsia="MS PGothic" w:hAnsi="MS PGothic"/>
          <w:sz w:val="17"/>
          <w:szCs w:val="17"/>
          <w:color w:val="auto"/>
        </w:rPr>
        <w:t>‑</w:t>
      </w:r>
      <w:r>
        <w:rPr>
          <w:rFonts w:ascii="Arial" w:cs="Arial" w:eastAsia="Arial" w:hAnsi="Arial"/>
          <w:sz w:val="17"/>
          <w:szCs w:val="17"/>
          <w:color w:val="auto"/>
        </w:rPr>
        <w:t>licensed from Broad, acting on behalf of itself, MIT, and Harvard. These five U.S. patents are among the 12 U.S. patents with respect to which the PTAB had declared an interference with the pending U.S. patent application (U.S. Serial No. 13/842, 859) that is owned by the University of California, the University of Vienna, and Emmanuelle Charpentier. The Suggestions of Interference that were filed by ToolGen are still pending, and it is uncertain when and in what manner the USPTO will act on them.</w:t>
      </w:r>
    </w:p>
    <w:p>
      <w:pPr>
        <w:spacing w:after="0" w:line="162" w:lineRule="exact"/>
        <w:rPr>
          <w:sz w:val="20"/>
          <w:szCs w:val="20"/>
          <w:color w:val="auto"/>
        </w:rPr>
      </w:pPr>
    </w:p>
    <w:p>
      <w:pPr>
        <w:ind w:right="220" w:firstLine="648"/>
        <w:spacing w:after="0" w:line="203" w:lineRule="exact"/>
        <w:rPr>
          <w:sz w:val="20"/>
          <w:szCs w:val="20"/>
          <w:color w:val="auto"/>
        </w:rPr>
      </w:pPr>
      <w:r>
        <w:rPr>
          <w:rFonts w:ascii="Arial" w:cs="Arial" w:eastAsia="Arial" w:hAnsi="Arial"/>
          <w:sz w:val="16"/>
          <w:szCs w:val="16"/>
          <w:color w:val="auto"/>
        </w:rPr>
        <w:t xml:space="preserve">A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w:t>
      </w:r>
      <w:r>
        <w:rPr>
          <w:rFonts w:ascii="MS PGothic" w:cs="MS PGothic" w:eastAsia="MS PGothic" w:hAnsi="MS PGothic"/>
          <w:sz w:val="16"/>
          <w:szCs w:val="16"/>
          <w:color w:val="auto"/>
        </w:rPr>
        <w:t>‑</w:t>
      </w:r>
      <w:r>
        <w:rPr>
          <w:rFonts w:ascii="Arial" w:cs="Arial" w:eastAsia="Arial" w:hAnsi="Arial"/>
          <w:sz w:val="16"/>
          <w:szCs w:val="16"/>
          <w:color w:val="auto"/>
        </w:rPr>
        <w:t>examination was filed with the USPTO on February 16, 2016 against one patent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and MIT (U.S. Patent No. 8,771,945), which was subject to</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interference proceeding involving the University of California, the University of Vienna, and Emmanuelle Charpentier</w:t>
      </w:r>
    </w:p>
    <w:p>
      <w:pPr>
        <w:spacing w:after="0" w:line="176" w:lineRule="exact"/>
        <w:rPr>
          <w:sz w:val="20"/>
          <w:szCs w:val="20"/>
          <w:color w:val="auto"/>
        </w:rPr>
      </w:pPr>
      <w:r>
        <w:rPr>
          <w:rFonts w:ascii="Arial" w:cs="Arial" w:eastAsia="Arial" w:hAnsi="Arial"/>
          <w:sz w:val="16"/>
          <w:szCs w:val="16"/>
          <w:color w:val="auto"/>
        </w:rPr>
        <w:t xml:space="preserve">and referenced in the Suggestions of Interference filed by ToolGen.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w:t>
      </w:r>
      <w:r>
        <w:rPr>
          <w:rFonts w:ascii="MS PGothic" w:cs="MS PGothic" w:eastAsia="MS PGothic" w:hAnsi="MS PGothic"/>
          <w:sz w:val="16"/>
          <w:szCs w:val="16"/>
          <w:color w:val="auto"/>
        </w:rPr>
        <w:t>‑</w:t>
      </w:r>
      <w:r>
        <w:rPr>
          <w:rFonts w:ascii="Arial" w:cs="Arial" w:eastAsia="Arial" w:hAnsi="Arial"/>
          <w:sz w:val="16"/>
          <w:szCs w:val="16"/>
          <w:color w:val="auto"/>
        </w:rPr>
        <w:t>examination is a procedure through which a</w:t>
      </w:r>
    </w:p>
    <w:p>
      <w:pPr>
        <w:spacing w:after="0" w:line="176" w:lineRule="exact"/>
        <w:rPr>
          <w:sz w:val="20"/>
          <w:szCs w:val="20"/>
          <w:color w:val="auto"/>
        </w:rPr>
      </w:pPr>
      <w:r>
        <w:rPr>
          <w:rFonts w:ascii="Arial" w:cs="Arial" w:eastAsia="Arial" w:hAnsi="Arial"/>
          <w:sz w:val="16"/>
          <w:szCs w:val="16"/>
          <w:color w:val="auto"/>
        </w:rPr>
        <w:t>third party can anonymously request the USPTO to re</w:t>
      </w:r>
      <w:r>
        <w:rPr>
          <w:rFonts w:ascii="MS PGothic" w:cs="MS PGothic" w:eastAsia="MS PGothic" w:hAnsi="MS PGothic"/>
          <w:sz w:val="16"/>
          <w:szCs w:val="16"/>
          <w:color w:val="auto"/>
        </w:rPr>
        <w:t>‑</w:t>
      </w:r>
      <w:r>
        <w:rPr>
          <w:rFonts w:ascii="Arial" w:cs="Arial" w:eastAsia="Arial" w:hAnsi="Arial"/>
          <w:sz w:val="16"/>
          <w:szCs w:val="16"/>
          <w:color w:val="auto"/>
        </w:rPr>
        <w:t>examine a granted patent because the third party believes the granted</w:t>
      </w:r>
    </w:p>
    <w:p>
      <w:pPr>
        <w:spacing w:after="0" w:line="215" w:lineRule="auto"/>
        <w:rPr>
          <w:sz w:val="20"/>
          <w:szCs w:val="20"/>
          <w:color w:val="auto"/>
        </w:rPr>
      </w:pPr>
      <w:r>
        <w:rPr>
          <w:rFonts w:ascii="Arial" w:cs="Arial" w:eastAsia="Arial" w:hAnsi="Arial"/>
          <w:sz w:val="17"/>
          <w:szCs w:val="17"/>
          <w:color w:val="auto"/>
        </w:rPr>
        <w:t>patent may not be patentable over prior art in the form of a printed publication or another patent. Before the USPTO will</w:t>
      </w:r>
    </w:p>
    <w:p>
      <w:pPr>
        <w:spacing w:after="0" w:line="176" w:lineRule="exact"/>
        <w:rPr>
          <w:sz w:val="20"/>
          <w:szCs w:val="20"/>
          <w:color w:val="auto"/>
        </w:rPr>
      </w:pPr>
      <w:r>
        <w:rPr>
          <w:rFonts w:ascii="Arial" w:cs="Arial" w:eastAsia="Arial" w:hAnsi="Arial"/>
          <w:sz w:val="16"/>
          <w:szCs w:val="16"/>
          <w:color w:val="auto"/>
        </w:rPr>
        <w:t>re</w:t>
      </w:r>
      <w:r>
        <w:rPr>
          <w:rFonts w:ascii="MS PGothic" w:cs="MS PGothic" w:eastAsia="MS PGothic" w:hAnsi="MS PGothic"/>
          <w:sz w:val="16"/>
          <w:szCs w:val="16"/>
          <w:color w:val="auto"/>
        </w:rPr>
        <w:t>‑</w:t>
      </w:r>
      <w:r>
        <w:rPr>
          <w:rFonts w:ascii="Arial" w:cs="Arial" w:eastAsia="Arial" w:hAnsi="Arial"/>
          <w:sz w:val="16"/>
          <w:szCs w:val="16"/>
          <w:color w:val="auto"/>
        </w:rPr>
        <w:t>examine a granted patent, the third party requestor must establish that the submitted prior art establishes a substantial and</w:t>
      </w:r>
    </w:p>
    <w:p>
      <w:pPr>
        <w:spacing w:after="0" w:line="229" w:lineRule="auto"/>
        <w:rPr>
          <w:sz w:val="20"/>
          <w:szCs w:val="20"/>
          <w:color w:val="auto"/>
        </w:rPr>
      </w:pPr>
      <w:r>
        <w:rPr>
          <w:rFonts w:ascii="Arial" w:cs="Arial" w:eastAsia="Arial" w:hAnsi="Arial"/>
          <w:sz w:val="16"/>
          <w:szCs w:val="16"/>
          <w:color w:val="auto"/>
        </w:rPr>
        <w:t>new question of patentability. If the USPTO determines there is a substantial and new question of patentability, it grants the</w:t>
      </w:r>
    </w:p>
    <w:p>
      <w:pPr>
        <w:spacing w:after="0" w:line="176" w:lineRule="exact"/>
        <w:rPr>
          <w:sz w:val="20"/>
          <w:szCs w:val="20"/>
          <w:color w:val="auto"/>
        </w:rPr>
      </w:pPr>
      <w:r>
        <w:rPr>
          <w:rFonts w:ascii="Arial" w:cs="Arial" w:eastAsia="Arial" w:hAnsi="Arial"/>
          <w:sz w:val="16"/>
          <w:szCs w:val="16"/>
          <w:color w:val="auto"/>
        </w:rPr>
        <w:t>re</w:t>
      </w:r>
      <w:r>
        <w:rPr>
          <w:rFonts w:ascii="MS PGothic" w:cs="MS PGothic" w:eastAsia="MS PGothic" w:hAnsi="MS PGothic"/>
          <w:sz w:val="16"/>
          <w:szCs w:val="16"/>
          <w:color w:val="auto"/>
        </w:rPr>
        <w:t>‑</w:t>
      </w:r>
      <w:r>
        <w:rPr>
          <w:rFonts w:ascii="Arial" w:cs="Arial" w:eastAsia="Arial" w:hAnsi="Arial"/>
          <w:sz w:val="16"/>
          <w:szCs w:val="16"/>
          <w:color w:val="auto"/>
        </w:rPr>
        <w:t>examination request and re</w:t>
      </w:r>
      <w:r>
        <w:rPr>
          <w:rFonts w:ascii="MS PGothic" w:cs="MS PGothic" w:eastAsia="MS PGothic" w:hAnsi="MS PGothic"/>
          <w:sz w:val="16"/>
          <w:szCs w:val="16"/>
          <w:color w:val="auto"/>
        </w:rPr>
        <w:t>‑</w:t>
      </w:r>
      <w:r>
        <w:rPr>
          <w:rFonts w:ascii="Arial" w:cs="Arial" w:eastAsia="Arial" w:hAnsi="Arial"/>
          <w:sz w:val="16"/>
          <w:szCs w:val="16"/>
          <w:color w:val="auto"/>
        </w:rPr>
        <w:t>examines the patent after giving the patent owner the option of filing an initial statement. The</w:t>
      </w:r>
    </w:p>
    <w:p>
      <w:pPr>
        <w:spacing w:after="0" w:line="176" w:lineRule="exact"/>
        <w:rPr>
          <w:sz w:val="20"/>
          <w:szCs w:val="20"/>
          <w:color w:val="auto"/>
        </w:rPr>
      </w:pPr>
      <w:r>
        <w:rPr>
          <w:rFonts w:ascii="Arial" w:cs="Arial" w:eastAsia="Arial" w:hAnsi="Arial"/>
          <w:sz w:val="18"/>
          <w:szCs w:val="18"/>
          <w:color w:val="auto"/>
        </w:rPr>
        <w:t xml:space="preserve">request for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w:t>
      </w:r>
      <w:r>
        <w:rPr>
          <w:rFonts w:ascii="MS PGothic" w:cs="MS PGothic" w:eastAsia="MS PGothic" w:hAnsi="MS PGothic"/>
          <w:sz w:val="18"/>
          <w:szCs w:val="18"/>
          <w:color w:val="auto"/>
        </w:rPr>
        <w:t>‑</w:t>
      </w:r>
      <w:r>
        <w:rPr>
          <w:rFonts w:ascii="Arial" w:cs="Arial" w:eastAsia="Arial" w:hAnsi="Arial"/>
          <w:sz w:val="18"/>
          <w:szCs w:val="18"/>
          <w:color w:val="auto"/>
        </w:rPr>
        <w:t>examination of U.S. Patent No. 8,771,945 was granted on May 9, 2016 thereby initiating a</w:t>
      </w:r>
    </w:p>
    <w:p>
      <w:pPr>
        <w:spacing w:after="0" w:line="176" w:lineRule="exact"/>
        <w:rPr>
          <w:sz w:val="20"/>
          <w:szCs w:val="20"/>
          <w:color w:val="auto"/>
        </w:rPr>
      </w:pPr>
      <w:r>
        <w:rPr>
          <w:rFonts w:ascii="Arial" w:cs="Arial" w:eastAsia="Arial" w:hAnsi="Arial"/>
          <w:sz w:val="16"/>
          <w:szCs w:val="16"/>
          <w:color w:val="auto"/>
        </w:rPr>
        <w:t>re</w:t>
      </w:r>
      <w:r>
        <w:rPr>
          <w:rFonts w:ascii="MS PGothic" w:cs="MS PGothic" w:eastAsia="MS PGothic" w:hAnsi="MS PGothic"/>
          <w:sz w:val="16"/>
          <w:szCs w:val="16"/>
          <w:color w:val="auto"/>
        </w:rPr>
        <w:t>‑</w:t>
      </w:r>
      <w:r>
        <w:rPr>
          <w:rFonts w:ascii="Arial" w:cs="Arial" w:eastAsia="Arial" w:hAnsi="Arial"/>
          <w:sz w:val="16"/>
          <w:szCs w:val="16"/>
          <w:color w:val="auto"/>
        </w:rPr>
        <w:t>examination procedure between the USPTO and Broad, acting on behalf of itself and MIT. The third party requestor does</w:t>
      </w:r>
    </w:p>
    <w:p>
      <w:pPr>
        <w:spacing w:after="0" w:line="176" w:lineRule="exact"/>
        <w:rPr>
          <w:sz w:val="20"/>
          <w:szCs w:val="20"/>
          <w:color w:val="auto"/>
        </w:rPr>
      </w:pPr>
      <w:r>
        <w:rPr>
          <w:rFonts w:ascii="Arial" w:cs="Arial" w:eastAsia="Arial" w:hAnsi="Arial"/>
          <w:sz w:val="16"/>
          <w:szCs w:val="16"/>
          <w:color w:val="auto"/>
        </w:rPr>
        <w:t>not participate in the re</w:t>
      </w:r>
      <w:r>
        <w:rPr>
          <w:rFonts w:ascii="MS PGothic" w:cs="MS PGothic" w:eastAsia="MS PGothic" w:hAnsi="MS PGothic"/>
          <w:sz w:val="16"/>
          <w:szCs w:val="16"/>
          <w:color w:val="auto"/>
        </w:rPr>
        <w:t>‑</w:t>
      </w:r>
      <w:r>
        <w:rPr>
          <w:rFonts w:ascii="Arial" w:cs="Arial" w:eastAsia="Arial" w:hAnsi="Arial"/>
          <w:sz w:val="16"/>
          <w:szCs w:val="16"/>
          <w:color w:val="auto"/>
        </w:rPr>
        <w:t>examination procedure after filing the request except that it has the option of responding if the patent</w:t>
      </w:r>
    </w:p>
    <w:p>
      <w:pPr>
        <w:spacing w:after="0" w:line="176" w:lineRule="exact"/>
        <w:rPr>
          <w:sz w:val="20"/>
          <w:szCs w:val="20"/>
          <w:color w:val="auto"/>
        </w:rPr>
      </w:pPr>
      <w:r>
        <w:rPr>
          <w:rFonts w:ascii="Arial" w:cs="Arial" w:eastAsia="Arial" w:hAnsi="Arial"/>
          <w:sz w:val="17"/>
          <w:szCs w:val="17"/>
          <w:color w:val="auto"/>
        </w:rPr>
        <w:t>owner chooses to file an initial statement. On May 12, 2016, the PTAB suspended the re</w:t>
      </w:r>
      <w:r>
        <w:rPr>
          <w:rFonts w:ascii="MS PGothic" w:cs="MS PGothic" w:eastAsia="MS PGothic" w:hAnsi="MS PGothic"/>
          <w:sz w:val="17"/>
          <w:szCs w:val="17"/>
          <w:color w:val="auto"/>
        </w:rPr>
        <w:t>‑</w:t>
      </w:r>
      <w:r>
        <w:rPr>
          <w:rFonts w:ascii="Arial" w:cs="Arial" w:eastAsia="Arial" w:hAnsi="Arial"/>
          <w:sz w:val="17"/>
          <w:szCs w:val="17"/>
          <w:color w:val="auto"/>
        </w:rPr>
        <w:t>examination of U.S. Patent</w:t>
      </w:r>
    </w:p>
    <w:p>
      <w:pPr>
        <w:spacing w:after="0" w:line="1" w:lineRule="exact"/>
        <w:rPr>
          <w:sz w:val="20"/>
          <w:szCs w:val="20"/>
          <w:color w:val="auto"/>
        </w:rPr>
      </w:pPr>
    </w:p>
    <w:p>
      <w:pPr>
        <w:ind w:right="40"/>
        <w:spacing w:after="0" w:line="188" w:lineRule="exact"/>
        <w:rPr>
          <w:sz w:val="20"/>
          <w:szCs w:val="20"/>
          <w:color w:val="auto"/>
        </w:rPr>
      </w:pPr>
      <w:r>
        <w:rPr>
          <w:rFonts w:ascii="Arial" w:cs="Arial" w:eastAsia="Arial" w:hAnsi="Arial"/>
          <w:sz w:val="16"/>
          <w:szCs w:val="16"/>
          <w:color w:val="auto"/>
        </w:rPr>
        <w:t>No. 8,771,945 noting that it has jurisdiction over any file that involves a patent involved in the interference. It is uncertain when the PTAB will lift the suspension, however the PTAB may do so in light of the PTAB’s no interference</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holding. If Broad is unsuccessful during the re</w:t>
      </w:r>
      <w:r>
        <w:rPr>
          <w:rFonts w:ascii="MS PGothic" w:cs="MS PGothic" w:eastAsia="MS PGothic" w:hAnsi="MS PGothic"/>
          <w:sz w:val="16"/>
          <w:szCs w:val="16"/>
          <w:color w:val="auto"/>
        </w:rPr>
        <w:t>‑</w:t>
      </w:r>
      <w:r>
        <w:rPr>
          <w:rFonts w:ascii="Arial" w:cs="Arial" w:eastAsia="Arial" w:hAnsi="Arial"/>
          <w:sz w:val="16"/>
          <w:szCs w:val="16"/>
          <w:color w:val="auto"/>
        </w:rPr>
        <w:t>examination, U.S. Patent No. 8,771,945 may be revoked or narrowed.</w:t>
      </w:r>
    </w:p>
    <w:p>
      <w:pPr>
        <w:spacing w:after="0" w:line="163"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The 12 in</w:t>
      </w:r>
      <w:r>
        <w:rPr>
          <w:rFonts w:ascii="MS PGothic" w:cs="MS PGothic" w:eastAsia="MS PGothic" w:hAnsi="MS PGothic"/>
          <w:sz w:val="16"/>
          <w:szCs w:val="16"/>
          <w:color w:val="auto"/>
        </w:rPr>
        <w:t>‑</w:t>
      </w:r>
      <w:r>
        <w:rPr>
          <w:rFonts w:ascii="Arial" w:cs="Arial" w:eastAsia="Arial" w:hAnsi="Arial"/>
          <w:sz w:val="16"/>
          <w:szCs w:val="16"/>
          <w:color w:val="auto"/>
        </w:rPr>
        <w:t>licensed U.S. patents and one in</w:t>
      </w:r>
      <w:r>
        <w:rPr>
          <w:rFonts w:ascii="MS PGothic" w:cs="MS PGothic" w:eastAsia="MS PGothic" w:hAnsi="MS PGothic"/>
          <w:sz w:val="16"/>
          <w:szCs w:val="16"/>
          <w:color w:val="auto"/>
        </w:rPr>
        <w:t>‑</w:t>
      </w:r>
      <w:r>
        <w:rPr>
          <w:rFonts w:ascii="Arial" w:cs="Arial" w:eastAsia="Arial" w:hAnsi="Arial"/>
          <w:sz w:val="16"/>
          <w:szCs w:val="16"/>
          <w:color w:val="auto"/>
        </w:rPr>
        <w:t>licensed U.S. patent application that were the subject of the interference</w:t>
      </w:r>
    </w:p>
    <w:p>
      <w:pPr>
        <w:spacing w:after="0" w:line="224" w:lineRule="auto"/>
        <w:rPr>
          <w:sz w:val="20"/>
          <w:szCs w:val="20"/>
          <w:color w:val="auto"/>
        </w:rPr>
      </w:pPr>
      <w:r>
        <w:rPr>
          <w:rFonts w:ascii="Arial" w:cs="Arial" w:eastAsia="Arial" w:hAnsi="Arial"/>
          <w:sz w:val="17"/>
          <w:szCs w:val="17"/>
          <w:color w:val="auto"/>
        </w:rPr>
        <w:t>with the pending U.S. patent application (U.S. Serial No. 13/842,859) that is owned by the University of California, the</w:t>
      </w:r>
    </w:p>
    <w:p>
      <w:pPr>
        <w:spacing w:after="0" w:line="176" w:lineRule="exact"/>
        <w:rPr>
          <w:sz w:val="20"/>
          <w:szCs w:val="20"/>
          <w:color w:val="auto"/>
        </w:rPr>
      </w:pPr>
      <w:r>
        <w:rPr>
          <w:rFonts w:ascii="Arial" w:cs="Arial" w:eastAsia="Arial" w:hAnsi="Arial"/>
          <w:sz w:val="16"/>
          <w:szCs w:val="16"/>
          <w:color w:val="auto"/>
        </w:rPr>
        <w:t>University of Vienna, and Emmanuelle Charpentier (which includes the five in</w:t>
      </w:r>
      <w:r>
        <w:rPr>
          <w:rFonts w:ascii="MS PGothic" w:cs="MS PGothic" w:eastAsia="MS PGothic" w:hAnsi="MS PGothic"/>
          <w:sz w:val="16"/>
          <w:szCs w:val="16"/>
          <w:color w:val="auto"/>
        </w:rPr>
        <w:t>‑</w:t>
      </w:r>
      <w:r>
        <w:rPr>
          <w:rFonts w:ascii="Arial" w:cs="Arial" w:eastAsia="Arial" w:hAnsi="Arial"/>
          <w:sz w:val="16"/>
          <w:szCs w:val="16"/>
          <w:color w:val="auto"/>
        </w:rPr>
        <w:t>licensed U.S. patents that are the subject of</w:t>
      </w:r>
    </w:p>
    <w:p>
      <w:pPr>
        <w:spacing w:after="0" w:line="176" w:lineRule="exact"/>
        <w:rPr>
          <w:sz w:val="20"/>
          <w:szCs w:val="20"/>
          <w:color w:val="auto"/>
        </w:rPr>
      </w:pPr>
      <w:r>
        <w:rPr>
          <w:rFonts w:ascii="Arial" w:cs="Arial" w:eastAsia="Arial" w:hAnsi="Arial"/>
          <w:sz w:val="16"/>
          <w:szCs w:val="16"/>
          <w:color w:val="auto"/>
        </w:rPr>
        <w:t>the Suggestions of Interference filed by ToolGen and the one in</w:t>
      </w:r>
      <w:r>
        <w:rPr>
          <w:rFonts w:ascii="MS PGothic" w:cs="MS PGothic" w:eastAsia="MS PGothic" w:hAnsi="MS PGothic"/>
          <w:sz w:val="16"/>
          <w:szCs w:val="16"/>
          <w:color w:val="auto"/>
        </w:rPr>
        <w:t>‑</w:t>
      </w:r>
      <w:r>
        <w:rPr>
          <w:rFonts w:ascii="Arial" w:cs="Arial" w:eastAsia="Arial" w:hAnsi="Arial"/>
          <w:sz w:val="16"/>
          <w:szCs w:val="16"/>
          <w:color w:val="auto"/>
        </w:rPr>
        <w:t xml:space="preserve">licensed U.S. patent that is the subject of the request for </w:t>
      </w:r>
      <w:r>
        <w:rPr>
          <w:rFonts w:ascii="Arial" w:cs="Arial" w:eastAsia="Arial" w:hAnsi="Arial"/>
          <w:sz w:val="16"/>
          <w:szCs w:val="16"/>
          <w:i w:val="1"/>
          <w:iCs w:val="1"/>
          <w:color w:val="auto"/>
        </w:rPr>
        <w:t>ex</w:t>
      </w:r>
    </w:p>
    <w:p>
      <w:pPr>
        <w:spacing w:after="0" w:line="176" w:lineRule="exact"/>
        <w:rPr>
          <w:sz w:val="20"/>
          <w:szCs w:val="20"/>
          <w:color w:val="auto"/>
        </w:rPr>
      </w:pPr>
      <w:r>
        <w:rPr>
          <w:rFonts w:ascii="Arial" w:cs="Arial" w:eastAsia="Arial" w:hAnsi="Arial"/>
          <w:sz w:val="17"/>
          <w:szCs w:val="17"/>
          <w:i w:val="1"/>
          <w:iCs w:val="1"/>
          <w:color w:val="auto"/>
        </w:rPr>
        <w:t xml:space="preserve">parte </w:t>
      </w:r>
      <w:r>
        <w:rPr>
          <w:rFonts w:ascii="Arial" w:cs="Arial" w:eastAsia="Arial" w:hAnsi="Arial"/>
          <w:sz w:val="17"/>
          <w:szCs w:val="17"/>
          <w:color w:val="auto"/>
        </w:rPr>
        <w:t>re</w:t>
      </w:r>
      <w:r>
        <w:rPr>
          <w:rFonts w:ascii="MS PGothic" w:cs="MS PGothic" w:eastAsia="MS PGothic" w:hAnsi="MS PGothic"/>
          <w:sz w:val="17"/>
          <w:szCs w:val="17"/>
          <w:color w:val="auto"/>
        </w:rPr>
        <w:t>‑</w:t>
      </w:r>
      <w:r>
        <w:rPr>
          <w:rFonts w:ascii="Arial" w:cs="Arial" w:eastAsia="Arial" w:hAnsi="Arial"/>
          <w:sz w:val="17"/>
          <w:szCs w:val="17"/>
          <w:color w:val="auto"/>
        </w:rPr>
        <w:t>examination) relate generally to the CRISPR/Cas9 system and its use in eukaryotic cells. The claims of the 12</w:t>
      </w:r>
    </w:p>
    <w:p>
      <w:pPr>
        <w:spacing w:after="0" w:line="176" w:lineRule="exact"/>
        <w:rPr>
          <w:sz w:val="20"/>
          <w:szCs w:val="20"/>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licensed U.S. patents and one in</w:t>
      </w:r>
      <w:r>
        <w:rPr>
          <w:rFonts w:ascii="MS PGothic" w:cs="MS PGothic" w:eastAsia="MS PGothic" w:hAnsi="MS PGothic"/>
          <w:sz w:val="16"/>
          <w:szCs w:val="16"/>
          <w:color w:val="auto"/>
        </w:rPr>
        <w:t>‑</w:t>
      </w:r>
      <w:r>
        <w:rPr>
          <w:rFonts w:ascii="Arial" w:cs="Arial" w:eastAsia="Arial" w:hAnsi="Arial"/>
          <w:sz w:val="16"/>
          <w:szCs w:val="16"/>
          <w:color w:val="auto"/>
        </w:rPr>
        <w:t>licensed U.S. patent application vary in scope and coverage and include claims that are</w:t>
      </w:r>
    </w:p>
    <w:p>
      <w:pPr>
        <w:spacing w:after="0" w:line="216" w:lineRule="auto"/>
        <w:rPr>
          <w:sz w:val="20"/>
          <w:szCs w:val="20"/>
          <w:color w:val="auto"/>
        </w:rPr>
      </w:pPr>
      <w:r>
        <w:rPr>
          <w:rFonts w:ascii="Arial" w:cs="Arial" w:eastAsia="Arial" w:hAnsi="Arial"/>
          <w:sz w:val="17"/>
          <w:szCs w:val="17"/>
          <w:color w:val="auto"/>
        </w:rPr>
        <w:t xml:space="preserve">directed to CRISPR/Cas9 systems that employ viral vectors for delivery, single guide RNAs, modified guide RNAs, </w:t>
      </w:r>
      <w:r>
        <w:rPr>
          <w:rFonts w:ascii="Arial" w:cs="Arial" w:eastAsia="Arial" w:hAnsi="Arial"/>
          <w:sz w:val="17"/>
          <w:szCs w:val="17"/>
          <w:i w:val="1"/>
          <w:iCs w:val="1"/>
          <w:color w:val="auto"/>
        </w:rPr>
        <w:t>S.</w:t>
      </w:r>
    </w:p>
    <w:p>
      <w:pPr>
        <w:spacing w:after="0" w:line="229" w:lineRule="auto"/>
        <w:rPr>
          <w:sz w:val="20"/>
          <w:szCs w:val="20"/>
          <w:color w:val="auto"/>
        </w:rPr>
      </w:pPr>
      <w:r>
        <w:rPr>
          <w:rFonts w:ascii="Arial" w:cs="Arial" w:eastAsia="Arial" w:hAnsi="Arial"/>
          <w:sz w:val="16"/>
          <w:szCs w:val="16"/>
          <w:i w:val="1"/>
          <w:iCs w:val="1"/>
          <w:color w:val="auto"/>
        </w:rPr>
        <w:t xml:space="preserve">aureus </w:t>
      </w:r>
      <w:r>
        <w:rPr>
          <w:rFonts w:ascii="Arial" w:cs="Arial" w:eastAsia="Arial" w:hAnsi="Arial"/>
          <w:sz w:val="16"/>
          <w:szCs w:val="16"/>
          <w:color w:val="auto"/>
        </w:rPr>
        <w:t>Cas9, or a Cas9 nickase and are relevant to our genome editing platform technology. The loss or narrowing in scope</w:t>
      </w:r>
    </w:p>
    <w:p>
      <w:pPr>
        <w:spacing w:after="0"/>
        <w:rPr>
          <w:sz w:val="20"/>
          <w:szCs w:val="20"/>
          <w:color w:val="auto"/>
        </w:rPr>
      </w:pPr>
      <w:r>
        <w:rPr>
          <w:rFonts w:ascii="Arial" w:cs="Arial" w:eastAsia="Arial" w:hAnsi="Arial"/>
          <w:sz w:val="18"/>
          <w:szCs w:val="18"/>
          <w:color w:val="auto"/>
        </w:rPr>
        <w:t>of one or more of these in-licensed patents could have a material adverse effect on the conduct of our business.</w:t>
      </w:r>
    </w:p>
    <w:p>
      <w:pPr>
        <w:spacing w:after="0" w:line="169"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In addition, we or our licensors may be subject to claims that former employees, collaborators, or other third parties have an interest in our owned or in</w:t>
      </w:r>
      <w:r>
        <w:rPr>
          <w:rFonts w:ascii="MS PGothic" w:cs="MS PGothic" w:eastAsia="MS PGothic" w:hAnsi="MS PGothic"/>
          <w:sz w:val="18"/>
          <w:szCs w:val="18"/>
          <w:color w:val="auto"/>
        </w:rPr>
        <w:t>‑</w:t>
      </w:r>
      <w:r>
        <w:rPr>
          <w:rFonts w:ascii="Arial" w:cs="Arial" w:eastAsia="Arial" w:hAnsi="Arial"/>
          <w:sz w:val="18"/>
          <w:szCs w:val="18"/>
          <w:color w:val="auto"/>
        </w:rPr>
        <w:t>licensed patents, patent applications, or other intellectual property as an inventor or co</w:t>
      </w:r>
      <w:r>
        <w:rPr>
          <w:rFonts w:ascii="MS PGothic" w:cs="MS PGothic" w:eastAsia="MS PGothic" w:hAnsi="MS PGothic"/>
          <w:sz w:val="18"/>
          <w:szCs w:val="18"/>
          <w:color w:val="auto"/>
        </w:rPr>
        <w:t>‑</w:t>
      </w:r>
      <w:r>
        <w:rPr>
          <w:rFonts w:ascii="Arial" w:cs="Arial" w:eastAsia="Arial" w:hAnsi="Arial"/>
          <w:sz w:val="18"/>
          <w:szCs w:val="18"/>
          <w:color w:val="auto"/>
        </w:rPr>
        <w:t>inventor. If we are unable to obtain an exclusive license to any such third party co</w:t>
      </w:r>
      <w:r>
        <w:rPr>
          <w:rFonts w:ascii="MS PGothic" w:cs="MS PGothic" w:eastAsia="MS PGothic" w:hAnsi="MS PGothic"/>
          <w:sz w:val="18"/>
          <w:szCs w:val="18"/>
          <w:color w:val="auto"/>
        </w:rPr>
        <w:t>‑</w:t>
      </w:r>
      <w:r>
        <w:rPr>
          <w:rFonts w:ascii="Arial" w:cs="Arial" w:eastAsia="Arial" w:hAnsi="Arial"/>
          <w:sz w:val="18"/>
          <w:szCs w:val="18"/>
          <w:color w:val="auto"/>
        </w:rPr>
        <w:t>owners’ interest in such patents or patent applications, such co</w:t>
      </w:r>
      <w:r>
        <w:rPr>
          <w:rFonts w:ascii="MS PGothic" w:cs="MS PGothic" w:eastAsia="MS PGothic" w:hAnsi="MS PGothic"/>
          <w:sz w:val="18"/>
          <w:szCs w:val="18"/>
          <w:color w:val="auto"/>
        </w:rPr>
        <w:t>‑</w:t>
      </w:r>
      <w:r>
        <w:rPr>
          <w:rFonts w:ascii="Arial" w:cs="Arial" w:eastAsia="Arial" w:hAnsi="Arial"/>
          <w:sz w:val="18"/>
          <w:szCs w:val="18"/>
          <w:color w:val="auto"/>
        </w:rPr>
        <w:t>owners may be able to license their rights to other third parties, including our competitors. In addition, we may need the cooperation of any such co</w:t>
      </w:r>
      <w:r>
        <w:rPr>
          <w:rFonts w:ascii="MS PGothic" w:cs="MS PGothic" w:eastAsia="MS PGothic" w:hAnsi="MS PGothic"/>
          <w:sz w:val="18"/>
          <w:szCs w:val="18"/>
          <w:color w:val="auto"/>
        </w:rPr>
        <w:t>‑</w:t>
      </w:r>
      <w:r>
        <w:rPr>
          <w:rFonts w:ascii="Arial" w:cs="Arial" w:eastAsia="Arial" w:hAnsi="Arial"/>
          <w:sz w:val="18"/>
          <w:szCs w:val="18"/>
          <w:color w:val="auto"/>
        </w:rPr>
        <w:t>owners to enforce such patents against third parties, and such cooperation may not be provided to us.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or our licensors are subject to and may in the future become a party to similar proceedings or priority disputes in</w:t>
      </w:r>
    </w:p>
    <w:p>
      <w:pPr>
        <w:spacing w:after="0"/>
        <w:rPr>
          <w:sz w:val="20"/>
          <w:szCs w:val="20"/>
          <w:color w:val="auto"/>
        </w:rPr>
      </w:pPr>
      <w:r>
        <w:rPr>
          <w:rFonts w:ascii="Arial" w:cs="Arial" w:eastAsia="Arial" w:hAnsi="Arial"/>
          <w:sz w:val="16"/>
          <w:szCs w:val="16"/>
          <w:color w:val="auto"/>
        </w:rPr>
        <w:t>Europe or other foreign jurisdictions. On January 17, 2018, the European Patent Office Opposition Division (the “Opposition</w:t>
      </w:r>
    </w:p>
    <w:p>
      <w:pPr>
        <w:spacing w:after="0" w:line="176" w:lineRule="exact"/>
        <w:rPr>
          <w:sz w:val="20"/>
          <w:szCs w:val="20"/>
          <w:color w:val="auto"/>
        </w:rPr>
      </w:pPr>
      <w:r>
        <w:rPr>
          <w:rFonts w:ascii="Arial" w:cs="Arial" w:eastAsia="Arial" w:hAnsi="Arial"/>
          <w:sz w:val="16"/>
          <w:szCs w:val="16"/>
          <w:color w:val="auto"/>
        </w:rPr>
        <w:t>Division”) revoked in the European Patent Office (the “EPO”) a European patent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w:t>
      </w:r>
    </w:p>
    <w:p>
      <w:pPr>
        <w:spacing w:after="0" w:line="229" w:lineRule="auto"/>
        <w:rPr>
          <w:sz w:val="20"/>
          <w:szCs w:val="20"/>
          <w:color w:val="auto"/>
        </w:rPr>
      </w:pPr>
      <w:r>
        <w:rPr>
          <w:rFonts w:ascii="Arial" w:cs="Arial" w:eastAsia="Arial" w:hAnsi="Arial"/>
          <w:sz w:val="16"/>
          <w:szCs w:val="16"/>
          <w:color w:val="auto"/>
        </w:rPr>
        <w:t>on behalf of itself, MIT and Harvard (European Patent No. EP 2,771,468 B1). On January 18, 2018, Broad, acting on behalf</w:t>
      </w:r>
    </w:p>
    <w:p>
      <w:pPr>
        <w:spacing w:after="0" w:line="203" w:lineRule="auto"/>
        <w:rPr>
          <w:sz w:val="20"/>
          <w:szCs w:val="20"/>
          <w:color w:val="auto"/>
        </w:rPr>
      </w:pPr>
      <w:r>
        <w:rPr>
          <w:rFonts w:ascii="Arial" w:cs="Arial" w:eastAsia="Arial" w:hAnsi="Arial"/>
          <w:sz w:val="18"/>
          <w:szCs w:val="18"/>
          <w:color w:val="auto"/>
        </w:rPr>
        <w:t>of itself, MIT and Harvard filed a notice of appeal to the Boards of Appeal of the EPO for review of the Opposition</w:t>
      </w:r>
    </w:p>
    <w:p>
      <w:pPr>
        <w:spacing w:after="0" w:line="229" w:lineRule="auto"/>
        <w:rPr>
          <w:sz w:val="20"/>
          <w:szCs w:val="20"/>
          <w:color w:val="auto"/>
        </w:rPr>
      </w:pPr>
      <w:r>
        <w:rPr>
          <w:rFonts w:ascii="Arial" w:cs="Arial" w:eastAsia="Arial" w:hAnsi="Arial"/>
          <w:sz w:val="16"/>
          <w:szCs w:val="16"/>
          <w:color w:val="auto"/>
        </w:rPr>
        <w:t>Division’s decision to revoke this patent. It is uncertain when or in what manner the Boards of Appeal will act on this appeal.</w:t>
      </w:r>
    </w:p>
    <w:p>
      <w:pPr>
        <w:spacing w:after="0" w:line="216" w:lineRule="auto"/>
        <w:rPr>
          <w:sz w:val="20"/>
          <w:szCs w:val="20"/>
          <w:color w:val="auto"/>
        </w:rPr>
      </w:pPr>
      <w:r>
        <w:rPr>
          <w:rFonts w:ascii="Arial" w:cs="Arial" w:eastAsia="Arial" w:hAnsi="Arial"/>
          <w:sz w:val="17"/>
          <w:szCs w:val="17"/>
          <w:color w:val="auto"/>
        </w:rPr>
        <w:t>The Opposition Division has also initiated opposition proceedings against six other European patents that we have</w:t>
      </w:r>
    </w:p>
    <w:p>
      <w:pPr>
        <w:spacing w:after="0" w:line="176" w:lineRule="exact"/>
        <w:rPr>
          <w:sz w:val="20"/>
          <w:szCs w:val="20"/>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(European Patent Nos. EP 2,784,162 B1, EP 2,896,697</w:t>
      </w:r>
    </w:p>
    <w:p>
      <w:pPr>
        <w:spacing w:after="0" w:line="215" w:lineRule="auto"/>
        <w:rPr>
          <w:sz w:val="20"/>
          <w:szCs w:val="20"/>
          <w:color w:val="auto"/>
        </w:rPr>
      </w:pPr>
      <w:r>
        <w:rPr>
          <w:rFonts w:ascii="Arial" w:cs="Arial" w:eastAsia="Arial" w:hAnsi="Arial"/>
          <w:sz w:val="17"/>
          <w:szCs w:val="17"/>
          <w:color w:val="auto"/>
        </w:rPr>
        <w:t>B1, EP 2,898,075 B1, EP 2,921,557 B1, EP 2,931,898 B1, and EP 3,009,511 B1), one European patent that we have</w:t>
      </w:r>
    </w:p>
    <w:p>
      <w:pPr>
        <w:spacing w:after="0" w:line="176" w:lineRule="exact"/>
        <w:rPr>
          <w:sz w:val="20"/>
          <w:szCs w:val="20"/>
          <w:color w:val="auto"/>
        </w:rPr>
      </w:pP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licensed from Broad, acting on behalf of itself and MIT (European Patent No. EP 2,764,103 B1), and two European</w:t>
      </w:r>
    </w:p>
    <w:p>
      <w:pPr>
        <w:spacing w:after="0" w:line="229" w:lineRule="auto"/>
        <w:rPr>
          <w:sz w:val="20"/>
          <w:szCs w:val="20"/>
          <w:color w:val="auto"/>
        </w:rPr>
      </w:pPr>
      <w:r>
        <w:rPr>
          <w:rFonts w:ascii="Arial" w:cs="Arial" w:eastAsia="Arial" w:hAnsi="Arial"/>
          <w:sz w:val="16"/>
          <w:szCs w:val="16"/>
          <w:color w:val="auto"/>
        </w:rPr>
        <w:t>patents that we have in-licensed from Broad, acting on behalf of itself, MIT, Harvard and Rockefeller (European Patent Nos.</w:t>
      </w:r>
    </w:p>
    <w:p>
      <w:pPr>
        <w:spacing w:after="0" w:line="229" w:lineRule="auto"/>
        <w:rPr>
          <w:sz w:val="20"/>
          <w:szCs w:val="20"/>
          <w:color w:val="auto"/>
        </w:rPr>
      </w:pPr>
      <w:r>
        <w:rPr>
          <w:rFonts w:ascii="Arial" w:cs="Arial" w:eastAsia="Arial" w:hAnsi="Arial"/>
          <w:sz w:val="16"/>
          <w:szCs w:val="16"/>
          <w:color w:val="auto"/>
        </w:rPr>
        <w:t>EP 2,825,654 B1 and EP 2,840,140 B1). The EPO opposition proceedings may involve issues including, but not limited to,</w:t>
      </w:r>
    </w:p>
    <w:p>
      <w:pPr>
        <w:spacing w:after="0" w:line="229" w:lineRule="auto"/>
        <w:rPr>
          <w:sz w:val="20"/>
          <w:szCs w:val="20"/>
          <w:color w:val="auto"/>
        </w:rPr>
      </w:pPr>
      <w:r>
        <w:rPr>
          <w:rFonts w:ascii="Arial" w:cs="Arial" w:eastAsia="Arial" w:hAnsi="Arial"/>
          <w:sz w:val="16"/>
          <w:szCs w:val="16"/>
          <w:color w:val="auto"/>
        </w:rPr>
        <w:t>procedural formalities related to filing the European patent application, priority, and the patentability of the involved claims.</w:t>
      </w:r>
    </w:p>
    <w:p>
      <w:pPr>
        <w:spacing w:after="0" w:line="229" w:lineRule="auto"/>
        <w:rPr>
          <w:sz w:val="20"/>
          <w:szCs w:val="20"/>
          <w:color w:val="auto"/>
        </w:rPr>
      </w:pPr>
      <w:r>
        <w:rPr>
          <w:rFonts w:ascii="Arial" w:cs="Arial" w:eastAsia="Arial" w:hAnsi="Arial"/>
          <w:sz w:val="16"/>
          <w:szCs w:val="16"/>
          <w:color w:val="auto"/>
        </w:rPr>
        <w:t>One or more of the third parties that have filed oppositions against European Patent Nos. EP 2,771,468 B1, EP 2,784,162 B1,</w:t>
      </w:r>
    </w:p>
    <w:p>
      <w:pPr>
        <w:spacing w:after="0" w:line="229" w:lineRule="auto"/>
        <w:rPr>
          <w:sz w:val="20"/>
          <w:szCs w:val="20"/>
          <w:color w:val="auto"/>
        </w:rPr>
      </w:pPr>
      <w:r>
        <w:rPr>
          <w:rFonts w:ascii="Arial" w:cs="Arial" w:eastAsia="Arial" w:hAnsi="Arial"/>
          <w:sz w:val="16"/>
          <w:szCs w:val="16"/>
          <w:color w:val="auto"/>
        </w:rPr>
        <w:t>EP 2,764,103 B1, EP 2,825,654 B1, EP 2,840,140 B1, EP 2,896,697 B1, EP 2,898,075 B1, EP 2,921,557 B1, EP 2,931,898</w:t>
      </w:r>
    </w:p>
    <w:p>
      <w:pPr>
        <w:spacing w:after="0" w:line="216" w:lineRule="auto"/>
        <w:rPr>
          <w:sz w:val="20"/>
          <w:szCs w:val="20"/>
          <w:color w:val="auto"/>
        </w:rPr>
      </w:pPr>
      <w:r>
        <w:rPr>
          <w:rFonts w:ascii="Arial" w:cs="Arial" w:eastAsia="Arial" w:hAnsi="Arial"/>
          <w:sz w:val="17"/>
          <w:szCs w:val="17"/>
          <w:color w:val="auto"/>
        </w:rPr>
        <w:t>B1, and/or EP 3,009,511 B1 or other third parties may file future oppositions against other European patents that we</w:t>
      </w:r>
    </w:p>
    <w:p>
      <w:pPr>
        <w:spacing w:after="0" w:line="176" w:lineRule="exact"/>
        <w:rPr>
          <w:sz w:val="20"/>
          <w:szCs w:val="20"/>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license or own. For example, we are aware that notices of opposition have been filed against one other European patent</w:t>
      </w:r>
    </w:p>
    <w:p>
      <w:pPr>
        <w:spacing w:after="0" w:line="215" w:lineRule="auto"/>
        <w:rPr>
          <w:sz w:val="20"/>
          <w:szCs w:val="20"/>
          <w:color w:val="auto"/>
        </w:rPr>
      </w:pPr>
      <w:r>
        <w:rPr>
          <w:rFonts w:ascii="Arial" w:cs="Arial" w:eastAsia="Arial" w:hAnsi="Arial"/>
          <w:sz w:val="17"/>
          <w:szCs w:val="17"/>
          <w:color w:val="auto"/>
        </w:rPr>
        <w:t>that we in-license from Broad, acting on behalf of itself, MIT and Harvard (European Patent No. EP 2,931,897 B1). The</w:t>
      </w:r>
    </w:p>
    <w:p>
      <w:pPr>
        <w:spacing w:after="0" w:line="229" w:lineRule="auto"/>
        <w:rPr>
          <w:sz w:val="20"/>
          <w:szCs w:val="20"/>
          <w:color w:val="auto"/>
        </w:rPr>
      </w:pPr>
      <w:r>
        <w:rPr>
          <w:rFonts w:ascii="Arial" w:cs="Arial" w:eastAsia="Arial" w:hAnsi="Arial"/>
          <w:sz w:val="16"/>
          <w:szCs w:val="16"/>
          <w:color w:val="auto"/>
        </w:rPr>
        <w:t>deadline for filing oppositions against this European patent is August 1, 2018. There may be other oppositions against this</w:t>
      </w:r>
    </w:p>
    <w:p>
      <w:pPr>
        <w:spacing w:after="0"/>
        <w:rPr>
          <w:sz w:val="20"/>
          <w:szCs w:val="20"/>
          <w:color w:val="auto"/>
        </w:rPr>
      </w:pPr>
      <w:r>
        <w:rPr>
          <w:rFonts w:ascii="Arial" w:cs="Arial" w:eastAsia="Arial" w:hAnsi="Arial"/>
          <w:sz w:val="18"/>
          <w:szCs w:val="18"/>
          <w:color w:val="auto"/>
        </w:rPr>
        <w:t>European patent that have not yet been filed or that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have not yet been made available to the public. The loss of priority for, or the loss of, these European patents could have a material adverse effect on the conduct of our business.</w:t>
      </w:r>
    </w:p>
    <w:p>
      <w:pPr>
        <w:spacing w:after="0" w:line="162" w:lineRule="exact"/>
        <w:rPr>
          <w:sz w:val="20"/>
          <w:szCs w:val="20"/>
          <w:color w:val="auto"/>
        </w:rPr>
      </w:pPr>
    </w:p>
    <w:p>
      <w:pPr>
        <w:ind w:right="300" w:firstLine="648"/>
        <w:spacing w:after="0" w:line="194" w:lineRule="exact"/>
        <w:rPr>
          <w:sz w:val="20"/>
          <w:szCs w:val="20"/>
          <w:color w:val="auto"/>
        </w:rPr>
      </w:pPr>
      <w:r>
        <w:rPr>
          <w:rFonts w:ascii="Arial" w:cs="Arial" w:eastAsia="Arial" w:hAnsi="Arial"/>
          <w:sz w:val="17"/>
          <w:szCs w:val="17"/>
          <w:color w:val="auto"/>
        </w:rPr>
        <w:t xml:space="preserve">For more information regarding the risks associated with the interference, the Suggestions of Interference, the request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w:t>
      </w:r>
      <w:r>
        <w:rPr>
          <w:rFonts w:ascii="MS PGothic" w:cs="MS PGothic" w:eastAsia="MS PGothic" w:hAnsi="MS PGothic"/>
          <w:sz w:val="17"/>
          <w:szCs w:val="17"/>
          <w:color w:val="auto"/>
        </w:rPr>
        <w:t>‑</w:t>
      </w:r>
      <w:r>
        <w:rPr>
          <w:rFonts w:ascii="Arial" w:cs="Arial" w:eastAsia="Arial" w:hAnsi="Arial"/>
          <w:sz w:val="17"/>
          <w:szCs w:val="17"/>
          <w:color w:val="auto"/>
        </w:rPr>
        <w:t>examination, the European oppositions, and other potential third party intellectual property related disputes, please see “Risk Factors—Risks Related to Our Intellectual Property.”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w:t>
      </w:r>
    </w:p>
    <w:p>
      <w:pPr>
        <w:spacing w:after="0" w:line="212" w:lineRule="auto"/>
        <w:rPr>
          <w:sz w:val="20"/>
          <w:szCs w:val="20"/>
          <w:color w:val="auto"/>
        </w:rPr>
      </w:pPr>
      <w:r>
        <w:rPr>
          <w:rFonts w:ascii="Arial" w:cs="Arial" w:eastAsia="Arial" w:hAnsi="Arial"/>
          <w:sz w:val="18"/>
          <w:szCs w:val="18"/>
          <w:color w:val="auto"/>
        </w:rPr>
        <w:t>most countries, including the United States, the patent term is 20 years from the earliest claimed filing date of a</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provisional patent application in the applicable country. In the United States, a patent’s term may, in certain cases, be</w:t>
      </w:r>
    </w:p>
    <w:p>
      <w:pPr>
        <w:spacing w:after="0" w:line="229" w:lineRule="auto"/>
        <w:rPr>
          <w:sz w:val="20"/>
          <w:szCs w:val="20"/>
          <w:color w:val="auto"/>
        </w:rPr>
      </w:pPr>
      <w:r>
        <w:rPr>
          <w:rFonts w:ascii="Arial" w:cs="Arial" w:eastAsia="Arial" w:hAnsi="Arial"/>
          <w:sz w:val="16"/>
          <w:szCs w:val="16"/>
          <w:color w:val="auto"/>
        </w:rPr>
        <w:t>lengthened by patent term adjustment, which compensates a patentee for administrative delays by the USPTO in examining</w:t>
      </w:r>
    </w:p>
    <w:p>
      <w:pPr>
        <w:spacing w:after="0" w:line="229" w:lineRule="auto"/>
        <w:rPr>
          <w:sz w:val="20"/>
          <w:szCs w:val="20"/>
          <w:color w:val="auto"/>
        </w:rPr>
      </w:pPr>
      <w:r>
        <w:rPr>
          <w:rFonts w:ascii="Arial" w:cs="Arial" w:eastAsia="Arial" w:hAnsi="Arial"/>
          <w:sz w:val="16"/>
          <w:szCs w:val="16"/>
          <w:color w:val="auto"/>
        </w:rPr>
        <w:t>and granting a patent, or may be shortened if a patent is terminally disclaimed over a commonly owned patent or a patent</w:t>
      </w:r>
    </w:p>
    <w:p>
      <w:pPr>
        <w:spacing w:after="0" w:line="229" w:lineRule="auto"/>
        <w:rPr>
          <w:sz w:val="20"/>
          <w:szCs w:val="20"/>
          <w:color w:val="auto"/>
        </w:rPr>
      </w:pPr>
      <w:r>
        <w:rPr>
          <w:rFonts w:ascii="Arial" w:cs="Arial" w:eastAsia="Arial" w:hAnsi="Arial"/>
          <w:sz w:val="16"/>
          <w:szCs w:val="16"/>
          <w:color w:val="auto"/>
        </w:rPr>
        <w:t>naming a common inventor and having an earlier expiration date. The Drug Price Competition and Patent Term Restoration</w:t>
      </w:r>
    </w:p>
    <w:p>
      <w:pPr>
        <w:spacing w:after="0" w:line="216" w:lineRule="auto"/>
        <w:rPr>
          <w:sz w:val="20"/>
          <w:szCs w:val="20"/>
          <w:color w:val="auto"/>
        </w:rPr>
      </w:pPr>
      <w:r>
        <w:rPr>
          <w:rFonts w:ascii="Arial" w:cs="Arial" w:eastAsia="Arial" w:hAnsi="Arial"/>
          <w:sz w:val="17"/>
          <w:szCs w:val="17"/>
          <w:color w:val="auto"/>
        </w:rPr>
        <w:t>Act of 1984 extension cannot extend the remaining term of a patent beyond a total of 14 years from the date of product</w:t>
      </w:r>
    </w:p>
    <w:p>
      <w:pPr>
        <w:spacing w:after="0" w:line="229" w:lineRule="auto"/>
        <w:rPr>
          <w:sz w:val="20"/>
          <w:szCs w:val="20"/>
          <w:color w:val="auto"/>
        </w:rPr>
      </w:pPr>
      <w:r>
        <w:rPr>
          <w:rFonts w:ascii="Arial" w:cs="Arial" w:eastAsia="Arial" w:hAnsi="Arial"/>
          <w:sz w:val="16"/>
          <w:szCs w:val="16"/>
          <w:color w:val="auto"/>
        </w:rPr>
        <w:t>approval, only one patent applicable to each regulatory review period may be extended and only those claims covering the</w:t>
      </w:r>
    </w:p>
    <w:p>
      <w:pPr>
        <w:spacing w:after="0"/>
        <w:rPr>
          <w:sz w:val="20"/>
          <w:szCs w:val="20"/>
          <w:color w:val="auto"/>
        </w:rPr>
      </w:pPr>
      <w:r>
        <w:rPr>
          <w:rFonts w:ascii="Arial" w:cs="Arial" w:eastAsia="Arial" w:hAnsi="Arial"/>
          <w:sz w:val="18"/>
          <w:szCs w:val="18"/>
          <w:color w:val="auto"/>
        </w:rPr>
        <w:t>approved drug or a method for using it may be extended.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CRISPR</w:t>
      </w:r>
    </w:p>
    <w:p>
      <w:pPr>
        <w:spacing w:after="0" w:line="18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As of December 31, 2017, we owned one U.S. patent, 19 pending U.S. non</w:t>
      </w:r>
      <w:r>
        <w:rPr>
          <w:rFonts w:ascii="MS PGothic" w:cs="MS PGothic" w:eastAsia="MS PGothic" w:hAnsi="MS PGothic"/>
          <w:sz w:val="16"/>
          <w:szCs w:val="16"/>
          <w:color w:val="auto"/>
        </w:rPr>
        <w:t>‑</w:t>
      </w:r>
      <w:r>
        <w:rPr>
          <w:rFonts w:ascii="Arial" w:cs="Arial" w:eastAsia="Arial" w:hAnsi="Arial"/>
          <w:sz w:val="16"/>
          <w:szCs w:val="16"/>
          <w:color w:val="auto"/>
        </w:rPr>
        <w:t>provisional patent applications, 16 pending European patent applications, 16 pending U.S. provisional patent applications, 16 pending PCT patent applications, and other related patent applications in jurisdictions outside the United States and Europe that are related to our CRISPR technology and which include claims directed to our genome editing platform, including our directed editing component, as well as composition of matter and method of use claims for our therapeutic programs, including LCA10 and other genetic and infectious eye disorders, and engineered T cells. One of these U.S. patents and its U.S. and foreign counterpart applications is co</w:t>
      </w:r>
      <w:r>
        <w:rPr>
          <w:rFonts w:ascii="MS PGothic" w:cs="MS PGothic" w:eastAsia="MS PGothic" w:hAnsi="MS PGothic"/>
          <w:sz w:val="16"/>
          <w:szCs w:val="16"/>
          <w:color w:val="auto"/>
        </w:rPr>
        <w:t>‑</w:t>
      </w:r>
      <w:r>
        <w:rPr>
          <w:rFonts w:ascii="Arial" w:cs="Arial" w:eastAsia="Arial" w:hAnsi="Arial"/>
          <w:sz w:val="16"/>
          <w:szCs w:val="16"/>
          <w:color w:val="auto"/>
        </w:rPr>
        <w:t>owned with Broad and Iowa and we have obtained an exclusive license to such co</w:t>
      </w:r>
      <w:r>
        <w:rPr>
          <w:rFonts w:ascii="MS PGothic" w:cs="MS PGothic" w:eastAsia="MS PGothic" w:hAnsi="MS PGothic"/>
          <w:sz w:val="16"/>
          <w:szCs w:val="16"/>
          <w:color w:val="auto"/>
        </w:rPr>
        <w:t>‑</w:t>
      </w:r>
      <w:r>
        <w:rPr>
          <w:rFonts w:ascii="Arial" w:cs="Arial" w:eastAsia="Arial" w:hAnsi="Arial"/>
          <w:sz w:val="16"/>
          <w:szCs w:val="16"/>
          <w:color w:val="auto"/>
        </w:rPr>
        <w:t>ownership rights from these third parties in the field of prevention or treatment of human disease using gene therapy or genome editing. In addition, three of these pending PCT patent applications and four of these pending U.S. provisional patent applications are co</w:t>
      </w:r>
      <w:r>
        <w:rPr>
          <w:rFonts w:ascii="MS PGothic" w:cs="MS PGothic" w:eastAsia="MS PGothic" w:hAnsi="MS PGothic"/>
          <w:sz w:val="16"/>
          <w:szCs w:val="16"/>
          <w:color w:val="auto"/>
        </w:rPr>
        <w:t>‑</w:t>
      </w:r>
      <w:r>
        <w:rPr>
          <w:rFonts w:ascii="Arial" w:cs="Arial" w:eastAsia="Arial" w:hAnsi="Arial"/>
          <w:sz w:val="16"/>
          <w:szCs w:val="16"/>
          <w:color w:val="auto"/>
        </w:rPr>
        <w:t>owned with certain of our collaborators because they encompass inventions developed under our collaborations. If issued as U.S. patents, and if the appropriate maintenance fees are paid, the U.S. patent applications would be expected to expire between 2034 and 2038, excluding any additional term for patent term adjustments or patent term extensions.</w:t>
      </w:r>
    </w:p>
    <w:p>
      <w:pPr>
        <w:spacing w:after="0" w:line="170"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As of December 31, 2017, we in</w:t>
      </w:r>
      <w:r>
        <w:rPr>
          <w:rFonts w:ascii="MS PGothic" w:cs="MS PGothic" w:eastAsia="MS PGothic" w:hAnsi="MS PGothic"/>
          <w:sz w:val="17"/>
          <w:szCs w:val="17"/>
          <w:color w:val="auto"/>
        </w:rPr>
        <w:t>‑</w:t>
      </w:r>
      <w:r>
        <w:rPr>
          <w:rFonts w:ascii="Arial" w:cs="Arial" w:eastAsia="Arial" w:hAnsi="Arial"/>
          <w:sz w:val="17"/>
          <w:szCs w:val="17"/>
          <w:color w:val="auto"/>
        </w:rPr>
        <w:t>licensed 35 U.S. patents, 11 European patents and related validations, and over 500 pending patent applications, including approximately 91 pending U.S. non</w:t>
      </w:r>
      <w:r>
        <w:rPr>
          <w:rFonts w:ascii="MS PGothic" w:cs="MS PGothic" w:eastAsia="MS PGothic" w:hAnsi="MS PGothic"/>
          <w:sz w:val="17"/>
          <w:szCs w:val="17"/>
          <w:color w:val="auto"/>
        </w:rPr>
        <w:t>‑</w:t>
      </w:r>
      <w:r>
        <w:rPr>
          <w:rFonts w:ascii="Arial" w:cs="Arial" w:eastAsia="Arial" w:hAnsi="Arial"/>
          <w:sz w:val="17"/>
          <w:szCs w:val="17"/>
          <w:color w:val="auto"/>
        </w:rPr>
        <w:t>provisional patent applications, 57 pending European patent applications, six pending PCT patent applications, and other related patent applications in jurisdictions outside the United States and Europe that are related to our CRISPR technology collectively from various universities and institutions. The claims from our in</w:t>
      </w:r>
      <w:r>
        <w:rPr>
          <w:rFonts w:ascii="MS PGothic" w:cs="MS PGothic" w:eastAsia="MS PGothic" w:hAnsi="MS PGothic"/>
          <w:sz w:val="17"/>
          <w:szCs w:val="17"/>
          <w:color w:val="auto"/>
        </w:rPr>
        <w:t>‑</w:t>
      </w:r>
      <w:r>
        <w:rPr>
          <w:rFonts w:ascii="Arial" w:cs="Arial" w:eastAsia="Arial" w:hAnsi="Arial"/>
          <w:sz w:val="17"/>
          <w:szCs w:val="17"/>
          <w:color w:val="auto"/>
        </w:rPr>
        <w:t xml:space="preserve">licensed portfolio include claims to compositions of matter, methods of use, and certain processes. These include claims directed to CRISPR systems that employ Cas9 including Cas9 nickases,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Cas9, high</w:t>
      </w:r>
      <w:r>
        <w:rPr>
          <w:rFonts w:ascii="MS PGothic" w:cs="MS PGothic" w:eastAsia="MS PGothic" w:hAnsi="MS PGothic"/>
          <w:sz w:val="17"/>
          <w:szCs w:val="17"/>
          <w:color w:val="auto"/>
        </w:rPr>
        <w:t>‑</w:t>
      </w:r>
      <w:r>
        <w:rPr>
          <w:rFonts w:ascii="Arial" w:cs="Arial" w:eastAsia="Arial" w:hAnsi="Arial"/>
          <w:sz w:val="17"/>
          <w:szCs w:val="17"/>
          <w:color w:val="auto"/>
        </w:rPr>
        <w:t>fidelity Cas9 nucleases, Cas9 PAM variants and self</w:t>
      </w:r>
      <w:r>
        <w:rPr>
          <w:rFonts w:ascii="MS PGothic" w:cs="MS PGothic" w:eastAsia="MS PGothic" w:hAnsi="MS PGothic"/>
          <w:sz w:val="17"/>
          <w:szCs w:val="17"/>
          <w:color w:val="auto"/>
        </w:rPr>
        <w:t>‑</w:t>
      </w:r>
      <w:r>
        <w:rPr>
          <w:rFonts w:ascii="Arial" w:cs="Arial" w:eastAsia="Arial" w:hAnsi="Arial"/>
          <w:sz w:val="17"/>
          <w:szCs w:val="17"/>
          <w:color w:val="auto"/>
        </w:rPr>
        <w:t>inactivating forms of Cas9, CRISPR systems that employ Cpf1 including Cpf1 nickases and other variants and self-inactivating forms of Cpf1, and also CRISPR systems that employ viral vectors for delivery, single guide RNAs, or modified guide RNAs. Our current in</w:t>
      </w:r>
      <w:r>
        <w:rPr>
          <w:rFonts w:ascii="MS PGothic" w:cs="MS PGothic" w:eastAsia="MS PGothic" w:hAnsi="MS PGothic"/>
          <w:sz w:val="17"/>
          <w:szCs w:val="17"/>
          <w:color w:val="auto"/>
        </w:rPr>
        <w:t>‑</w:t>
      </w:r>
      <w:r>
        <w:rPr>
          <w:rFonts w:ascii="Arial" w:cs="Arial" w:eastAsia="Arial" w:hAnsi="Arial"/>
          <w:sz w:val="17"/>
          <w:szCs w:val="17"/>
          <w:color w:val="auto"/>
        </w:rPr>
        <w:t>licensed U.S. patents, if the appropriate maintenance fees are paid, are expected to expire between 2033 and 2036, excluding any additional term for patent term adjustments or patent term extensions.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LCA10</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As of December 31, 2017, we owned two pending U.S. non</w:t>
      </w:r>
      <w:r>
        <w:rPr>
          <w:rFonts w:ascii="MS PGothic" w:cs="MS PGothic" w:eastAsia="MS PGothic" w:hAnsi="MS PGothic"/>
          <w:sz w:val="16"/>
          <w:szCs w:val="16"/>
          <w:color w:val="auto"/>
        </w:rPr>
        <w:t>‑</w:t>
      </w:r>
      <w:r>
        <w:rPr>
          <w:rFonts w:ascii="Arial" w:cs="Arial" w:eastAsia="Arial" w:hAnsi="Arial"/>
          <w:sz w:val="16"/>
          <w:szCs w:val="16"/>
          <w:color w:val="auto"/>
        </w:rPr>
        <w:t>provisional patent applications, one pending European patent application, one pending Canadian patent application, and one pending PCT patent application which are directed to compositions of matter, including guide RNAs directed to CEP290, and methods of use for the treatment of LCA10. If issued as a U.S. patent, and if the appropriate maintenance fees are paid, the U.S. patent applications would be expected to expire between 2035 and 2037, excluding any additional term for patent term adjustments or patent term extensions.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185"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As of December 31, 2017, our registered trademark portfolio consisted of registrations in the United States for EDITAS, EDITAS in Stylized Letters and the Infinity Logo, registrations in Australia, China, the European Union, Japan and Switzerland for EDITAS, registrations in Australia, the European Union and Switzerland for the Infinity Logo and a registration in the European Union for UDITAS.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0" w:firstLine="648"/>
        <w:spacing w:after="0" w:line="184" w:lineRule="exact"/>
        <w:rPr>
          <w:sz w:val="20"/>
          <w:szCs w:val="20"/>
          <w:color w:val="auto"/>
        </w:rPr>
      </w:pPr>
      <w:r>
        <w:rPr>
          <w:rFonts w:ascii="Arial" w:cs="Arial" w:eastAsia="Arial" w:hAnsi="Arial"/>
          <w:sz w:val="17"/>
          <w:szCs w:val="17"/>
          <w:color w:val="auto"/>
        </w:rPr>
        <w:t>The biotechnology and pharmaceutical industries, including in the gene therapy and genome</w:t>
      </w:r>
      <w:r>
        <w:rPr>
          <w:rFonts w:ascii="MS PGothic" w:cs="MS PGothic" w:eastAsia="MS PGothic" w:hAnsi="MS PGothic"/>
          <w:sz w:val="17"/>
          <w:szCs w:val="17"/>
          <w:color w:val="auto"/>
        </w:rPr>
        <w:t>‑</w:t>
      </w:r>
      <w:r>
        <w:rPr>
          <w:rFonts w:ascii="Arial" w:cs="Arial" w:eastAsia="Arial" w:hAnsi="Arial"/>
          <w:sz w:val="17"/>
          <w:szCs w:val="17"/>
          <w:color w:val="auto"/>
        </w:rPr>
        <w:t>editing fields, are characterized by rapidly advancing technologies, intense competition, and a strong emphasis on intellectual property and proprietary products. While we believe that our technology, development experience, and scientific knowledge provide us with competitive advantages, we face potential competition from many different sources, including major pharmaceutical, specialty pharmaceutical, biotechnology companies, governmental agencies, and public and private research institutions. Any product candidates that we successfully develop and commercialize may compete with existing therapies and new therapies may become available in the future.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compete in the segments of the pharmaceutical, biotechnology, and other related markets that utilize</w:t>
      </w:r>
    </w:p>
    <w:p>
      <w:pPr>
        <w:spacing w:after="0" w:line="229" w:lineRule="auto"/>
        <w:rPr>
          <w:sz w:val="20"/>
          <w:szCs w:val="20"/>
          <w:color w:val="auto"/>
        </w:rPr>
      </w:pPr>
      <w:r>
        <w:rPr>
          <w:rFonts w:ascii="Arial" w:cs="Arial" w:eastAsia="Arial" w:hAnsi="Arial"/>
          <w:sz w:val="16"/>
          <w:szCs w:val="16"/>
          <w:color w:val="auto"/>
        </w:rPr>
        <w:t>technologies encompassing genomic medicines to create therapies, including genome editing and gene therapy. There are</w:t>
      </w:r>
    </w:p>
    <w:p>
      <w:pPr>
        <w:spacing w:after="0" w:line="215" w:lineRule="auto"/>
        <w:rPr>
          <w:sz w:val="20"/>
          <w:szCs w:val="20"/>
          <w:color w:val="auto"/>
        </w:rPr>
      </w:pPr>
      <w:r>
        <w:rPr>
          <w:rFonts w:ascii="Arial" w:cs="Arial" w:eastAsia="Arial" w:hAnsi="Arial"/>
          <w:sz w:val="17"/>
          <w:szCs w:val="17"/>
          <w:color w:val="auto"/>
        </w:rPr>
        <w:t>additional companies that are working to develop therapies in areas related to our research programs. Our platform and</w:t>
      </w:r>
    </w:p>
    <w:p>
      <w:pPr>
        <w:spacing w:after="0" w:line="229" w:lineRule="auto"/>
        <w:rPr>
          <w:sz w:val="20"/>
          <w:szCs w:val="20"/>
          <w:color w:val="auto"/>
        </w:rPr>
      </w:pPr>
      <w:r>
        <w:rPr>
          <w:rFonts w:ascii="Arial" w:cs="Arial" w:eastAsia="Arial" w:hAnsi="Arial"/>
          <w:sz w:val="16"/>
          <w:szCs w:val="16"/>
          <w:color w:val="auto"/>
        </w:rPr>
        <w:t>product focus is the development of therapies using CRISPR technology. Other companies developing CRISPR technology</w:t>
      </w:r>
    </w:p>
    <w:p>
      <w:pPr>
        <w:spacing w:after="0" w:line="229" w:lineRule="auto"/>
        <w:rPr>
          <w:sz w:val="20"/>
          <w:szCs w:val="20"/>
          <w:color w:val="auto"/>
        </w:rPr>
      </w:pPr>
      <w:r>
        <w:rPr>
          <w:rFonts w:ascii="Arial" w:cs="Arial" w:eastAsia="Arial" w:hAnsi="Arial"/>
          <w:sz w:val="16"/>
          <w:szCs w:val="16"/>
          <w:color w:val="auto"/>
        </w:rPr>
        <w:t>include Caribou Biosciences, Casebia Therapeutics, CRISPR Therapeutics, ERS Genomics, Exonics Therapeutics, Intellia</w:t>
      </w:r>
    </w:p>
    <w:p>
      <w:pPr>
        <w:spacing w:after="0" w:line="204" w:lineRule="auto"/>
        <w:rPr>
          <w:sz w:val="20"/>
          <w:szCs w:val="20"/>
          <w:color w:val="auto"/>
        </w:rPr>
      </w:pPr>
      <w:r>
        <w:rPr>
          <w:rFonts w:ascii="Arial" w:cs="Arial" w:eastAsia="Arial" w:hAnsi="Arial"/>
          <w:sz w:val="18"/>
          <w:szCs w:val="18"/>
          <w:color w:val="auto"/>
        </w:rPr>
        <w:t>Therapeutics, and TRACR Hematology. In addition, there have been and may continue to be discoveries of new</w:t>
      </w:r>
    </w:p>
    <w:p>
      <w:pPr>
        <w:spacing w:after="0" w:line="176" w:lineRule="exact"/>
        <w:rPr>
          <w:sz w:val="20"/>
          <w:szCs w:val="20"/>
          <w:color w:val="auto"/>
        </w:rPr>
      </w:pPr>
      <w:r>
        <w:rPr>
          <w:rFonts w:ascii="Arial" w:cs="Arial" w:eastAsia="Arial" w:hAnsi="Arial"/>
          <w:sz w:val="16"/>
          <w:szCs w:val="16"/>
          <w:color w:val="auto"/>
        </w:rPr>
        <w:t>CRISPR</w:t>
      </w:r>
      <w:r>
        <w:rPr>
          <w:rFonts w:ascii="MS PGothic" w:cs="MS PGothic" w:eastAsia="MS PGothic" w:hAnsi="MS PGothic"/>
          <w:sz w:val="16"/>
          <w:szCs w:val="16"/>
          <w:color w:val="auto"/>
        </w:rPr>
        <w:t>‑</w:t>
      </w:r>
      <w:r>
        <w:rPr>
          <w:rFonts w:ascii="Arial" w:cs="Arial" w:eastAsia="Arial" w:hAnsi="Arial"/>
          <w:sz w:val="16"/>
          <w:szCs w:val="16"/>
          <w:color w:val="auto"/>
        </w:rPr>
        <w:t>based gene editing technologies. There are additional companies developing therapies using other genome editing</w:t>
      </w:r>
    </w:p>
    <w:p>
      <w:pPr>
        <w:spacing w:after="0" w:line="176" w:lineRule="exact"/>
        <w:rPr>
          <w:sz w:val="20"/>
          <w:szCs w:val="20"/>
          <w:color w:val="auto"/>
        </w:rPr>
      </w:pPr>
      <w:r>
        <w:rPr>
          <w:rFonts w:ascii="Arial" w:cs="Arial" w:eastAsia="Arial" w:hAnsi="Arial"/>
          <w:sz w:val="16"/>
          <w:szCs w:val="16"/>
          <w:color w:val="auto"/>
        </w:rPr>
        <w:t>technologies, including TALENs, meganucleases, Mega</w:t>
      </w:r>
      <w:r>
        <w:rPr>
          <w:rFonts w:ascii="MS PGothic" w:cs="MS PGothic" w:eastAsia="MS PGothic" w:hAnsi="MS PGothic"/>
          <w:sz w:val="16"/>
          <w:szCs w:val="16"/>
          <w:color w:val="auto"/>
        </w:rPr>
        <w:t>‑</w:t>
      </w:r>
      <w:r>
        <w:rPr>
          <w:rFonts w:ascii="Arial" w:cs="Arial" w:eastAsia="Arial" w:hAnsi="Arial"/>
          <w:sz w:val="16"/>
          <w:szCs w:val="16"/>
          <w:color w:val="auto"/>
        </w:rPr>
        <w:t>TALs, and zinc finger nucleases. The companies developing these</w:t>
      </w:r>
    </w:p>
    <w:p>
      <w:pPr>
        <w:spacing w:after="0" w:line="229" w:lineRule="auto"/>
        <w:rPr>
          <w:sz w:val="20"/>
          <w:szCs w:val="20"/>
          <w:color w:val="auto"/>
        </w:rPr>
      </w:pPr>
      <w:r>
        <w:rPr>
          <w:rFonts w:ascii="Arial" w:cs="Arial" w:eastAsia="Arial" w:hAnsi="Arial"/>
          <w:sz w:val="16"/>
          <w:szCs w:val="16"/>
          <w:color w:val="auto"/>
        </w:rPr>
        <w:t>other genome editing technologies include bluebird bio, Cellectis, Poseida Therapeutics, Precision Biosciences, and Sangamo</w:t>
      </w:r>
    </w:p>
    <w:p>
      <w:pPr>
        <w:spacing w:after="0" w:line="203" w:lineRule="auto"/>
        <w:rPr>
          <w:sz w:val="20"/>
          <w:szCs w:val="20"/>
          <w:color w:val="auto"/>
        </w:rPr>
      </w:pPr>
      <w:r>
        <w:rPr>
          <w:rFonts w:ascii="Arial" w:cs="Arial" w:eastAsia="Arial" w:hAnsi="Arial"/>
          <w:sz w:val="18"/>
          <w:szCs w:val="18"/>
          <w:color w:val="auto"/>
        </w:rPr>
        <w:t>Therapeutics. Additional companies developing gene therapy products include Abeona Therapeutics, Adverum</w:t>
      </w:r>
    </w:p>
    <w:p>
      <w:pPr>
        <w:spacing w:after="0" w:line="229" w:lineRule="auto"/>
        <w:rPr>
          <w:sz w:val="20"/>
          <w:szCs w:val="20"/>
          <w:color w:val="auto"/>
        </w:rPr>
      </w:pPr>
      <w:r>
        <w:rPr>
          <w:rFonts w:ascii="Arial" w:cs="Arial" w:eastAsia="Arial" w:hAnsi="Arial"/>
          <w:sz w:val="16"/>
          <w:szCs w:val="16"/>
          <w:color w:val="auto"/>
        </w:rPr>
        <w:t>Biotechnologies, AGTC Therapeutics, Audentes Therapeutics, Homology Medicines, Nightstar Therapeutics, REGENXBIO,</w:t>
      </w:r>
    </w:p>
    <w:p>
      <w:pPr>
        <w:spacing w:after="0" w:line="229" w:lineRule="auto"/>
        <w:rPr>
          <w:sz w:val="20"/>
          <w:szCs w:val="20"/>
          <w:color w:val="auto"/>
        </w:rPr>
      </w:pPr>
      <w:r>
        <w:rPr>
          <w:rFonts w:ascii="Arial" w:cs="Arial" w:eastAsia="Arial" w:hAnsi="Arial"/>
          <w:sz w:val="16"/>
          <w:szCs w:val="16"/>
          <w:color w:val="auto"/>
        </w:rPr>
        <w:t>Spark Therapeutics, uniQure, and Voyager Therapeutics. In addition to competition from other genome editing therapies or</w:t>
      </w:r>
    </w:p>
    <w:p>
      <w:pPr>
        <w:spacing w:after="0" w:line="216" w:lineRule="auto"/>
        <w:rPr>
          <w:sz w:val="20"/>
          <w:szCs w:val="20"/>
          <w:color w:val="auto"/>
        </w:rPr>
      </w:pPr>
      <w:r>
        <w:rPr>
          <w:rFonts w:ascii="Arial" w:cs="Arial" w:eastAsia="Arial" w:hAnsi="Arial"/>
          <w:sz w:val="17"/>
          <w:szCs w:val="17"/>
          <w:color w:val="auto"/>
        </w:rPr>
        <w:t>gene therapies, any products that we develop may also face competition from other types of therapies, such as small</w:t>
      </w:r>
    </w:p>
    <w:p>
      <w:pPr>
        <w:spacing w:after="0"/>
        <w:rPr>
          <w:sz w:val="20"/>
          <w:szCs w:val="20"/>
          <w:color w:val="auto"/>
        </w:rPr>
      </w:pPr>
      <w:r>
        <w:rPr>
          <w:rFonts w:ascii="Arial" w:cs="Arial" w:eastAsia="Arial" w:hAnsi="Arial"/>
          <w:sz w:val="18"/>
          <w:szCs w:val="18"/>
          <w:color w:val="auto"/>
        </w:rPr>
        <w:t>molecule, antibody, protein, oligonucleotide, or ribonucleic acid therapies.</w:t>
      </w:r>
    </w:p>
    <w:p>
      <w:pPr>
        <w:spacing w:after="0" w:line="169"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addition, many of our current or potential competitors, either alone or with their collaboration partners, may have greater financial resources and expertise in research and development, manufacturing, preclinical testing, conducting clinical trials, and marketing approved products than we do. Mergers and acquisitions in the pharmaceutical, biotechnology, and gene therapy industries may result in even more resources being concentrated among a smaller number of our competitors. Smaller or early</w:t>
      </w:r>
      <w:r>
        <w:rPr>
          <w:rFonts w:ascii="MS PGothic" w:cs="MS PGothic" w:eastAsia="MS PGothic" w:hAnsi="MS PGothic"/>
          <w:sz w:val="17"/>
          <w:szCs w:val="17"/>
          <w:color w:val="auto"/>
        </w:rPr>
        <w:t>‑</w:t>
      </w:r>
      <w:r>
        <w:rPr>
          <w:rFonts w:ascii="Arial" w:cs="Arial" w:eastAsia="Arial" w:hAnsi="Arial"/>
          <w:sz w:val="17"/>
          <w:szCs w:val="17"/>
          <w:color w:val="auto"/>
        </w:rPr>
        <w:t>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16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If our current programs are approved for the indications for which we are currently planning clinical trials, they may compete with other products currently under development, including genome editing and gene therapy products. Competition with other related products currently under development may include competition for clinical trial sites, patient recruitment, and product sales.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We currently contract with third parties for the manufacturing of our materials for preclinical studies and our planned clinical trials. We do not own or operate manufacturing facilities for the production of our program materials. We currently have no plans to build our own clinical or commercial scale manufacturing capabilities. The use of contracted manufacturing and reliance on collaboration partners is relatively cost</w:t>
      </w:r>
      <w:r>
        <w:rPr>
          <w:rFonts w:ascii="MS PGothic" w:cs="MS PGothic" w:eastAsia="MS PGothic" w:hAnsi="MS PGothic"/>
          <w:sz w:val="17"/>
          <w:szCs w:val="17"/>
          <w:color w:val="auto"/>
        </w:rPr>
        <w:t>‑</w:t>
      </w:r>
      <w:r>
        <w:rPr>
          <w:rFonts w:ascii="Arial" w:cs="Arial" w:eastAsia="Arial" w:hAnsi="Arial"/>
          <w:sz w:val="17"/>
          <w:szCs w:val="17"/>
          <w:color w:val="auto"/>
        </w:rPr>
        <w:t>efficient and has eliminated the need for our direct investment in manufacturing facilities and additional staff early in development. Although we rely on contract manufacturers, we have personnel with manufacturing experience to oversee our contract manufacturers. We expect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to be capable of providing sufficient quantities of our program materials to meet anticipated needs for preclinical studies and clinical trials. To meet our projected needs for commercial manufacturing, third parties with whom we currently work might need to increase their scale of production or we will need to secure alternate suppliers. We believe that there are alternate sources of supply that can satisfy our preclinical, clinical, and commercial requirements, although we cannot be certain that identifying and establishing relationships with such sources, if necessary, would not result in significant delay or material additional costs.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89"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We currently intend to build the commercial infrastructure in the United States and Europe necessary to effectively support the commercialization of all of our programs, if and when we first believe a regulatory approval of a product candidate under one of our programs in a particular geographic market appears probable. The commercial infrastructure for orphan products typically consists of a targeted, specialty sales force that calls on a limited and focused group of physicians supported by sales management, medical liaisons, internal sales support, an internal marketing group, and distribution support.</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Additional capabilities important to the orphan marketplace include the management of key accounts such as managed care organizations, group purchasing organizations, specialty pharmacies, and government accounts. To develop the appropriate commercial infrastructure, we will have to invest significant amounts of financial and management resources, some of which will be committed prior to any confirmation that any product candidate we may develop will be approved.</w:t>
      </w:r>
    </w:p>
    <w:p>
      <w:pPr>
        <w:spacing w:after="0" w:line="155"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Outside of the United States and Europe, where appropriate, we may elect in the future to utilize strategic partners, distributors, or contract sales forces to assist in the commercialization of our products. In certain instances, we may consider building our own commercial infrastructure.</w:t>
      </w:r>
    </w:p>
    <w:p>
      <w:pPr>
        <w:spacing w:after="0" w:line="163" w:lineRule="exact"/>
        <w:rPr>
          <w:sz w:val="20"/>
          <w:szCs w:val="20"/>
          <w:color w:val="auto"/>
        </w:rPr>
      </w:pPr>
    </w:p>
    <w:p>
      <w:pPr>
        <w:ind w:right="180" w:firstLine="648"/>
        <w:spacing w:after="0" w:line="219" w:lineRule="auto"/>
        <w:rPr>
          <w:sz w:val="20"/>
          <w:szCs w:val="20"/>
          <w:color w:val="auto"/>
        </w:rPr>
      </w:pPr>
      <w:r>
        <w:rPr>
          <w:rFonts w:ascii="Arial" w:cs="Arial" w:eastAsia="Arial" w:hAnsi="Arial"/>
          <w:sz w:val="18"/>
          <w:szCs w:val="18"/>
          <w:color w:val="auto"/>
        </w:rPr>
        <w:t>As product candidates advance through our pipeline, our commercial plans may change. In particular,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ind w:right="20" w:firstLine="648"/>
        <w:spacing w:after="0" w:line="184" w:lineRule="exact"/>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w:t>
      </w:r>
      <w:r>
        <w:rPr>
          <w:rFonts w:ascii="MS PGothic" w:cs="MS PGothic" w:eastAsia="MS PGothic" w:hAnsi="MS PGothic"/>
          <w:sz w:val="17"/>
          <w:szCs w:val="17"/>
          <w:color w:val="auto"/>
        </w:rPr>
        <w:t>‑</w:t>
      </w:r>
      <w:r>
        <w:rPr>
          <w:rFonts w:ascii="Arial" w:cs="Arial" w:eastAsia="Arial" w:hAnsi="Arial"/>
          <w:sz w:val="17"/>
          <w:szCs w:val="17"/>
          <w:color w:val="auto"/>
        </w:rPr>
        <w:t>approval monitoring and reporting, and import and export of pharmaceutical products, including biological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Licensure and Regulation of Biologics in the United States</w:t>
      </w:r>
    </w:p>
    <w:p>
      <w:pPr>
        <w:spacing w:after="0" w:line="185" w:lineRule="exact"/>
        <w:rPr>
          <w:sz w:val="20"/>
          <w:szCs w:val="20"/>
          <w:color w:val="auto"/>
        </w:rPr>
      </w:pPr>
    </w:p>
    <w:p>
      <w:pPr>
        <w:ind w:right="140" w:firstLine="648"/>
        <w:spacing w:after="0" w:line="189" w:lineRule="exact"/>
        <w:rPr>
          <w:sz w:val="20"/>
          <w:szCs w:val="20"/>
          <w:color w:val="auto"/>
        </w:rPr>
      </w:pPr>
      <w:r>
        <w:rPr>
          <w:rFonts w:ascii="Arial" w:cs="Arial" w:eastAsia="Arial" w:hAnsi="Arial"/>
          <w:sz w:val="16"/>
          <w:szCs w:val="16"/>
          <w:color w:val="auto"/>
        </w:rPr>
        <w:t>In the United States, our candidate products would be regulated as biological products, or biologics, under the Public Health Service Act (the “PHSA”) and the Federal Food, Drug and Cosmetic Act (the “FDCA”) and its implementing regulations and guidances. The failure to comply with the applicable U.S. requirements at any time during the product development process, including non</w:t>
      </w:r>
      <w:r>
        <w:rPr>
          <w:rFonts w:ascii="MS PGothic" w:cs="MS PGothic" w:eastAsia="MS PGothic" w:hAnsi="MS PGothic"/>
          <w:sz w:val="16"/>
          <w:szCs w:val="16"/>
          <w:color w:val="auto"/>
        </w:rPr>
        <w:t>‑</w:t>
      </w:r>
      <w:r>
        <w:rPr>
          <w:rFonts w:ascii="Arial" w:cs="Arial" w:eastAsia="Arial" w:hAnsi="Arial"/>
          <w:sz w:val="16"/>
          <w:szCs w:val="16"/>
          <w:color w:val="auto"/>
        </w:rPr>
        <w:t>clinical testing, clinical testing, the approval process or post</w:t>
      </w:r>
      <w:r>
        <w:rPr>
          <w:rFonts w:ascii="MS PGothic" w:cs="MS PGothic" w:eastAsia="MS PGothic" w:hAnsi="MS PGothic"/>
          <w:sz w:val="16"/>
          <w:szCs w:val="16"/>
          <w:color w:val="auto"/>
        </w:rPr>
        <w:t>‑</w:t>
      </w:r>
      <w:r>
        <w:rPr>
          <w:rFonts w:ascii="Arial" w:cs="Arial" w:eastAsia="Arial" w:hAnsi="Arial"/>
          <w:sz w:val="16"/>
          <w:szCs w:val="16"/>
          <w:color w:val="auto"/>
        </w:rPr>
        <w:t>approval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9"/>
        <w:spacing w:after="0" w:line="226" w:lineRule="auto"/>
        <w:rPr>
          <w:sz w:val="20"/>
          <w:szCs w:val="20"/>
          <w:color w:val="auto"/>
        </w:rPr>
      </w:pPr>
      <w:r>
        <w:rPr>
          <w:rFonts w:ascii="Arial" w:cs="Arial" w:eastAsia="Arial" w:hAnsi="Arial"/>
          <w:sz w:val="17"/>
          <w:szCs w:val="17"/>
          <w:color w:val="auto"/>
        </w:rPr>
        <w:t>process, may subject an applicant to delays in the conduct of the study,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the Department of Justice (“DOJ”) and other governmental entities, including state agencies.</w:t>
      </w:r>
    </w:p>
    <w:p>
      <w:pPr>
        <w:spacing w:after="0" w:line="165" w:lineRule="exact"/>
        <w:rPr>
          <w:sz w:val="20"/>
          <w:szCs w:val="20"/>
          <w:color w:val="auto"/>
        </w:rPr>
      </w:pPr>
    </w:p>
    <w:p>
      <w:pPr>
        <w:ind w:right="759" w:firstLine="648"/>
        <w:spacing w:after="0" w:line="235" w:lineRule="auto"/>
        <w:rPr>
          <w:sz w:val="20"/>
          <w:szCs w:val="20"/>
          <w:color w:val="auto"/>
        </w:rPr>
      </w:pPr>
      <w:r>
        <w:rPr>
          <w:rFonts w:ascii="Arial" w:cs="Arial" w:eastAsia="Arial" w:hAnsi="Arial"/>
          <w:sz w:val="18"/>
          <w:szCs w:val="18"/>
          <w:color w:val="auto"/>
        </w:rPr>
        <w:t>An applicant seeking approval to market and distribute a new biologic in the United States generally must satisfactorily complete each of the following steps:</w:t>
      </w:r>
    </w:p>
    <w:p>
      <w:pPr>
        <w:spacing w:after="0" w:line="162" w:lineRule="exact"/>
        <w:rPr>
          <w:sz w:val="20"/>
          <w:szCs w:val="20"/>
          <w:color w:val="auto"/>
        </w:rPr>
      </w:pPr>
    </w:p>
    <w:p>
      <w:pPr>
        <w:ind w:left="980" w:right="99" w:hanging="329"/>
        <w:spacing w:after="0" w:line="23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regulations;</w:t>
      </w:r>
    </w:p>
    <w:p>
      <w:pPr>
        <w:spacing w:after="0" w:line="161" w:lineRule="exact"/>
        <w:rPr>
          <w:rFonts w:ascii="Arial" w:cs="Arial" w:eastAsia="Arial" w:hAnsi="Arial"/>
          <w:sz w:val="18"/>
          <w:szCs w:val="18"/>
          <w:color w:val="auto"/>
        </w:rPr>
      </w:pPr>
    </w:p>
    <w:p>
      <w:pPr>
        <w:ind w:left="980" w:right="179" w:hanging="329"/>
        <w:spacing w:after="0" w:line="23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IND application for human clinical testing, which must become effective before human clinical trials may begin;</w:t>
      </w:r>
    </w:p>
    <w:p>
      <w:pPr>
        <w:spacing w:after="0" w:line="161" w:lineRule="exact"/>
        <w:rPr>
          <w:rFonts w:ascii="Arial" w:cs="Arial" w:eastAsia="Arial" w:hAnsi="Arial"/>
          <w:sz w:val="18"/>
          <w:szCs w:val="18"/>
          <w:color w:val="auto"/>
        </w:rPr>
      </w:pPr>
    </w:p>
    <w:p>
      <w:pPr>
        <w:ind w:left="980" w:right="499" w:hanging="329"/>
        <w:spacing w:after="0" w:line="23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representing each clinical site before each clinical trial may be initiated;</w:t>
      </w:r>
    </w:p>
    <w:p>
      <w:pPr>
        <w:spacing w:after="0" w:line="161" w:lineRule="exact"/>
        <w:rPr>
          <w:rFonts w:ascii="Arial" w:cs="Arial" w:eastAsia="Arial" w:hAnsi="Arial"/>
          <w:sz w:val="18"/>
          <w:szCs w:val="18"/>
          <w:color w:val="auto"/>
        </w:rPr>
      </w:pPr>
    </w:p>
    <w:p>
      <w:pPr>
        <w:ind w:left="980" w:right="59" w:hanging="329"/>
        <w:spacing w:after="0" w:line="194" w:lineRule="exact"/>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to establish the safety, potency, and purity of the product candidate for each proposed indication, in accordance with current Good Clinical Practices (“GCP”);</w:t>
      </w:r>
    </w:p>
    <w:p>
      <w:pPr>
        <w:spacing w:after="0" w:line="163" w:lineRule="exact"/>
        <w:rPr>
          <w:rFonts w:ascii="Arial" w:cs="Arial" w:eastAsia="Arial" w:hAnsi="Arial"/>
          <w:sz w:val="18"/>
          <w:szCs w:val="18"/>
          <w:color w:val="auto"/>
        </w:rPr>
      </w:pPr>
    </w:p>
    <w:p>
      <w:pPr>
        <w:ind w:left="980" w:right="19" w:hanging="329"/>
        <w:spacing w:after="0" w:line="23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preparation and submission to the FDA of a Biologic License Application (“BLA”) for a biologic product requesting marketing for one or more proposed indications, including submission of detailed information on the manufacture and composition of the product in clinical development and proposed labelling;</w:t>
      </w:r>
    </w:p>
    <w:p>
      <w:pPr>
        <w:spacing w:after="0" w:line="161" w:lineRule="exact"/>
        <w:rPr>
          <w:rFonts w:ascii="Arial" w:cs="Arial" w:eastAsia="Arial" w:hAnsi="Arial"/>
          <w:sz w:val="17"/>
          <w:szCs w:val="17"/>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184" w:lineRule="exact"/>
        <w:rPr>
          <w:rFonts w:ascii="Arial" w:cs="Arial" w:eastAsia="Arial" w:hAnsi="Arial"/>
          <w:sz w:val="18"/>
          <w:szCs w:val="18"/>
          <w:color w:val="auto"/>
        </w:rPr>
      </w:pPr>
    </w:p>
    <w:p>
      <w:pPr>
        <w:ind w:left="980" w:right="239" w:hanging="329"/>
        <w:spacing w:after="0" w:line="244"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satisfactory completion of one or more FDA inspections of the manufacturing facility or facilities, including those of third parties, at which the product, or components thereof, are produced to assess compliance with current Good Manufacturing Practices (“cGMP”) requirements and to assure that the facilities, methods, and controls are adequate to preserve the product’s identity, strength, quality, and purity, and, if applicable, the FDA’s current good tissue practice (“GTP”) for the use of human cellular and tissue products;</w:t>
      </w:r>
    </w:p>
    <w:p>
      <w:pPr>
        <w:spacing w:after="0" w:line="158" w:lineRule="exact"/>
        <w:rPr>
          <w:rFonts w:ascii="Arial" w:cs="Arial" w:eastAsia="Arial" w:hAnsi="Arial"/>
          <w:sz w:val="16"/>
          <w:szCs w:val="16"/>
          <w:color w:val="auto"/>
        </w:rPr>
      </w:pPr>
    </w:p>
    <w:p>
      <w:pPr>
        <w:ind w:left="980" w:right="139" w:hanging="329"/>
        <w:spacing w:after="0" w:line="203" w:lineRule="exact"/>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w:t>
      </w:r>
      <w:r>
        <w:rPr>
          <w:rFonts w:ascii="MS PGothic" w:cs="MS PGothic" w:eastAsia="MS PGothic" w:hAnsi="MS PGothic"/>
          <w:sz w:val="18"/>
          <w:szCs w:val="18"/>
          <w:color w:val="auto"/>
        </w:rPr>
        <w:t>‑</w:t>
      </w:r>
      <w:r>
        <w:rPr>
          <w:rFonts w:ascii="Arial" w:cs="Arial" w:eastAsia="Arial" w:hAnsi="Arial"/>
          <w:sz w:val="18"/>
          <w:szCs w:val="18"/>
          <w:color w:val="auto"/>
        </w:rPr>
        <w:t>clinical and clinical trial sites to assure compliance with GCPs and the integrity of clinical data in support of the BLA;</w:t>
      </w:r>
    </w:p>
    <w:p>
      <w:pPr>
        <w:spacing w:after="0" w:line="161" w:lineRule="exact"/>
        <w:rPr>
          <w:rFonts w:ascii="Arial" w:cs="Arial" w:eastAsia="Arial" w:hAnsi="Arial"/>
          <w:sz w:val="18"/>
          <w:szCs w:val="18"/>
          <w:color w:val="auto"/>
        </w:rPr>
      </w:pPr>
    </w:p>
    <w:p>
      <w:pPr>
        <w:ind w:left="980" w:right="19" w:hanging="329"/>
        <w:spacing w:after="0" w:line="23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user Prescription Drug User Free Act (“PDUFA”) securing FDA approval of the BLA and licensure of the new biologic product; and</w:t>
      </w:r>
    </w:p>
    <w:p>
      <w:pPr>
        <w:spacing w:after="0" w:line="161" w:lineRule="exact"/>
        <w:rPr>
          <w:rFonts w:ascii="Arial" w:cs="Arial" w:eastAsia="Arial" w:hAnsi="Arial"/>
          <w:sz w:val="18"/>
          <w:szCs w:val="18"/>
          <w:color w:val="auto"/>
        </w:rPr>
      </w:pPr>
    </w:p>
    <w:p>
      <w:pPr>
        <w:ind w:left="980" w:right="419" w:hanging="329"/>
        <w:spacing w:after="0" w:line="203" w:lineRule="exact"/>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compliance with any post</w:t>
      </w:r>
      <w:r>
        <w:rPr>
          <w:rFonts w:ascii="MS PGothic" w:cs="MS PGothic" w:eastAsia="MS PGothic" w:hAnsi="MS PGothic"/>
          <w:sz w:val="16"/>
          <w:szCs w:val="16"/>
          <w:color w:val="auto"/>
        </w:rPr>
        <w:t>‑</w:t>
      </w:r>
      <w:r>
        <w:rPr>
          <w:rFonts w:ascii="Arial" w:cs="Arial" w:eastAsia="Arial" w:hAnsi="Arial"/>
          <w:sz w:val="16"/>
          <w:szCs w:val="16"/>
          <w:color w:val="auto"/>
        </w:rPr>
        <w:t>approval requirements, including the potential requirement to implement a Risk Evaluation and Mitigation Strategy (“REMS”) and any post</w:t>
      </w:r>
      <w:r>
        <w:rPr>
          <w:rFonts w:ascii="MS PGothic" w:cs="MS PGothic" w:eastAsia="MS PGothic" w:hAnsi="MS PGothic"/>
          <w:sz w:val="16"/>
          <w:szCs w:val="16"/>
          <w:color w:val="auto"/>
        </w:rPr>
        <w:t>‑</w:t>
      </w:r>
      <w:r>
        <w:rPr>
          <w:rFonts w:ascii="Arial" w:cs="Arial" w:eastAsia="Arial" w:hAnsi="Arial"/>
          <w:sz w:val="16"/>
          <w:szCs w:val="16"/>
          <w:color w:val="auto"/>
        </w:rPr>
        <w:t>approval studies required by the FDA.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85" w:lineRule="exact"/>
        <w:rPr>
          <w:sz w:val="20"/>
          <w:szCs w:val="20"/>
          <w:color w:val="auto"/>
        </w:rPr>
      </w:pPr>
    </w:p>
    <w:p>
      <w:pPr>
        <w:ind w:right="59" w:firstLine="648"/>
        <w:spacing w:after="0" w:line="214" w:lineRule="auto"/>
        <w:rPr>
          <w:sz w:val="20"/>
          <w:szCs w:val="20"/>
          <w:color w:val="auto"/>
        </w:rPr>
      </w:pPr>
      <w:r>
        <w:rPr>
          <w:rFonts w:ascii="Arial" w:cs="Arial" w:eastAsia="Arial" w:hAnsi="Arial"/>
          <w:sz w:val="18"/>
          <w:szCs w:val="18"/>
          <w:color w:val="auto"/>
        </w:rPr>
        <w:t>Before testing any biologic product candidate in humans, including a gene therapy product candidate,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140" w:firstLine="648"/>
        <w:spacing w:after="0" w:line="226"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w:t>
      </w:r>
    </w:p>
    <w:p>
      <w:pPr>
        <w:spacing w:after="0" w:line="165"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As a result, submission of the IND may result in the FDA not allowing the trials to commence or allowing the trial to commence on the terms originally specified by the sponsor in the IND. If the FDA raises concerns or questions either during this initial 30</w:t>
      </w:r>
      <w:r>
        <w:rPr>
          <w:rFonts w:ascii="MS PGothic" w:cs="MS PGothic" w:eastAsia="MS PGothic" w:hAnsi="MS PGothic"/>
          <w:sz w:val="16"/>
          <w:szCs w:val="16"/>
          <w:color w:val="auto"/>
        </w:rPr>
        <w:t>‑</w:t>
      </w:r>
      <w:r>
        <w:rPr>
          <w:rFonts w:ascii="Arial" w:cs="Arial" w:eastAsia="Arial" w:hAnsi="Arial"/>
          <w:sz w:val="16"/>
          <w:szCs w:val="16"/>
          <w:color w:val="auto"/>
        </w:rPr>
        <w:t>day period, or at any time during the IND process, it may choose to impose a partial or complete clinical hold. This order issued by the FDA would delay either a proposed clinical study or cause suspension of an ongoing study, until all outstanding concerns have been adequately addressed and the FDA has notified the company that investigations may proceed. This could cause significant delays or difficulties in completing planned clinical studies in a timely manner.</w:t>
      </w:r>
    </w:p>
    <w:p>
      <w:pPr>
        <w:spacing w:after="0" w:line="166"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With gene therapy protocols, if the FDA allows the IND to proceed, but the Recombinant DNA Advisory Committee (“RAC”) of the NIH decides that full public review of the protocol is warranted, the FDA will request at the completion of its IND review that sponsors delay initiation of the protocol until after completion of the RAC review process. The FDA also may impose clinical holds on a biologic product candidate at any time before or during clinical trials due to safety concerns or non</w:t>
      </w:r>
      <w:r>
        <w:rPr>
          <w:rFonts w:ascii="MS PGothic" w:cs="MS PGothic" w:eastAsia="MS PGothic" w:hAnsi="MS PGothic"/>
          <w:sz w:val="18"/>
          <w:szCs w:val="18"/>
          <w:color w:val="auto"/>
        </w:rPr>
        <w:t>‑</w:t>
      </w:r>
      <w:r>
        <w:rPr>
          <w:rFonts w:ascii="Arial" w:cs="Arial" w:eastAsia="Arial" w:hAnsi="Arial"/>
          <w:sz w:val="18"/>
          <w:szCs w:val="18"/>
          <w:color w:val="auto"/>
        </w:rPr>
        <w:t>compliance. If the FDA imposes a clinical hold, trials may not recommence without FDA authorization and then only under terms authorized by the FDA.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Human Clinical Trials in Support of a BLA</w:t>
      </w:r>
    </w:p>
    <w:p>
      <w:pPr>
        <w:spacing w:after="0" w:line="185"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59"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subjects.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12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w:t>
      </w:r>
    </w:p>
    <w:p>
      <w:pPr>
        <w:spacing w:after="0" w:line="162"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may recommend continuation of the study as planned, changes in study conduct, or cessation of the study at designated check points based on access to certain data from the study. Finally, research activities involving infectious agents, hazardous chemicals, recombinant DNA, and genetically altered organisms and agents may be subject to review and approval of an Institutional Biosafety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Committee in accordance with NIH Guidelines for Research Involving Recombinant or Synthetic Nucleic Acid Molecules.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Clinical trials typically are conducted in three sequential phases, but the phases may overlap or be combined.</w:t>
      </w:r>
    </w:p>
    <w:p>
      <w:pPr>
        <w:spacing w:after="0"/>
        <w:rPr>
          <w:sz w:val="20"/>
          <w:szCs w:val="20"/>
          <w:color w:val="auto"/>
        </w:rPr>
      </w:pPr>
      <w:r>
        <w:rPr>
          <w:rFonts w:ascii="Arial" w:cs="Arial" w:eastAsia="Arial" w:hAnsi="Arial"/>
          <w:sz w:val="18"/>
          <w:szCs w:val="18"/>
          <w:color w:val="auto"/>
        </w:rPr>
        <w:t>Additional studies may be required after approval.</w:t>
      </w:r>
    </w:p>
    <w:p>
      <w:pPr>
        <w:spacing w:after="0" w:line="169" w:lineRule="exact"/>
        <w:rPr>
          <w:sz w:val="20"/>
          <w:szCs w:val="20"/>
          <w:color w:val="auto"/>
        </w:rPr>
      </w:pPr>
    </w:p>
    <w:p>
      <w:pPr>
        <w:ind w:left="980" w:right="340" w:hanging="329"/>
        <w:spacing w:after="0" w:line="23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clinical trials are initially conducted in a limited population to test the product candidate for safety,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adverse effects, dose tolerance, absorption, metabolism, distribution, excretion, and pharmacodynamics in healthy humans or, on occasion, in patients, such as cancer patients.</w:t>
      </w:r>
    </w:p>
    <w:p>
      <w:pPr>
        <w:spacing w:after="0" w:line="161" w:lineRule="exact"/>
        <w:rPr>
          <w:rFonts w:ascii="Arial" w:cs="Arial" w:eastAsia="Arial" w:hAnsi="Arial"/>
          <w:sz w:val="17"/>
          <w:szCs w:val="17"/>
          <w:color w:val="auto"/>
        </w:rPr>
      </w:pPr>
    </w:p>
    <w:p>
      <w:pPr>
        <w:ind w:left="980" w:hanging="329"/>
        <w:spacing w:after="0" w:line="232"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clinical trials are generally conducted in a limited patient population to identify possible adverse effects</w:t>
      </w:r>
      <w:r>
        <w:rPr>
          <w:rFonts w:ascii="Arial" w:cs="Arial" w:eastAsia="Arial" w:hAnsi="Arial"/>
          <w:sz w:val="17"/>
          <w:szCs w:val="17"/>
          <w:i w:val="1"/>
          <w:iCs w:val="1"/>
          <w:color w:val="auto"/>
        </w:rPr>
        <w:t xml:space="preserve"> </w:t>
      </w:r>
      <w:r>
        <w:rPr>
          <w:rFonts w:ascii="Arial" w:cs="Arial" w:eastAsia="Arial" w:hAnsi="Arial"/>
          <w:sz w:val="17"/>
          <w:szCs w:val="17"/>
          <w:color w:val="auto"/>
        </w:rPr>
        <w:t>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62" w:lineRule="exact"/>
        <w:rPr>
          <w:rFonts w:ascii="Arial" w:cs="Arial" w:eastAsia="Arial" w:hAnsi="Arial"/>
          <w:sz w:val="17"/>
          <w:szCs w:val="17"/>
          <w:color w:val="auto"/>
        </w:rPr>
      </w:pPr>
    </w:p>
    <w:p>
      <w:pPr>
        <w:ind w:left="980" w:right="160" w:hanging="329"/>
        <w:spacing w:after="0" w:line="184" w:lineRule="exact"/>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proceed if the Phase 2 clinical trials demonstrate that a dose range of the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w:t>
      </w:r>
      <w:r>
        <w:rPr>
          <w:rFonts w:ascii="MS PGothic" w:cs="MS PGothic" w:eastAsia="MS PGothic" w:hAnsi="MS PGothic"/>
          <w:sz w:val="16"/>
          <w:szCs w:val="16"/>
          <w:color w:val="auto"/>
        </w:rPr>
        <w:t>‑</w:t>
      </w:r>
      <w:r>
        <w:rPr>
          <w:rFonts w:ascii="Arial" w:cs="Arial" w:eastAsia="Arial" w:hAnsi="Arial"/>
          <w:sz w:val="16"/>
          <w:szCs w:val="16"/>
          <w:color w:val="auto"/>
        </w:rPr>
        <w:t>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163" w:lineRule="exact"/>
        <w:rPr>
          <w:sz w:val="20"/>
          <w:szCs w:val="20"/>
          <w:color w:val="auto"/>
        </w:rPr>
      </w:pPr>
    </w:p>
    <w:p>
      <w:pPr>
        <w:ind w:right="200" w:firstLine="648"/>
        <w:spacing w:after="0" w:line="182" w:lineRule="exact"/>
        <w:rPr>
          <w:sz w:val="20"/>
          <w:szCs w:val="20"/>
          <w:color w:val="auto"/>
        </w:rPr>
      </w:pPr>
      <w:r>
        <w:rPr>
          <w:rFonts w:ascii="Arial" w:cs="Arial" w:eastAsia="Arial" w:hAnsi="Arial"/>
          <w:sz w:val="16"/>
          <w:szCs w:val="16"/>
          <w:color w:val="auto"/>
        </w:rPr>
        <w:t>In some cases, the FDA may approve a BLA for a product candidate but require the sponsor to conduct additional clinical trials to further assess the product candidate’s safety and effectiveness after approval. Such post</w:t>
      </w:r>
      <w:r>
        <w:rPr>
          <w:rFonts w:ascii="MS PGothic" w:cs="MS PGothic" w:eastAsia="MS PGothic" w:hAnsi="MS PGothic"/>
          <w:sz w:val="16"/>
          <w:szCs w:val="16"/>
          <w:color w:val="auto"/>
        </w:rPr>
        <w:t>‑</w:t>
      </w:r>
      <w:r>
        <w:rPr>
          <w:rFonts w:ascii="Arial" w:cs="Arial" w:eastAsia="Arial" w:hAnsi="Arial"/>
          <w:sz w:val="16"/>
          <w:szCs w:val="16"/>
          <w:color w:val="auto"/>
        </w:rPr>
        <w: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Special Regulations and Guidance Governing Gene Therapy Products</w:t>
      </w:r>
    </w:p>
    <w:p>
      <w:pPr>
        <w:spacing w:after="0" w:line="18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 xml:space="preserve">It is possible that the procedures and standards applied to gene therapy products and cell therapy products may be applied to any CRISPR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transferred to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prior to administration to the recipient. Within the FDA, the Center for Biologics Evaluation and Research (“CBER”) regulates gene therapy products. Within the CBER, the review of gene therapy and related products is consolidated in the Office of Cellular, Tissue and Gene Therapies, and the FDA has established the Cellular, Tissue and Gene Therapies Advisory Committee to advise CBER on its reviews. The CBER works closely with the NIH and the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gene therapy INDs.</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In addition to the foregoing, products classified as gene therapies are subject to additional regulation. The FDA has issued various guidance documents regarding gene therapies. Although the FDA has indicated that these guidance documents are not legally binding, we believe that our compliance with them is likely necessary to gain approval for any product candidate we may develop. The guidance documents provide additional factors that the FDA will consider at</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60"/>
        <w:spacing w:after="0" w:line="184" w:lineRule="exact"/>
        <w:rPr>
          <w:sz w:val="20"/>
          <w:szCs w:val="20"/>
          <w:color w:val="auto"/>
        </w:rPr>
      </w:pPr>
      <w:r>
        <w:rPr>
          <w:rFonts w:ascii="Arial" w:cs="Arial" w:eastAsia="Arial" w:hAnsi="Arial"/>
          <w:sz w:val="17"/>
          <w:szCs w:val="17"/>
          <w:color w:val="auto"/>
        </w:rPr>
        <w:t>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w:t>
      </w:r>
      <w:r>
        <w:rPr>
          <w:rFonts w:ascii="MS PGothic" w:cs="MS PGothic" w:eastAsia="MS PGothic" w:hAnsi="MS PGothic"/>
          <w:sz w:val="17"/>
          <w:szCs w:val="17"/>
          <w:color w:val="auto"/>
        </w:rPr>
        <w:t>‑</w:t>
      </w:r>
      <w:r>
        <w:rPr>
          <w:rFonts w:ascii="Arial" w:cs="Arial" w:eastAsia="Arial" w:hAnsi="Arial"/>
          <w:sz w:val="17"/>
          <w:szCs w:val="17"/>
          <w:color w:val="auto"/>
        </w:rPr>
        <w:t>related delayed adverse events for a 15</w:t>
      </w:r>
      <w:r>
        <w:rPr>
          <w:rFonts w:ascii="MS PGothic" w:cs="MS PGothic" w:eastAsia="MS PGothic" w:hAnsi="MS PGothic"/>
          <w:sz w:val="17"/>
          <w:szCs w:val="17"/>
          <w:color w:val="auto"/>
        </w:rPr>
        <w:t>‑</w:t>
      </w:r>
      <w:r>
        <w:rPr>
          <w:rFonts w:ascii="Arial" w:cs="Arial" w:eastAsia="Arial" w:hAnsi="Arial"/>
          <w:sz w:val="17"/>
          <w:szCs w:val="17"/>
          <w:color w:val="auto"/>
        </w:rPr>
        <w:t>year period, including a minimum of five years of annual examinations followed by 10 years of annual queries, either in person or by questionnaire.</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a gene therapy trial is conducted at, or sponsored by, institutions receiving the NIH funding for recombinant DNA research, a protocol and related documentation must be submitted to, and the study registered with, the NIH Office of Biotechnology Activities (“OBA”) pursuant to the NIH Guidelines for Research Involving Recombinant DNA Molecules prior to the submission of an IND to the FDA. In addition, many companies and other institutions not otherwise subject to the NIH Guidelines voluntarily follow them. The NIH will convene the RAC, a federal advisory committee, to discuss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 site and may be accessed by the public.</w:t>
      </w:r>
    </w:p>
    <w:p>
      <w:pPr>
        <w:spacing w:after="0" w:line="168"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8"/>
          <w:szCs w:val="18"/>
          <w:color w:val="auto"/>
        </w:rPr>
        <w:t>Finally, to facilitate adverse event reporting and dissemination of additional information about gene therapy trials, the FDA and the NIH established the Genetic Modification Clinical Research Information System or GeMCRIS. Investigators and sponsors of a human gene transfer trials can utilize this web</w:t>
      </w:r>
      <w:r>
        <w:rPr>
          <w:rFonts w:ascii="MS PGothic" w:cs="MS PGothic" w:eastAsia="MS PGothic" w:hAnsi="MS PGothic"/>
          <w:sz w:val="18"/>
          <w:szCs w:val="18"/>
          <w:color w:val="auto"/>
        </w:rPr>
        <w:t>‑</w:t>
      </w:r>
      <w:r>
        <w:rPr>
          <w:rFonts w:ascii="Arial" w:cs="Arial" w:eastAsia="Arial" w:hAnsi="Arial"/>
          <w:sz w:val="18"/>
          <w:szCs w:val="18"/>
          <w:color w:val="auto"/>
        </w:rPr>
        <w:t>based system to report serious adverse events and annual reports. GeMCRIS also allows members of the public to access basic reports about human gene transfer trials registered with the NIH and to search for information such as trial location, the names of investigators conducting trials, and the names of gene transfer products being studied.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Compliance with cGMP and GTP Requirements</w:t>
      </w:r>
    </w:p>
    <w:p>
      <w:pPr>
        <w:spacing w:after="0" w:line="185"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For a gene therapy product, the FDA also will not approve the product if the manufacturer is not in compliance with GTP. These standards are found in FDA regulations and guidances that govern the methods used in, and the facilities and controls used for, the manufacture of human cells, tissues, and cellular and tissue based products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63"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w:t>
      </w:r>
      <w:r>
        <w:rPr>
          <w:rFonts w:ascii="MS PGothic" w:cs="MS PGothic" w:eastAsia="MS PGothic" w:hAnsi="MS PGothic"/>
          <w:sz w:val="17"/>
          <w:szCs w:val="17"/>
          <w:color w:val="auto"/>
        </w:rPr>
        <w:t>‑</w:t>
      </w:r>
      <w:r>
        <w:rPr>
          <w:rFonts w:ascii="Arial" w:cs="Arial" w:eastAsia="Arial" w:hAnsi="Arial"/>
          <w:sz w:val="17"/>
          <w:szCs w:val="17"/>
          <w:color w:val="auto"/>
        </w:rPr>
        <w:t>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Review and Approval of a BLA</w:t>
      </w:r>
    </w:p>
    <w:p>
      <w:pPr>
        <w:spacing w:after="0" w:line="18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an application user fee, which for federal fiscal year 2018 is $2,421,495 for an application requiring clinical data. The sponsor of an approved BLA is also subject to an annual program fee, which for fiscal year 2018 is $304,162. Certain exceptions and waivers are available for some of these fees, such as an exception from the application fee for products with orphan designation and a waiver for certain small businesses.</w:t>
      </w:r>
    </w:p>
    <w:p>
      <w:pPr>
        <w:spacing w:after="0" w:line="168"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7"/>
          <w:szCs w:val="17"/>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w:t>
      </w:r>
      <w:r>
        <w:rPr>
          <w:rFonts w:ascii="MS PGothic" w:cs="MS PGothic" w:eastAsia="MS PGothic" w:hAnsi="MS PGothic"/>
          <w:sz w:val="17"/>
          <w:szCs w:val="17"/>
          <w:color w:val="auto"/>
        </w:rPr>
        <w:t>‑</w:t>
      </w:r>
      <w:r>
        <w:rPr>
          <w:rFonts w:ascii="Arial" w:cs="Arial" w:eastAsia="Arial" w:hAnsi="Arial"/>
          <w:sz w:val="17"/>
          <w:szCs w:val="17"/>
          <w:color w:val="auto"/>
        </w:rPr>
        <w:t>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64" w:lineRule="exact"/>
        <w:rPr>
          <w:sz w:val="20"/>
          <w:szCs w:val="20"/>
          <w:color w:val="auto"/>
        </w:rPr>
      </w:pPr>
    </w:p>
    <w:p>
      <w:pPr>
        <w:jc w:val="both"/>
        <w:ind w:right="340" w:firstLine="648"/>
        <w:spacing w:after="0" w:line="224" w:lineRule="auto"/>
        <w:rPr>
          <w:sz w:val="20"/>
          <w:szCs w:val="20"/>
          <w:color w:val="auto"/>
        </w:rPr>
      </w:pPr>
      <w:r>
        <w:rPr>
          <w:rFonts w:ascii="Arial" w:cs="Arial" w:eastAsia="Arial" w:hAnsi="Arial"/>
          <w:sz w:val="18"/>
          <w:szCs w:val="18"/>
          <w:color w:val="auto"/>
        </w:rPr>
        <w:t>Under the PHSA, the FDA may approve a BLA if it determines that the product is safe, pure, and potent and the facility where the product will be manufactured meets standards designed to ensure that it continues to be safe, pure, and potent.</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and any FDA audits of non</w:t>
      </w:r>
      <w:r>
        <w:rPr>
          <w:rFonts w:ascii="MS PGothic" w:cs="MS PGothic" w:eastAsia="MS PGothic" w:hAnsi="MS PGothic"/>
          <w:sz w:val="17"/>
          <w:szCs w:val="17"/>
          <w:color w:val="auto"/>
        </w:rPr>
        <w:t>‑</w:t>
      </w:r>
      <w:r>
        <w:rPr>
          <w:rFonts w:ascii="Arial" w:cs="Arial" w:eastAsia="Arial" w:hAnsi="Arial"/>
          <w:sz w:val="17"/>
          <w:szCs w:val="17"/>
          <w:color w:val="auto"/>
        </w:rPr>
        <w:t>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The FDA will not approve an application until issues identified in the complete response letter have been addressed.</w:t>
      </w:r>
    </w:p>
    <w:p>
      <w:pPr>
        <w:spacing w:after="0" w:line="163"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The FDA may also refer the application to an advisory committee for review, evaluation, and recommendation as to whether the application should be approved. In particular, the FDA may refer applications for novel biologic products 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FDA approves a new product, it may limit the approved indications for use of the product. It may also require</w:t>
      </w:r>
    </w:p>
    <w:p>
      <w:pPr>
        <w:spacing w:after="0" w:line="224" w:lineRule="auto"/>
        <w:rPr>
          <w:sz w:val="20"/>
          <w:szCs w:val="20"/>
          <w:color w:val="auto"/>
        </w:rPr>
      </w:pPr>
      <w:r>
        <w:rPr>
          <w:rFonts w:ascii="Arial" w:cs="Arial" w:eastAsia="Arial" w:hAnsi="Arial"/>
          <w:sz w:val="17"/>
          <w:szCs w:val="17"/>
          <w:color w:val="auto"/>
        </w:rPr>
        <w:t>that contraindications, warnings or precautions be included in the product labeling. In addition, the FDA may call for</w:t>
      </w:r>
    </w:p>
    <w:p>
      <w:pPr>
        <w:spacing w:after="0" w:line="176"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studies, including Phase 4 clinical trials, to further assess the product’s safety after approval. The agency may</w:t>
      </w:r>
    </w:p>
    <w:p>
      <w:pPr>
        <w:spacing w:after="0" w:line="229" w:lineRule="auto"/>
        <w:rPr>
          <w:sz w:val="20"/>
          <w:szCs w:val="20"/>
          <w:color w:val="auto"/>
        </w:rPr>
      </w:pPr>
      <w:r>
        <w:rPr>
          <w:rFonts w:ascii="Arial" w:cs="Arial" w:eastAsia="Arial" w:hAnsi="Arial"/>
          <w:sz w:val="16"/>
          <w:szCs w:val="16"/>
          <w:color w:val="auto"/>
        </w:rPr>
        <w:t>also require testing and surveillance programs to monitor the product after commercialization, or impose other conditions,</w:t>
      </w:r>
    </w:p>
    <w:p>
      <w:pPr>
        <w:spacing w:after="0" w:line="229" w:lineRule="auto"/>
        <w:rPr>
          <w:sz w:val="20"/>
          <w:szCs w:val="20"/>
          <w:color w:val="auto"/>
        </w:rPr>
      </w:pPr>
      <w:r>
        <w:rPr>
          <w:rFonts w:ascii="Arial" w:cs="Arial" w:eastAsia="Arial" w:hAnsi="Arial"/>
          <w:sz w:val="16"/>
          <w:szCs w:val="16"/>
          <w:color w:val="auto"/>
        </w:rPr>
        <w:t>including distribution restrictions or other risk management mechanisms, including REMS, to help ensure that the benefits of</w:t>
      </w:r>
    </w:p>
    <w:p>
      <w:pPr>
        <w:spacing w:after="0" w:line="216" w:lineRule="auto"/>
        <w:rPr>
          <w:sz w:val="20"/>
          <w:szCs w:val="20"/>
          <w:color w:val="auto"/>
        </w:rPr>
      </w:pPr>
      <w:r>
        <w:rPr>
          <w:rFonts w:ascii="Arial" w:cs="Arial" w:eastAsia="Arial" w:hAnsi="Arial"/>
          <w:sz w:val="17"/>
          <w:szCs w:val="17"/>
          <w:color w:val="auto"/>
        </w:rPr>
        <w:t>the product outweigh the potential risks. REMS can include medication guides, communication plans for healthcare</w:t>
      </w:r>
    </w:p>
    <w:p>
      <w:pPr>
        <w:spacing w:after="0" w:line="216" w:lineRule="auto"/>
        <w:rPr>
          <w:sz w:val="20"/>
          <w:szCs w:val="20"/>
          <w:color w:val="auto"/>
        </w:rPr>
      </w:pPr>
      <w:r>
        <w:rPr>
          <w:rFonts w:ascii="Arial" w:cs="Arial" w:eastAsia="Arial" w:hAnsi="Arial"/>
          <w:sz w:val="17"/>
          <w:szCs w:val="17"/>
          <w:color w:val="auto"/>
        </w:rPr>
        <w:t>professionals, and elements to assure safe use (“ETASU”). ETASU can include, but are not limited to, special training or</w:t>
      </w:r>
    </w:p>
    <w:p>
      <w:pPr>
        <w:spacing w:after="0"/>
        <w:rPr>
          <w:sz w:val="20"/>
          <w:szCs w:val="20"/>
          <w:color w:val="auto"/>
        </w:rPr>
      </w:pPr>
      <w:r>
        <w:rPr>
          <w:rFonts w:ascii="Arial" w:cs="Arial" w:eastAsia="Arial" w:hAnsi="Arial"/>
          <w:sz w:val="18"/>
          <w:szCs w:val="18"/>
          <w:color w:val="auto"/>
        </w:rPr>
        <w:t>certification for prescribing or dispensing, dispensing only under certain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40"/>
        <w:spacing w:after="0" w:line="189" w:lineRule="exact"/>
        <w:rPr>
          <w:sz w:val="20"/>
          <w:szCs w:val="20"/>
          <w:color w:val="auto"/>
        </w:rPr>
      </w:pPr>
      <w:r>
        <w:rPr>
          <w:rFonts w:ascii="Arial" w:cs="Arial" w:eastAsia="Arial" w:hAnsi="Arial"/>
          <w:sz w:val="18"/>
          <w:szCs w:val="18"/>
          <w:color w:val="auto"/>
        </w:rPr>
        <w:t>circumstances, special monitoring, and the use of patent registries. The FDA may prevent or limit further marketing of a product based on the results of post</w:t>
      </w:r>
      <w:r>
        <w:rPr>
          <w:rFonts w:ascii="MS PGothic" w:cs="MS PGothic" w:eastAsia="MS PGothic" w:hAnsi="MS PGothic"/>
          <w:sz w:val="18"/>
          <w:szCs w:val="18"/>
          <w:color w:val="auto"/>
        </w:rPr>
        <w:t>‑</w:t>
      </w:r>
      <w:r>
        <w:rPr>
          <w:rFonts w:ascii="Arial" w:cs="Arial" w:eastAsia="Arial" w:hAnsi="Arial"/>
          <w:sz w:val="18"/>
          <w:szCs w:val="18"/>
          <w:color w:val="auto"/>
        </w:rPr>
        <w: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185" w:lineRule="exact"/>
        <w:rPr>
          <w:sz w:val="20"/>
          <w:szCs w:val="20"/>
          <w:color w:val="auto"/>
        </w:rPr>
      </w:pPr>
    </w:p>
    <w:p>
      <w:pPr>
        <w:ind w:firstLine="648"/>
        <w:spacing w:after="0" w:line="194" w:lineRule="exact"/>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These programs are referred to as fast track designation, breakthrough therapy designation, priority review designation and regenerative advanced therapy designation.</w:t>
      </w:r>
    </w:p>
    <w:p>
      <w:pPr>
        <w:spacing w:after="0" w:line="163"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63" w:lineRule="exact"/>
        <w:rPr>
          <w:sz w:val="20"/>
          <w:szCs w:val="20"/>
          <w:color w:val="auto"/>
        </w:rPr>
      </w:pPr>
    </w:p>
    <w:p>
      <w:pPr>
        <w:ind w:right="40" w:firstLine="648"/>
        <w:spacing w:after="0" w:line="181" w:lineRule="exact"/>
        <w:rPr>
          <w:sz w:val="20"/>
          <w:szCs w:val="20"/>
          <w:color w:val="auto"/>
        </w:rPr>
      </w:pPr>
      <w:r>
        <w:rPr>
          <w:rFonts w:ascii="Arial" w:cs="Arial" w:eastAsia="Arial" w:hAnsi="Arial"/>
          <w:sz w:val="17"/>
          <w:szCs w:val="17"/>
          <w:color w:val="auto"/>
        </w:rPr>
        <w:t>Second, in 2012, Congress enacted the Food and Drug Administration Safety and Innovation Act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w:t>
      </w:r>
      <w:r>
        <w:rPr>
          <w:rFonts w:ascii="MS PGothic" w:cs="MS PGothic" w:eastAsia="MS PGothic" w:hAnsi="MS PGothic"/>
          <w:sz w:val="17"/>
          <w:szCs w:val="17"/>
          <w:color w:val="auto"/>
        </w:rPr>
        <w:t>‑</w:t>
      </w:r>
      <w:r>
        <w:rPr>
          <w:rFonts w:ascii="Arial" w:cs="Arial" w:eastAsia="Arial" w:hAnsi="Arial"/>
          <w:sz w:val="17"/>
          <w:szCs w:val="17"/>
          <w:color w:val="auto"/>
        </w:rPr>
        <w:t>disciplinary project lead for the review team; and taking other steps to design the clinical trials in an efficient manner.</w:t>
      </w:r>
    </w:p>
    <w:p>
      <w:pPr>
        <w:spacing w:after="0" w:line="164"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Third, the FDA may designate a product for priority review if it is a product that treats a serious condition and, if approved, would provide a significant improvement in safety or effectiveness. The FDA determines, on a case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w:t>
      </w:r>
      <w:r>
        <w:rPr>
          <w:rFonts w:ascii="MS PGothic" w:cs="MS PGothic" w:eastAsia="MS PGothic" w:hAnsi="MS PGothic"/>
          <w:sz w:val="17"/>
          <w:szCs w:val="17"/>
          <w:color w:val="auto"/>
        </w:rPr>
        <w:t>‑</w:t>
      </w:r>
      <w:r>
        <w:rPr>
          <w:rFonts w:ascii="Arial" w:cs="Arial" w:eastAsia="Arial" w:hAnsi="Arial"/>
          <w:sz w:val="17"/>
          <w:szCs w:val="17"/>
          <w:color w:val="auto"/>
        </w:rPr>
        <w: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6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With passage of the 21st Century Cures Act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Accelerated Approval Pathway</w:t>
      </w:r>
    </w:p>
    <w:p>
      <w:pPr>
        <w:spacing w:after="0" w:line="144"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The FDA may grant accelerated approval to a product for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68"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6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accelerated approval pathway is usually contingent on a sponsor’s agreement to conduct, in a diligent manner,</w:t>
      </w:r>
    </w:p>
    <w:p>
      <w:pPr>
        <w:spacing w:after="0" w:line="183" w:lineRule="exact"/>
        <w:rPr>
          <w:sz w:val="20"/>
          <w:szCs w:val="20"/>
          <w:color w:val="auto"/>
        </w:rPr>
      </w:pPr>
      <w:r>
        <w:rPr>
          <w:rFonts w:ascii="Arial" w:cs="Arial" w:eastAsia="Arial" w:hAnsi="Arial"/>
          <w:sz w:val="17"/>
          <w:szCs w:val="17"/>
          <w:color w:val="auto"/>
        </w:rPr>
        <w:t>additional post</w:t>
      </w:r>
      <w:r>
        <w:rPr>
          <w:rFonts w:ascii="MS PGothic" w:cs="MS PGothic" w:eastAsia="MS PGothic" w:hAnsi="MS PGothic"/>
          <w:sz w:val="17"/>
          <w:szCs w:val="17"/>
          <w:color w:val="auto"/>
        </w:rPr>
        <w:t>‑</w:t>
      </w:r>
      <w:r>
        <w:rPr>
          <w:rFonts w:ascii="Arial" w:cs="Arial" w:eastAsia="Arial" w:hAnsi="Arial"/>
          <w:sz w:val="17"/>
          <w:szCs w:val="17"/>
          <w:color w:val="auto"/>
        </w:rPr>
        <w:t>approval confirmatory studies to verify and describe the product’s clinical benefit. As a result, a product</w:t>
      </w:r>
    </w:p>
    <w:p>
      <w:pPr>
        <w:spacing w:after="0" w:line="176" w:lineRule="exact"/>
        <w:rPr>
          <w:sz w:val="20"/>
          <w:szCs w:val="20"/>
          <w:color w:val="auto"/>
        </w:rPr>
      </w:pPr>
      <w:r>
        <w:rPr>
          <w:rFonts w:ascii="Arial" w:cs="Arial" w:eastAsia="Arial" w:hAnsi="Arial"/>
          <w:sz w:val="16"/>
          <w:szCs w:val="16"/>
          <w:color w:val="auto"/>
        </w:rPr>
        <w:t>candidate approved on this basis is subject to rigorous post</w:t>
      </w:r>
      <w:r>
        <w:rPr>
          <w:rFonts w:ascii="MS PGothic" w:cs="MS PGothic" w:eastAsia="MS PGothic" w:hAnsi="MS PGothic"/>
          <w:sz w:val="16"/>
          <w:szCs w:val="16"/>
          <w:color w:val="auto"/>
        </w:rPr>
        <w:t>‑</w:t>
      </w:r>
      <w:r>
        <w:rPr>
          <w:rFonts w:ascii="Arial" w:cs="Arial" w:eastAsia="Arial" w:hAnsi="Arial"/>
          <w:sz w:val="16"/>
          <w:szCs w:val="16"/>
          <w:color w:val="auto"/>
        </w:rPr>
        <w:t>marketing compliance requirements, including the completion of</w:t>
      </w:r>
    </w:p>
    <w:p>
      <w:pPr>
        <w:spacing w:after="0" w:line="176" w:lineRule="exact"/>
        <w:rPr>
          <w:sz w:val="20"/>
          <w:szCs w:val="20"/>
          <w:color w:val="auto"/>
        </w:rPr>
      </w:pPr>
      <w:r>
        <w:rPr>
          <w:rFonts w:ascii="Arial" w:cs="Arial" w:eastAsia="Arial" w:hAnsi="Arial"/>
          <w:sz w:val="18"/>
          <w:szCs w:val="18"/>
          <w:color w:val="auto"/>
        </w:rPr>
        <w:t>Phase 4 or post</w:t>
      </w:r>
      <w:r>
        <w:rPr>
          <w:rFonts w:ascii="MS PGothic" w:cs="MS PGothic" w:eastAsia="MS PGothic" w:hAnsi="MS PGothic"/>
          <w:sz w:val="18"/>
          <w:szCs w:val="18"/>
          <w:color w:val="auto"/>
        </w:rPr>
        <w:t>‑</w:t>
      </w:r>
      <w:r>
        <w:rPr>
          <w:rFonts w:ascii="Arial" w:cs="Arial" w:eastAsia="Arial" w:hAnsi="Arial"/>
          <w:sz w:val="18"/>
          <w:szCs w:val="18"/>
          <w:color w:val="auto"/>
        </w:rPr>
        <w:t>approval clinical trials to confirm the effect on the clinical endpoint. Failure to conduct required</w:t>
      </w:r>
    </w:p>
    <w:p>
      <w:pPr>
        <w:spacing w:after="0" w:line="176" w:lineRule="exact"/>
        <w:rPr>
          <w:sz w:val="20"/>
          <w:szCs w:val="20"/>
          <w:color w:val="auto"/>
        </w:rPr>
      </w:pPr>
      <w:r>
        <w:rPr>
          <w:rFonts w:ascii="Arial" w:cs="Arial" w:eastAsia="Arial" w:hAnsi="Arial"/>
          <w:sz w:val="17"/>
          <w:szCs w:val="17"/>
          <w:color w:val="auto"/>
        </w:rPr>
        <w:t>post</w:t>
      </w:r>
      <w:r>
        <w:rPr>
          <w:rFonts w:ascii="MS PGothic" w:cs="MS PGothic" w:eastAsia="MS PGothic" w:hAnsi="MS PGothic"/>
          <w:sz w:val="17"/>
          <w:szCs w:val="17"/>
          <w:color w:val="auto"/>
        </w:rPr>
        <w:t>‑</w:t>
      </w:r>
      <w:r>
        <w:rPr>
          <w:rFonts w:ascii="Arial" w:cs="Arial" w:eastAsia="Arial" w:hAnsi="Arial"/>
          <w:sz w:val="17"/>
          <w:szCs w:val="17"/>
          <w:color w:val="auto"/>
        </w:rPr>
        <w:t>approval studies, or confirm a clinical benefit during post</w:t>
      </w:r>
      <w:r>
        <w:rPr>
          <w:rFonts w:ascii="MS PGothic" w:cs="MS PGothic" w:eastAsia="MS PGothic" w:hAnsi="MS PGothic"/>
          <w:sz w:val="17"/>
          <w:szCs w:val="17"/>
          <w:color w:val="auto"/>
        </w:rPr>
        <w:t>‑</w:t>
      </w:r>
      <w:r>
        <w:rPr>
          <w:rFonts w:ascii="Arial" w:cs="Arial" w:eastAsia="Arial" w:hAnsi="Arial"/>
          <w:sz w:val="17"/>
          <w:szCs w:val="17"/>
          <w:color w:val="auto"/>
        </w:rPr>
        <w:t>marketing studies, would allow the FDA to withdraw the</w:t>
      </w:r>
    </w:p>
    <w:p>
      <w:pPr>
        <w:spacing w:after="0" w:line="230" w:lineRule="auto"/>
        <w:rPr>
          <w:sz w:val="20"/>
          <w:szCs w:val="20"/>
          <w:color w:val="auto"/>
        </w:rPr>
      </w:pPr>
      <w:r>
        <w:rPr>
          <w:rFonts w:ascii="Arial" w:cs="Arial" w:eastAsia="Arial" w:hAnsi="Arial"/>
          <w:sz w:val="16"/>
          <w:szCs w:val="16"/>
          <w:color w:val="auto"/>
        </w:rPr>
        <w:t>product from the market on an expedited basis. All promotional materials for product candidates approved under accelerated</w:t>
      </w:r>
    </w:p>
    <w:p>
      <w:pPr>
        <w:spacing w:after="0"/>
        <w:rPr>
          <w:sz w:val="20"/>
          <w:szCs w:val="20"/>
          <w:color w:val="auto"/>
        </w:rPr>
      </w:pPr>
      <w:r>
        <w:rPr>
          <w:rFonts w:ascii="Arial" w:cs="Arial" w:eastAsia="Arial" w:hAnsi="Arial"/>
          <w:sz w:val="18"/>
          <w:szCs w:val="18"/>
          <w:color w:val="auto"/>
        </w:rPr>
        <w:t>regulations are subject to prior review by the FDA.</w:t>
      </w:r>
    </w:p>
    <w:p>
      <w:pPr>
        <w:spacing w:after="0" w:line="169"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Approval Regulation</w:t>
      </w:r>
    </w:p>
    <w:p>
      <w:pPr>
        <w:spacing w:after="0" w:line="18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If regulatory approval for marketing of a product or new indication for an existing product is obtained, the sponsor will be required to comply with all regular post</w:t>
      </w:r>
      <w:r>
        <w:rPr>
          <w:rFonts w:ascii="MS PGothic" w:cs="MS PGothic" w:eastAsia="MS PGothic" w:hAnsi="MS PGothic"/>
          <w:sz w:val="16"/>
          <w:szCs w:val="16"/>
          <w:color w:val="auto"/>
        </w:rPr>
        <w:t>‑</w:t>
      </w:r>
      <w:r>
        <w:rPr>
          <w:rFonts w:ascii="Arial" w:cs="Arial" w:eastAsia="Arial" w:hAnsi="Arial"/>
          <w:sz w:val="16"/>
          <w:szCs w:val="16"/>
          <w:color w:val="auto"/>
        </w:rPr>
        <w:t>approval regulatory requirements as well as any post</w:t>
      </w:r>
      <w:r>
        <w:rPr>
          <w:rFonts w:ascii="MS PGothic" w:cs="MS PGothic" w:eastAsia="MS PGothic" w:hAnsi="MS PGothic"/>
          <w:sz w:val="16"/>
          <w:szCs w:val="16"/>
          <w:color w:val="auto"/>
        </w:rPr>
        <w:t>‑</w:t>
      </w:r>
      <w:r>
        <w:rPr>
          <w:rFonts w:ascii="Arial" w:cs="Arial" w:eastAsia="Arial" w:hAnsi="Arial"/>
          <w:sz w:val="16"/>
          <w:szCs w:val="16"/>
          <w:color w:val="auto"/>
        </w:rPr>
        <w: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must continue to expend time, money, and effort in the areas of production and quality control to maintain compliance with cGMP regulations and other regulatory requirements.</w:t>
      </w:r>
    </w:p>
    <w:p>
      <w:pPr>
        <w:spacing w:after="0" w:line="163" w:lineRule="exact"/>
        <w:rPr>
          <w:sz w:val="20"/>
          <w:szCs w:val="20"/>
          <w:color w:val="auto"/>
        </w:rPr>
      </w:pPr>
    </w:p>
    <w:p>
      <w:pPr>
        <w:ind w:right="260" w:firstLine="648"/>
        <w:spacing w:after="0" w:line="244" w:lineRule="auto"/>
        <w:rPr>
          <w:sz w:val="20"/>
          <w:szCs w:val="20"/>
          <w:color w:val="auto"/>
        </w:rPr>
      </w:pPr>
      <w:r>
        <w:rPr>
          <w:rFonts w:ascii="Arial" w:cs="Arial" w:eastAsia="Arial" w:hAnsi="Arial"/>
          <w:sz w:val="16"/>
          <w:szCs w:val="16"/>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FDA will conduct laboratory research related to the safety, purity, potency, and effectiveness of pharmaceutical products.</w:t>
      </w:r>
    </w:p>
    <w:p>
      <w:pPr>
        <w:spacing w:after="0" w:line="208"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w:t>
      </w:r>
      <w:r>
        <w:rPr>
          <w:rFonts w:ascii="MS PGothic" w:cs="MS PGothic" w:eastAsia="MS PGothic" w:hAnsi="MS PGothic"/>
          <w:sz w:val="16"/>
          <w:szCs w:val="16"/>
          <w:color w:val="auto"/>
        </w:rPr>
        <w:t>‑</w:t>
      </w:r>
      <w:r>
        <w:rPr>
          <w:rFonts w:ascii="Arial" w:cs="Arial" w:eastAsia="Arial" w:hAnsi="Arial"/>
          <w:sz w:val="16"/>
          <w:szCs w:val="16"/>
          <w:color w:val="auto"/>
        </w:rPr>
        <w:t>market studies or clinical trials to assess new safety risks; or imposition of distribution or other restrictions under a REMS program. Other potential consequences include, among other things:</w:t>
      </w:r>
    </w:p>
    <w:p>
      <w:pPr>
        <w:spacing w:after="0" w:line="166" w:lineRule="exact"/>
        <w:rPr>
          <w:sz w:val="20"/>
          <w:szCs w:val="20"/>
          <w:color w:val="auto"/>
        </w:rPr>
      </w:pPr>
    </w:p>
    <w:p>
      <w:pPr>
        <w:ind w:left="980" w:right="340" w:hanging="329"/>
        <w:spacing w:after="0" w:line="235"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61"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warning letters or holds on post</w:t>
      </w:r>
      <w:r>
        <w:rPr>
          <w:rFonts w:ascii="MS PGothic" w:cs="MS PGothic" w:eastAsia="MS PGothic" w:hAnsi="MS PGothic"/>
          <w:sz w:val="18"/>
          <w:szCs w:val="18"/>
          <w:color w:val="auto"/>
        </w:rPr>
        <w:t>‑</w:t>
      </w:r>
      <w:r>
        <w:rPr>
          <w:rFonts w:ascii="Arial" w:cs="Arial" w:eastAsia="Arial" w:hAnsi="Arial"/>
          <w:sz w:val="18"/>
          <w:szCs w:val="18"/>
          <w:color w:val="auto"/>
        </w:rPr>
        <w:t>approval clinical trials;</w:t>
      </w:r>
    </w:p>
    <w:p>
      <w:pPr>
        <w:spacing w:after="0" w:line="184" w:lineRule="exact"/>
        <w:rPr>
          <w:rFonts w:ascii="Arial" w:cs="Arial" w:eastAsia="Arial" w:hAnsi="Arial"/>
          <w:sz w:val="18"/>
          <w:szCs w:val="18"/>
          <w:color w:val="auto"/>
        </w:rPr>
      </w:pPr>
    </w:p>
    <w:p>
      <w:pPr>
        <w:ind w:left="980" w:right="140" w:hanging="329"/>
        <w:spacing w:after="0" w:line="235"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off</w:t>
      </w:r>
      <w:r>
        <w:rPr>
          <w:rFonts w:ascii="MS PGothic" w:cs="MS PGothic" w:eastAsia="MS PGothic" w:hAnsi="MS PGothic"/>
          <w:sz w:val="16"/>
          <w:szCs w:val="16"/>
          <w:color w:val="auto"/>
        </w:rPr>
        <w:t>‑</w:t>
      </w:r>
      <w:r>
        <w:rPr>
          <w:rFonts w:ascii="Arial" w:cs="Arial" w:eastAsia="Arial" w:hAnsi="Arial"/>
          <w:sz w:val="16"/>
          <w:szCs w:val="16"/>
          <w:color w:val="auto"/>
        </w:rPr>
        <w:t>label uses may be subject to significant liability.</w:t>
      </w:r>
    </w:p>
    <w:p>
      <w:pPr>
        <w:spacing w:after="0" w:line="164"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67"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Orphan Drug Designation</w:t>
      </w:r>
    </w:p>
    <w:p>
      <w:pPr>
        <w:spacing w:after="0" w:line="185"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6"/>
          <w:szCs w:val="16"/>
          <w:color w:val="auto"/>
        </w:rPr>
        <w:t>Orphan drug designation in the United States is designed to encourage sponsors to develop products intended for rare diseases or conditions. In the United States, a rare disease or condition is statutorily defined as a condition that affects fewer than 200,000 individuals in the United States or that affects more than 200,000 individuals in the United</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States and for which there is no reasonable expectation that the cost of developing and making available the biologic for the disease or condition will be recovered from sales of the product in the United States.</w:t>
      </w:r>
    </w:p>
    <w:p>
      <w:pPr>
        <w:spacing w:after="0" w:line="162"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 product becomes an orphan when it receives orphan drug designation from the Office of Orphan Products Development at the FDA based on acceptable confidential requests made under the regulatory provisions. The product must then go through the review and approval process like any other product.</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65"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Pediatric Studies and Exclusivity</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68"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For products intended to treat a serious or life-threatening disease or condition, the FDA must, upon the request of an applicant,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90 days after FDA’s receipt of the study plan.</w:t>
      </w:r>
    </w:p>
    <w:p>
      <w:pPr>
        <w:spacing w:after="0" w:line="161"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62"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7"/>
          <w:szCs w:val="17"/>
          <w:color w:val="auto"/>
        </w:rPr>
        <w:t>Pediatric exclusivity is another type of non</w:t>
      </w:r>
      <w:r>
        <w:rPr>
          <w:rFonts w:ascii="MS PGothic" w:cs="MS PGothic" w:eastAsia="MS PGothic" w:hAnsi="MS PGothic"/>
          <w:sz w:val="17"/>
          <w:szCs w:val="17"/>
          <w:color w:val="auto"/>
        </w:rPr>
        <w:t>‑</w:t>
      </w:r>
      <w:r>
        <w:rPr>
          <w:rFonts w:ascii="Arial" w:cs="Arial" w:eastAsia="Arial" w:hAnsi="Arial"/>
          <w:sz w:val="17"/>
          <w:szCs w:val="17"/>
          <w:color w:val="auto"/>
        </w:rPr>
        <w:t>patent marketing exclusivity in the United States and, if granted, provides for the attachment of an additional six months of marketing protection to the term of any existing regulatory exclusivity, including the non</w:t>
      </w:r>
      <w:r>
        <w:rPr>
          <w:rFonts w:ascii="MS PGothic" w:cs="MS PGothic" w:eastAsia="MS PGothic" w:hAnsi="MS PGothic"/>
          <w:sz w:val="17"/>
          <w:szCs w:val="17"/>
          <w:color w:val="auto"/>
        </w:rPr>
        <w:t>‑</w:t>
      </w:r>
      <w:r>
        <w:rPr>
          <w:rFonts w:ascii="Arial" w:cs="Arial" w:eastAsia="Arial" w:hAnsi="Arial"/>
          <w:sz w:val="17"/>
          <w:szCs w:val="17"/>
          <w:color w:val="auto"/>
        </w:rPr>
        <w:t>patent and orphan exclusivity. This six</w:t>
      </w:r>
      <w:r>
        <w:rPr>
          <w:rFonts w:ascii="MS PGothic" w:cs="MS PGothic" w:eastAsia="MS PGothic" w:hAnsi="MS PGothic"/>
          <w:sz w:val="17"/>
          <w:szCs w:val="17"/>
          <w:color w:val="auto"/>
        </w:rPr>
        <w:t>‑</w:t>
      </w:r>
      <w:r>
        <w:rPr>
          <w:rFonts w:ascii="Arial" w:cs="Arial" w:eastAsia="Arial" w:hAnsi="Arial"/>
          <w:sz w:val="17"/>
          <w:szCs w:val="17"/>
          <w:color w:val="auto"/>
        </w:rPr>
        <w:t>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patent protection cover the product are extended by six months. This is not a patent term extension, but it effectively extends the regulatory period during which the FDA cannot approve another application.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Biosimilars and Exclusivity</w:t>
      </w:r>
    </w:p>
    <w:p>
      <w:pPr>
        <w:spacing w:after="0" w:line="185"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As of January 1, 2018, the FDA has approved nine biosimilar products for use in the United States. No interchangeable biosimilars, however, have been approved. The FDA has issued several guidance documents outlining an approach to review and approval of biosimilars. Additional guidances are expected to be finalized by the FDA in the near term.</w:t>
      </w:r>
    </w:p>
    <w:p>
      <w:pPr>
        <w:spacing w:after="0" w:line="165"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68"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patent claiming a new biologic product may be eligible for a limited patent term extension under the</w:t>
      </w:r>
    </w:p>
    <w:p>
      <w:pPr>
        <w:spacing w:after="0" w:line="176" w:lineRule="exact"/>
        <w:rPr>
          <w:sz w:val="20"/>
          <w:szCs w:val="20"/>
          <w:color w:val="auto"/>
        </w:rPr>
      </w:pPr>
      <w:r>
        <w:rPr>
          <w:rFonts w:ascii="Arial" w:cs="Arial" w:eastAsia="Arial" w:hAnsi="Arial"/>
          <w:sz w:val="16"/>
          <w:szCs w:val="16"/>
          <w:color w:val="auto"/>
        </w:rPr>
        <w:t>Hatch</w:t>
      </w:r>
      <w:r>
        <w:rPr>
          <w:rFonts w:ascii="MS PGothic" w:cs="MS PGothic" w:eastAsia="MS PGothic" w:hAnsi="MS PGothic"/>
          <w:sz w:val="16"/>
          <w:szCs w:val="16"/>
          <w:color w:val="auto"/>
        </w:rPr>
        <w:t>‑</w:t>
      </w:r>
      <w:r>
        <w:rPr>
          <w:rFonts w:ascii="Arial" w:cs="Arial" w:eastAsia="Arial" w:hAnsi="Arial"/>
          <w:sz w:val="16"/>
          <w:szCs w:val="16"/>
          <w:color w:val="auto"/>
        </w:rPr>
        <w:t>Waxman Act, which permits a patent restoration of up to five years for patent term lost during product development</w:t>
      </w:r>
    </w:p>
    <w:p>
      <w:pPr>
        <w:spacing w:after="0" w:line="176" w:lineRule="exact"/>
        <w:rPr>
          <w:sz w:val="20"/>
          <w:szCs w:val="20"/>
          <w:color w:val="auto"/>
        </w:rPr>
      </w:pPr>
      <w:r>
        <w:rPr>
          <w:rFonts w:ascii="Arial" w:cs="Arial" w:eastAsia="Arial" w:hAnsi="Arial"/>
          <w:sz w:val="17"/>
          <w:szCs w:val="17"/>
          <w:color w:val="auto"/>
        </w:rPr>
        <w:t>and FDA regulatory review. The restoration period granted on a patent covering a product is typically one</w:t>
      </w:r>
      <w:r>
        <w:rPr>
          <w:rFonts w:ascii="MS PGothic" w:cs="MS PGothic" w:eastAsia="MS PGothic" w:hAnsi="MS PGothic"/>
          <w:sz w:val="17"/>
          <w:szCs w:val="17"/>
          <w:color w:val="auto"/>
        </w:rPr>
        <w:t>‑</w:t>
      </w:r>
      <w:r>
        <w:rPr>
          <w:rFonts w:ascii="Arial" w:cs="Arial" w:eastAsia="Arial" w:hAnsi="Arial"/>
          <w:sz w:val="17"/>
          <w:szCs w:val="17"/>
          <w:color w:val="auto"/>
        </w:rPr>
        <w:t>half the time</w:t>
      </w:r>
    </w:p>
    <w:p>
      <w:pPr>
        <w:spacing w:after="0" w:line="216" w:lineRule="auto"/>
        <w:rPr>
          <w:sz w:val="20"/>
          <w:szCs w:val="20"/>
          <w:color w:val="auto"/>
        </w:rPr>
      </w:pPr>
      <w:r>
        <w:rPr>
          <w:rFonts w:ascii="Arial" w:cs="Arial" w:eastAsia="Arial" w:hAnsi="Arial"/>
          <w:sz w:val="17"/>
          <w:szCs w:val="17"/>
          <w:color w:val="auto"/>
        </w:rPr>
        <w:t>between the effective date of a clinical investigation involving human beings is begun and the submission date of an</w:t>
      </w:r>
    </w:p>
    <w:p>
      <w:pPr>
        <w:spacing w:after="0" w:line="215" w:lineRule="auto"/>
        <w:rPr>
          <w:sz w:val="20"/>
          <w:szCs w:val="20"/>
          <w:color w:val="auto"/>
        </w:rPr>
      </w:pPr>
      <w:r>
        <w:rPr>
          <w:rFonts w:ascii="Arial" w:cs="Arial" w:eastAsia="Arial" w:hAnsi="Arial"/>
          <w:sz w:val="17"/>
          <w:szCs w:val="17"/>
          <w:color w:val="auto"/>
        </w:rPr>
        <w:t>application, plus the time between the submission date of an application and the ultimate approval date. Patent term</w:t>
      </w:r>
    </w:p>
    <w:p>
      <w:pPr>
        <w:spacing w:after="0" w:line="229" w:lineRule="auto"/>
        <w:rPr>
          <w:sz w:val="20"/>
          <w:szCs w:val="20"/>
          <w:color w:val="auto"/>
        </w:rPr>
      </w:pPr>
      <w:r>
        <w:rPr>
          <w:rFonts w:ascii="Arial" w:cs="Arial" w:eastAsia="Arial" w:hAnsi="Arial"/>
          <w:sz w:val="16"/>
          <w:szCs w:val="16"/>
          <w:color w:val="auto"/>
        </w:rPr>
        <w:t>restoration cannot be used to extend the remaining term of a patent past a total of 14 years from the product’s approval date.</w:t>
      </w:r>
    </w:p>
    <w:p>
      <w:pPr>
        <w:spacing w:after="0" w:line="229" w:lineRule="auto"/>
        <w:rPr>
          <w:sz w:val="20"/>
          <w:szCs w:val="20"/>
          <w:color w:val="auto"/>
        </w:rPr>
      </w:pPr>
      <w:r>
        <w:rPr>
          <w:rFonts w:ascii="Arial" w:cs="Arial" w:eastAsia="Arial" w:hAnsi="Arial"/>
          <w:sz w:val="16"/>
          <w:szCs w:val="16"/>
          <w:color w:val="auto"/>
        </w:rPr>
        <w:t>Only one patent applicable to an approved product is eligible for the extension, and the application for the extension must be</w:t>
      </w:r>
    </w:p>
    <w:p>
      <w:pPr>
        <w:spacing w:after="0" w:line="216" w:lineRule="auto"/>
        <w:rPr>
          <w:sz w:val="20"/>
          <w:szCs w:val="20"/>
          <w:color w:val="auto"/>
        </w:rPr>
      </w:pPr>
      <w:r>
        <w:rPr>
          <w:rFonts w:ascii="Arial" w:cs="Arial" w:eastAsia="Arial" w:hAnsi="Arial"/>
          <w:sz w:val="17"/>
          <w:szCs w:val="17"/>
          <w:color w:val="auto"/>
        </w:rPr>
        <w:t>submitted prior to the expiration of the patent in question. A patent that covers multiple products for which approval is</w:t>
      </w:r>
    </w:p>
    <w:p>
      <w:pPr>
        <w:spacing w:after="0" w:line="229" w:lineRule="auto"/>
        <w:rPr>
          <w:sz w:val="20"/>
          <w:szCs w:val="20"/>
          <w:color w:val="auto"/>
        </w:rPr>
      </w:pPr>
      <w:r>
        <w:rPr>
          <w:rFonts w:ascii="Arial" w:cs="Arial" w:eastAsia="Arial" w:hAnsi="Arial"/>
          <w:sz w:val="16"/>
          <w:szCs w:val="16"/>
          <w:color w:val="auto"/>
        </w:rPr>
        <w:t>sought can only be extended in connection with one of the approvals. The USPTO reviews and approves the application for</w:t>
      </w:r>
    </w:p>
    <w:p>
      <w:pPr>
        <w:spacing w:after="0"/>
        <w:rPr>
          <w:sz w:val="20"/>
          <w:szCs w:val="20"/>
          <w:color w:val="auto"/>
        </w:rPr>
      </w:pPr>
      <w:r>
        <w:rPr>
          <w:rFonts w:ascii="Arial" w:cs="Arial" w:eastAsia="Arial" w:hAnsi="Arial"/>
          <w:sz w:val="18"/>
          <w:szCs w:val="18"/>
          <w:color w:val="auto"/>
        </w:rPr>
        <w:t>any patent term extension or restoration in consultation with the FDA.</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FDA Approval of Companion Diagnostics</w:t>
      </w:r>
    </w:p>
    <w:p>
      <w:pPr>
        <w:spacing w:after="0" w:line="18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 xml:space="preserve">In August 2014, the FDA issued final guidance clarifying the requirements that will apply to approval of therapeutic products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drug therapeutic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on issues related to co-development of the products.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 xml:space="preserve">Under the FDCA,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w:t>
      </w:r>
      <w:r>
        <w:rPr>
          <w:rFonts w:ascii="MS PGothic" w:cs="MS PGothic" w:eastAsia="MS PGothic" w:hAnsi="MS PGothic"/>
          <w:sz w:val="18"/>
          <w:szCs w:val="18"/>
          <w:color w:val="auto"/>
        </w:rPr>
        <w:t>‑</w:t>
      </w:r>
      <w:r>
        <w:rPr>
          <w:rFonts w:ascii="Arial" w:cs="Arial" w:eastAsia="Arial" w:hAnsi="Arial"/>
          <w:sz w:val="18"/>
          <w:szCs w:val="18"/>
          <w:color w:val="auto"/>
        </w:rPr>
        <w:t>market surveillance. Unless an exemption applies, diagnostic tests require marketing clearance or approval from the FDA prior to commercial distribution.</w:t>
      </w:r>
    </w:p>
    <w:p>
      <w:pPr>
        <w:spacing w:after="0" w:line="162"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 xml:space="preserve">The FDA previously has required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intended to select the patients who will respond to the product candidate to obtain pre-market approval (“PMA”) simultaneously with approval of the therapeutic product candidate.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for federal fiscal year 2018, the standard fee for review of a PMA is $310,764 and the small business fee is $77,691.</w:t>
      </w:r>
    </w:p>
    <w:p>
      <w:pPr>
        <w:spacing w:after="0" w:line="127"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21st Century Cures Act</w:t>
      </w:r>
    </w:p>
    <w:p>
      <w:pPr>
        <w:spacing w:after="0" w:line="185"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On December 13, 2016, President Obama signed the Cures Act into law. The Cures Act is designed to modernize and personalize healthcare, spur innovation and research, and streamline the discovery and development of new therapies through increased federal funding of particular programs. It authorizes increased funding for the FDA to spend on innovation projects. The new law also amends the Public Health Service Act (“PHSA”) to reauthorize and expand funding for the NIH. The Cures Act establishes the NIH Innovation Fund to pay for the cost of development and implementation of a strategic plan, early stage investigators and research. It also charges the NIH with leading and coordinating expanded pediatric research. Further, the Cures Act directs the Centers for Disease Control and Prevention to expand surveillance of neurological diseases.</w:t>
      </w:r>
    </w:p>
    <w:p>
      <w:pPr>
        <w:spacing w:after="0" w:line="165"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With amendments to the FDCA and the PHSA, Title III of the Cures Act seeks to accelerate the discovery, development, and delivery of new medicines and medical technologies. To that end, and among other provisions, the Cures Act reauthorizes the existing priority review voucher program for certain drugs intended to treat rare pediatric diseases until 2020; creates a new priority review voucher program for drug applications determined to be material national security threat medical countermeasure applications; revises the FDCA to streamline review of combination product applications; requires the FDA to evaluate the potential use of “real world evidence” to help support approval of new indications for approved drugs; provides a new “limited population” approval pathway for antibiotic and antifungal drugs intended to treat serious or life-threatening infections; and authorizes the FDA to designate a drug as a “regenerative advanced therapy,” thereby making it eligible for certain expedited review and approval designations.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European Union</w:t>
      </w:r>
    </w:p>
    <w:p>
      <w:pPr>
        <w:spacing w:after="0" w:line="185"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20"/>
        <w:spacing w:after="0" w:line="194" w:lineRule="exact"/>
        <w:rPr>
          <w:sz w:val="20"/>
          <w:szCs w:val="20"/>
          <w:color w:val="auto"/>
        </w:rPr>
      </w:pPr>
      <w:r>
        <w:rPr>
          <w:rFonts w:ascii="Arial" w:cs="Arial" w:eastAsia="Arial" w:hAnsi="Arial"/>
          <w:sz w:val="16"/>
          <w:szCs w:val="16"/>
          <w:color w:val="auto"/>
        </w:rPr>
        <w:t>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European Union.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Trial Approval</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Pursuant to the currently applicable Clinical Trials Directive 2001/20/EC and the Directive 2005/28/EC on GCP,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or in multiple member states if the clinical trial is to be conducted in a number of member states. Furthermore, the applicant may only start a clinical trial at a specific study site after the competent ethics committee has issued a favorable opinion.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167"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The new Clinical Trials Regulation (EU) No 536/2014 will become applicable no earlier than 2019. It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single-entry point and strictly defined deadlines for the assessment of clinical trial applications.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PRIME Designation in the EU</w:t>
      </w:r>
    </w:p>
    <w:p>
      <w:pPr>
        <w:spacing w:after="0" w:line="144"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In March 2016, the European Medicines Agency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EMA contact and rapporteur from the Committee for Human Medicinal Products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 Authorization</w:t>
      </w:r>
    </w:p>
    <w:p>
      <w:pPr>
        <w:spacing w:after="0" w:line="18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 applicant must demonstrate compliance with all measures included in an EMA</w:t>
      </w:r>
      <w:r>
        <w:rPr>
          <w:rFonts w:ascii="MS PGothic" w:cs="MS PGothic" w:eastAsia="MS PGothic" w:hAnsi="MS PGothic"/>
          <w:sz w:val="17"/>
          <w:szCs w:val="17"/>
          <w:color w:val="auto"/>
        </w:rPr>
        <w:t>‑</w:t>
      </w:r>
      <w:r>
        <w:rPr>
          <w:rFonts w:ascii="Arial" w:cs="Arial" w:eastAsia="Arial" w:hAnsi="Arial"/>
          <w:sz w:val="17"/>
          <w:szCs w:val="17"/>
          <w:color w:val="auto"/>
        </w:rPr>
        <w:t>approved Pediatric Investigation Plan (“PIP”), covering all subsets of the pediatric population, unless the EMA has granted a product</w:t>
      </w:r>
      <w:r>
        <w:rPr>
          <w:rFonts w:ascii="MS PGothic" w:cs="MS PGothic" w:eastAsia="MS PGothic" w:hAnsi="MS PGothic"/>
          <w:sz w:val="17"/>
          <w:szCs w:val="17"/>
          <w:color w:val="auto"/>
        </w:rPr>
        <w:t>‑</w:t>
      </w:r>
      <w:r>
        <w:rPr>
          <w:rFonts w:ascii="Arial" w:cs="Arial" w:eastAsia="Arial" w:hAnsi="Arial"/>
          <w:sz w:val="17"/>
          <w:szCs w:val="17"/>
          <w:color w:val="auto"/>
        </w:rPr>
        <w:t>specific waiver, class waiver, or a deferral for one or more of the measures included in the PIP.</w:t>
      </w:r>
    </w:p>
    <w:p>
      <w:pPr>
        <w:spacing w:after="0" w:line="168"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EU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63"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Specifically,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application for marketing authorization. The European Commission grants or refuses marketing authorization in light of the opinion delivered by EMA.</w:t>
      </w:r>
    </w:p>
    <w:p>
      <w:pPr>
        <w:spacing w:after="0" w:line="167"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Under the centralized procedure, the CHMP established at the EMA is responsible for conducting an initial assessment of a product.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150 days, but it is possible that the CHMP may revert to the standard time limit for the centralized procedure if it determines that it is no longer appropriate to conduct an accelerated assessment.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Regulatory Data Protection in the European Union</w:t>
      </w:r>
    </w:p>
    <w:p>
      <w:pPr>
        <w:spacing w:after="0" w:line="18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 Data exclusivity prevents regulatory authorities in the European Union from referencing the innovator’s data to assess a generic (abbreviated) application for a period of eight years. During the additional two</w:t>
      </w:r>
      <w:r>
        <w:rPr>
          <w:rFonts w:ascii="MS PGothic" w:cs="MS PGothic" w:eastAsia="MS PGothic" w:hAnsi="MS PGothic"/>
          <w:sz w:val="17"/>
          <w:szCs w:val="17"/>
          <w:color w:val="auto"/>
        </w:rPr>
        <w:t>‑</w:t>
      </w:r>
      <w:r>
        <w:rPr>
          <w:rFonts w:ascii="Arial" w:cs="Arial" w:eastAsia="Arial" w:hAnsi="Arial"/>
          <w:sz w:val="17"/>
          <w:szCs w:val="17"/>
          <w:color w:val="auto"/>
        </w:rPr>
        <w:t>year period of market exclusivity, a generic marketing authorization application can be submitted, and the innovator’s data may be referenced, but no generic medicinal product can be marketed until the expiration of the market exclusivity. The overall ten</w:t>
      </w:r>
      <w:r>
        <w:rPr>
          <w:rFonts w:ascii="MS PGothic" w:cs="MS PGothic" w:eastAsia="MS PGothic" w:hAnsi="MS PGothic"/>
          <w:sz w:val="17"/>
          <w:szCs w:val="17"/>
          <w:color w:val="auto"/>
        </w:rPr>
        <w:t>‑</w:t>
      </w:r>
      <w:r>
        <w:rPr>
          <w:rFonts w:ascii="Arial" w:cs="Arial" w:eastAsia="Arial" w:hAnsi="Arial"/>
          <w:sz w:val="17"/>
          <w:szCs w:val="17"/>
          <w:color w:val="auto"/>
        </w:rPr>
        <w:t>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A marketing authorization is valid for five years, in principle, and it may be renewed after five years on the basis of a reevaluation of the risk</w:t>
      </w:r>
      <w:r>
        <w:rPr>
          <w:rFonts w:ascii="MS PGothic" w:cs="MS PGothic" w:eastAsia="MS PGothic" w:hAnsi="MS PGothic"/>
          <w:sz w:val="17"/>
          <w:szCs w:val="17"/>
          <w:color w:val="auto"/>
        </w:rPr>
        <w:t>‑</w:t>
      </w:r>
      <w:r>
        <w:rPr>
          <w:rFonts w:ascii="Arial" w:cs="Arial" w:eastAsia="Arial" w:hAnsi="Arial"/>
          <w:sz w:val="17"/>
          <w:szCs w:val="17"/>
          <w:color w:val="auto"/>
        </w:rPr>
        <w:t>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w:t>
      </w:r>
      <w:r>
        <w:rPr>
          <w:rFonts w:ascii="MS PGothic" w:cs="MS PGothic" w:eastAsia="MS PGothic" w:hAnsi="MS PGothic"/>
          <w:sz w:val="17"/>
          <w:szCs w:val="17"/>
          <w:color w:val="auto"/>
        </w:rPr>
        <w:t>‑</w:t>
      </w:r>
      <w:r>
        <w:rPr>
          <w:rFonts w:ascii="Arial" w:cs="Arial" w:eastAsia="Arial" w:hAnsi="Arial"/>
          <w:sz w:val="17"/>
          <w:szCs w:val="17"/>
          <w:color w:val="auto"/>
        </w:rPr>
        <w:t>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w:t>
      </w:r>
      <w:r>
        <w:rPr>
          <w:rFonts w:ascii="MS PGothic" w:cs="MS PGothic" w:eastAsia="MS PGothic" w:hAnsi="MS PGothic"/>
          <w:sz w:val="17"/>
          <w:szCs w:val="17"/>
          <w:color w:val="auto"/>
        </w:rPr>
        <w:t>‑</w:t>
      </w:r>
      <w:r>
        <w:rPr>
          <w:rFonts w:ascii="Arial" w:cs="Arial" w:eastAsia="Arial" w:hAnsi="Arial"/>
          <w:sz w:val="17"/>
          <w:szCs w:val="17"/>
          <w:color w:val="auto"/>
        </w:rPr>
        <w: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manufacturing, processing and packing of drugs to assure their safety and identity. Finally, the marketing and promotion of authorized products, including industry</w:t>
      </w:r>
      <w:r>
        <w:rPr>
          <w:rFonts w:ascii="MS PGothic" w:cs="MS PGothic" w:eastAsia="MS PGothic" w:hAnsi="MS PGothic"/>
          <w:sz w:val="17"/>
          <w:szCs w:val="17"/>
          <w:color w:val="auto"/>
        </w:rPr>
        <w:t>‑</w:t>
      </w:r>
      <w:r>
        <w:rPr>
          <w:rFonts w:ascii="Arial" w:cs="Arial" w:eastAsia="Arial" w:hAnsi="Arial"/>
          <w:sz w:val="17"/>
          <w:szCs w:val="17"/>
          <w:color w:val="auto"/>
        </w:rPr>
        <w:t>sponsored continuing medical education and advertising directed toward the prescribers of drugs and/or the general public, are strictly regulated in the European Union under Directive 2001/83EC, as amended.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Regulation (EC) No 141/2000 and Regulation (EC) No. 847/2000 provide that a product can be designated as an orphan drug by the European Commission if its sponsor can establish: that the product is intended for the diagnosis, prevention or treatment of (1) a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 affecting not more than five in ten thousand persons in the European Union when the application is made, or (2)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62"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An orphan drug designation provides a number of benefits, including fee reductions, regulatory assistance, and the possibility to apply for a centralized European Union marketing authorization. Marketing authorization for an orphan drug leads to a ten</w:t>
      </w:r>
      <w:r>
        <w:rPr>
          <w:rFonts w:ascii="MS PGothic" w:cs="MS PGothic" w:eastAsia="MS PGothic" w:hAnsi="MS PGothic"/>
          <w:sz w:val="17"/>
          <w:szCs w:val="17"/>
          <w:color w:val="auto"/>
        </w:rPr>
        <w:t>‑</w:t>
      </w:r>
      <w:r>
        <w:rPr>
          <w:rFonts w:ascii="Arial" w:cs="Arial" w:eastAsia="Arial" w:hAnsi="Arial"/>
          <w:sz w:val="17"/>
          <w:szCs w:val="17"/>
          <w:color w:val="auto"/>
        </w:rPr>
        <w:t>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85"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Lisbon Treaty. The withdrawal of the United Kingdom from the European Union will take effect either on the effective date of the withdrawal agreement or, in the absence of agreement, two years after the United Kingdom provides a notice of withdrawal pursuant to the EU Treaty. 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85"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w:t>
      </w:r>
      <w:r>
        <w:rPr>
          <w:rFonts w:ascii="MS PGothic" w:cs="MS PGothic" w:eastAsia="MS PGothic" w:hAnsi="MS PGothic"/>
          <w:sz w:val="17"/>
          <w:szCs w:val="17"/>
          <w:color w:val="auto"/>
        </w:rPr>
        <w:t>‑</w:t>
      </w:r>
      <w:r>
        <w:rPr>
          <w:rFonts w:ascii="Arial" w:cs="Arial" w:eastAsia="Arial" w:hAnsi="Arial"/>
          <w:sz w:val="17"/>
          <w:szCs w:val="17"/>
          <w:color w:val="auto"/>
        </w:rPr>
        <w:t>party payors to reimburse all or part of the associated healthcare costs. Patients are unlikely to use any product candidates we may develop unless coverage is provided and reimbursement is adequate to cover a</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181" w:lineRule="exact"/>
        <w:rPr>
          <w:sz w:val="20"/>
          <w:szCs w:val="20"/>
          <w:color w:val="auto"/>
        </w:rPr>
      </w:pPr>
      <w:r>
        <w:rPr>
          <w:rFonts w:ascii="Arial" w:cs="Arial" w:eastAsia="Arial" w:hAnsi="Arial"/>
          <w:sz w:val="16"/>
          <w:szCs w:val="16"/>
          <w:color w:val="auto"/>
        </w:rPr>
        <w:t>significant portion of the cost of such product candidates. Even if any product candidates we may develop are approved, sales of such product candidates will depend, in part, on the extent to which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health programs in the United States such as Medicare and Medicaid, commercial health insurers, and managed care organizations, provide coverage, and establish adequate reimbursement levels for, such product candidates. The process for determining whether a payor will provide coverage for a product may be separate from the process for setting the price or reimbursement rate that the payor will pay for the product once coverage is approved.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prices charged, examining the medical necessity, and reviewing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medical products and services and imposing controls to manage costs. Third</w:t>
      </w:r>
      <w:r>
        <w:rPr>
          <w:rFonts w:ascii="MS PGothic" w:cs="MS PGothic" w:eastAsia="MS PGothic" w:hAnsi="MS PGothic"/>
          <w:sz w:val="16"/>
          <w:szCs w:val="16"/>
          <w:color w:val="auto"/>
        </w:rPr>
        <w:t>‑</w:t>
      </w:r>
      <w:r>
        <w:rPr>
          <w:rFonts w:ascii="Arial" w:cs="Arial" w:eastAsia="Arial" w:hAnsi="Arial"/>
          <w:sz w:val="16"/>
          <w:szCs w:val="16"/>
          <w:color w:val="auto"/>
        </w:rPr>
        <w:t>party payors may limit coverage to specific products on an approved list, also known as a formulary, which might not include all of the approved products for a particular indication.</w:t>
      </w:r>
    </w:p>
    <w:p>
      <w:pPr>
        <w:spacing w:after="0" w:line="168"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the product, in addition to the costs required to obtain FDA or other comparable marketing approvals. Nonetheless, product candidates may not be considered medically necessary or cost effective. A decision by a third</w:t>
      </w:r>
      <w:r>
        <w:rPr>
          <w:rFonts w:ascii="MS PGothic" w:cs="MS PGothic" w:eastAsia="MS PGothic" w:hAnsi="MS PGothic"/>
          <w:sz w:val="16"/>
          <w:szCs w:val="16"/>
          <w:color w:val="auto"/>
        </w:rPr>
        <w:t>‑</w:t>
      </w:r>
      <w:r>
        <w:rPr>
          <w:rFonts w:ascii="Arial" w:cs="Arial" w:eastAsia="Arial" w:hAnsi="Arial"/>
          <w:sz w:val="16"/>
          <w:szCs w:val="16"/>
          <w:color w:val="auto"/>
        </w:rPr>
        <w:t>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and coverage may not be available to enable us to maintain price levels sufficient to realize an appropriate return on our investment in product development.</w:t>
      </w:r>
    </w:p>
    <w:p>
      <w:pPr>
        <w:spacing w:after="0" w:line="166" w:lineRule="exact"/>
        <w:rPr>
          <w:sz w:val="20"/>
          <w:szCs w:val="20"/>
          <w:color w:val="auto"/>
        </w:rPr>
      </w:pPr>
    </w:p>
    <w:p>
      <w:pPr>
        <w:ind w:right="300" w:firstLine="648"/>
        <w:spacing w:after="0" w:line="182" w:lineRule="exact"/>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pharmaceuticals have been a focus in this effort. Governments have shown significant interest in implementing cost</w:t>
      </w:r>
      <w:r>
        <w:rPr>
          <w:rFonts w:ascii="MS PGothic" w:cs="MS PGothic" w:eastAsia="MS PGothic" w:hAnsi="MS PGothic"/>
          <w:sz w:val="16"/>
          <w:szCs w:val="16"/>
          <w:color w:val="auto"/>
        </w:rPr>
        <w:t>‑</w:t>
      </w:r>
      <w:r>
        <w:rPr>
          <w:rFonts w:ascii="Arial" w:cs="Arial" w:eastAsia="Arial" w:hAnsi="Arial"/>
          <w:sz w:val="16"/>
          <w:szCs w:val="16"/>
          <w:color w:val="auto"/>
        </w:rPr>
        <w:t>containment programs, including price controls, restrictions on reimbursement, and requirements for substitution of generic products. Adoption of price controls and cost</w:t>
      </w:r>
      <w:r>
        <w:rPr>
          <w:rFonts w:ascii="MS PGothic" w:cs="MS PGothic" w:eastAsia="MS PGothic" w:hAnsi="MS PGothic"/>
          <w:sz w:val="16"/>
          <w:szCs w:val="16"/>
          <w:color w:val="auto"/>
        </w:rPr>
        <w:t>‑</w:t>
      </w:r>
      <w:r>
        <w:rPr>
          <w:rFonts w:ascii="Arial" w:cs="Arial" w:eastAsia="Arial" w:hAnsi="Arial"/>
          <w:sz w:val="16"/>
          <w:szCs w:val="16"/>
          <w:color w:val="auto"/>
        </w:rPr>
        <w:t>containment measures, and adoption of more restrictive policies in jurisdictions with existing controls and measures, could further limit a company’s revenue generated from the sale of any approved products. Coverage policies and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67"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60"/>
        <w:spacing w:after="0" w:line="189" w:lineRule="exact"/>
        <w:rPr>
          <w:sz w:val="20"/>
          <w:szCs w:val="20"/>
          <w:color w:val="auto"/>
        </w:rPr>
      </w:pPr>
      <w:r>
        <w:rPr>
          <w:rFonts w:ascii="Arial" w:cs="Arial" w:eastAsia="Arial" w:hAnsi="Arial"/>
          <w:sz w:val="17"/>
          <w:szCs w:val="17"/>
          <w:color w:val="auto"/>
        </w:rPr>
        <w:t>has been obtained. Reference pricing used by various European Union member states, and parallel trade (arbitrage between low</w:t>
      </w:r>
      <w:r>
        <w:rPr>
          <w:rFonts w:ascii="MS PGothic" w:cs="MS PGothic" w:eastAsia="MS PGothic" w:hAnsi="MS PGothic"/>
          <w:sz w:val="17"/>
          <w:szCs w:val="17"/>
          <w:color w:val="auto"/>
        </w:rPr>
        <w:t>‑</w:t>
      </w:r>
      <w:r>
        <w:rPr>
          <w:rFonts w:ascii="Arial" w:cs="Arial" w:eastAsia="Arial" w:hAnsi="Arial"/>
          <w:sz w:val="17"/>
          <w:szCs w:val="17"/>
          <w:color w:val="auto"/>
        </w:rPr>
        <w:t>priced and high</w:t>
      </w:r>
      <w:r>
        <w:rPr>
          <w:rFonts w:ascii="MS PGothic" w:cs="MS PGothic" w:eastAsia="MS PGothic" w:hAnsi="MS PGothic"/>
          <w:sz w:val="17"/>
          <w:szCs w:val="17"/>
          <w:color w:val="auto"/>
        </w:rPr>
        <w:t>‑</w:t>
      </w:r>
      <w:r>
        <w:rPr>
          <w:rFonts w:ascii="Arial" w:cs="Arial" w:eastAsia="Arial" w:hAnsi="Arial"/>
          <w:sz w:val="17"/>
          <w:szCs w:val="17"/>
          <w:color w:val="auto"/>
        </w:rPr>
        <w:t>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85"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Healthcare providers and third</w:t>
      </w:r>
      <w:r>
        <w:rPr>
          <w:rFonts w:ascii="MS PGothic" w:cs="MS PGothic" w:eastAsia="MS PGothic" w:hAnsi="MS PGothic"/>
          <w:sz w:val="18"/>
          <w:szCs w:val="18"/>
          <w:color w:val="auto"/>
        </w:rPr>
        <w:t>‑</w:t>
      </w:r>
      <w:r>
        <w:rPr>
          <w:rFonts w:ascii="Arial" w:cs="Arial" w:eastAsia="Arial" w:hAnsi="Arial"/>
          <w:sz w:val="18"/>
          <w:szCs w:val="18"/>
          <w:color w:val="auto"/>
        </w:rPr>
        <w:t>party payors play a primary role in the recommendation and prescription of pharmaceutical products that are granted marketing approval. Arrangements with providers, consultants,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customers are subject to broadly applicable fraud and abuse, anti</w:t>
      </w:r>
      <w:r>
        <w:rPr>
          <w:rFonts w:ascii="MS PGothic" w:cs="MS PGothic" w:eastAsia="MS PGothic" w:hAnsi="MS PGothic"/>
          <w:sz w:val="18"/>
          <w:szCs w:val="18"/>
          <w:color w:val="auto"/>
        </w:rPr>
        <w:t>‑</w:t>
      </w:r>
      <w:r>
        <w:rPr>
          <w:rFonts w:ascii="Arial" w:cs="Arial" w:eastAsia="Arial" w:hAnsi="Arial"/>
          <w:sz w:val="18"/>
          <w:szCs w:val="18"/>
          <w:color w:val="auto"/>
        </w:rPr>
        <w:t>kickback, false claims laws, reporting of payments to physicians and teaching physicians and patient privacy laws and regulations and other healthcare laws and regulations that may constrain our business and/or financial arrangements. Restrictions under applicable federal and state healthcare laws and regulations, include the following:</w:t>
      </w:r>
    </w:p>
    <w:p>
      <w:pPr>
        <w:spacing w:after="0" w:line="162" w:lineRule="exact"/>
        <w:rPr>
          <w:sz w:val="20"/>
          <w:szCs w:val="20"/>
          <w:color w:val="auto"/>
        </w:rPr>
      </w:pPr>
    </w:p>
    <w:p>
      <w:pPr>
        <w:ind w:left="980" w:right="20" w:hanging="329"/>
        <w:spacing w:after="0" w:line="187" w:lineRule="exact"/>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162" w:lineRule="exact"/>
        <w:rPr>
          <w:rFonts w:ascii="Arial" w:cs="Arial" w:eastAsia="Arial" w:hAnsi="Arial"/>
          <w:sz w:val="18"/>
          <w:szCs w:val="18"/>
          <w:color w:val="auto"/>
        </w:rPr>
      </w:pPr>
    </w:p>
    <w:p>
      <w:pPr>
        <w:ind w:left="980" w:right="40" w:hanging="329"/>
        <w:spacing w:after="0" w:line="21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62" w:lineRule="exact"/>
        <w:rPr>
          <w:rFonts w:ascii="Arial" w:cs="Arial" w:eastAsia="Arial" w:hAnsi="Arial"/>
          <w:sz w:val="18"/>
          <w:szCs w:val="18"/>
          <w:color w:val="auto"/>
        </w:rPr>
      </w:pPr>
    </w:p>
    <w:p>
      <w:pPr>
        <w:ind w:left="980" w:right="160" w:hanging="329"/>
        <w:spacing w:after="0" w:line="21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162" w:lineRule="exact"/>
        <w:rPr>
          <w:rFonts w:ascii="Arial" w:cs="Arial" w:eastAsia="Arial" w:hAnsi="Arial"/>
          <w:sz w:val="18"/>
          <w:szCs w:val="18"/>
          <w:color w:val="auto"/>
        </w:rPr>
      </w:pPr>
    </w:p>
    <w:p>
      <w:pPr>
        <w:ind w:left="980" w:right="180" w:hanging="329"/>
        <w:spacing w:after="0" w:line="21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62" w:lineRule="exact"/>
        <w:rPr>
          <w:rFonts w:ascii="Arial" w:cs="Arial" w:eastAsia="Arial" w:hAnsi="Arial"/>
          <w:sz w:val="18"/>
          <w:szCs w:val="18"/>
          <w:color w:val="auto"/>
        </w:rPr>
      </w:pPr>
    </w:p>
    <w:p>
      <w:pPr>
        <w:ind w:left="980" w:hanging="329"/>
        <w:spacing w:after="0" w:line="21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under the Patient Protection and Affordable Care Act (“PPACA”), as amended by the Health Care Education Reconciliation Act, which requires certain manufacturers of drugs, devices, biologics and medical supplies to report annually to the Centers for Medicare &amp; Medicaid Services (“CMS”) within the U.S.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65" w:lineRule="exact"/>
        <w:rPr>
          <w:rFonts w:ascii="Arial" w:cs="Arial" w:eastAsia="Arial" w:hAnsi="Arial"/>
          <w:sz w:val="18"/>
          <w:szCs w:val="18"/>
          <w:color w:val="auto"/>
        </w:rPr>
      </w:pPr>
    </w:p>
    <w:p>
      <w:pPr>
        <w:ind w:left="980" w:right="80" w:hanging="329"/>
        <w:spacing w:after="0" w:line="194" w:lineRule="exact"/>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which may apply to healthcare items or services that are reimbursed by non</w:t>
      </w:r>
      <w:r>
        <w:rPr>
          <w:rFonts w:ascii="MS PGothic" w:cs="MS PGothic" w:eastAsia="MS PGothic" w:hAnsi="MS PGothic"/>
          <w:sz w:val="18"/>
          <w:szCs w:val="18"/>
          <w:color w:val="auto"/>
        </w:rPr>
        <w:t>‑</w:t>
      </w:r>
      <w:r>
        <w:rPr>
          <w:rFonts w:ascii="Arial" w:cs="Arial" w:eastAsia="Arial" w:hAnsi="Arial"/>
          <w:sz w:val="18"/>
          <w:szCs w:val="18"/>
          <w:color w:val="auto"/>
        </w:rPr>
        <w:t>governmental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insurers.</w:t>
      </w:r>
    </w:p>
    <w:p>
      <w:pPr>
        <w:spacing w:after="0" w:line="163"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85"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63"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By way of example, the United States and state governments continue to propose and pass legislation designed to reduce the cost of healthcare. In March 2010, the United States Congress enacted the PPACA, which, among other things, includes changes to the coverage and payment for products under government health care programs. Among the provisions of the PPACA of importance to our potential product candidates are:</w:t>
      </w:r>
    </w:p>
    <w:p>
      <w:pPr>
        <w:spacing w:after="0" w:line="163" w:lineRule="exact"/>
        <w:rPr>
          <w:sz w:val="20"/>
          <w:szCs w:val="20"/>
          <w:color w:val="auto"/>
        </w:rPr>
      </w:pPr>
    </w:p>
    <w:p>
      <w:pPr>
        <w:ind w:left="980" w:right="240" w:hanging="329"/>
        <w:spacing w:after="0" w:line="21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162" w:lineRule="exact"/>
        <w:rPr>
          <w:rFonts w:ascii="Arial" w:cs="Arial" w:eastAsia="Arial" w:hAnsi="Arial"/>
          <w:sz w:val="18"/>
          <w:szCs w:val="18"/>
          <w:color w:val="auto"/>
        </w:rPr>
      </w:pPr>
    </w:p>
    <w:p>
      <w:pPr>
        <w:ind w:left="980" w:hanging="329"/>
        <w:spacing w:after="0" w:line="22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3" w:lineRule="exact"/>
        <w:rPr>
          <w:rFonts w:ascii="Arial" w:cs="Arial" w:eastAsia="Arial" w:hAnsi="Arial"/>
          <w:sz w:val="18"/>
          <w:szCs w:val="18"/>
          <w:color w:val="auto"/>
        </w:rPr>
      </w:pPr>
    </w:p>
    <w:p>
      <w:pPr>
        <w:ind w:left="980" w:right="80" w:hanging="329"/>
        <w:spacing w:after="0" w:line="232"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 and extending rebate liability to prescriptions for individuals enrolled in Medicare Advantage plans;</w:t>
      </w:r>
    </w:p>
    <w:p>
      <w:pPr>
        <w:spacing w:after="0" w:line="162" w:lineRule="exact"/>
        <w:rPr>
          <w:rFonts w:ascii="Arial" w:cs="Arial" w:eastAsia="Arial" w:hAnsi="Arial"/>
          <w:sz w:val="17"/>
          <w:szCs w:val="17"/>
          <w:color w:val="auto"/>
        </w:rPr>
      </w:pPr>
    </w:p>
    <w:p>
      <w:pPr>
        <w:ind w:left="980" w:right="500" w:hanging="329"/>
        <w:spacing w:after="0" w:line="25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addressed a new methodology by which rebates owed by manufacturers under the Medicaid Drug Rebate Program are calculated for products that are inhaled, infused, instilled, implanted or injected;</w:t>
      </w:r>
    </w:p>
    <w:p>
      <w:pPr>
        <w:spacing w:after="0" w:line="146" w:lineRule="exact"/>
        <w:rPr>
          <w:rFonts w:ascii="Arial" w:cs="Arial" w:eastAsia="Arial" w:hAnsi="Arial"/>
          <w:sz w:val="17"/>
          <w:szCs w:val="17"/>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84" w:lineRule="exact"/>
        <w:rPr>
          <w:rFonts w:ascii="Arial" w:cs="Arial" w:eastAsia="Arial" w:hAnsi="Arial"/>
          <w:sz w:val="18"/>
          <w:szCs w:val="18"/>
          <w:color w:val="auto"/>
        </w:rPr>
      </w:pPr>
    </w:p>
    <w:p>
      <w:pPr>
        <w:ind w:left="980" w:right="200" w:hanging="329"/>
        <w:spacing w:after="0" w:line="189" w:lineRule="exact"/>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sale</w:t>
      </w:r>
      <w:r>
        <w:rPr>
          <w:rFonts w:ascii="MS PGothic" w:cs="MS PGothic" w:eastAsia="MS PGothic" w:hAnsi="MS PGothic"/>
          <w:sz w:val="18"/>
          <w:szCs w:val="18"/>
          <w:color w:val="auto"/>
        </w:rPr>
        <w:t>‑</w:t>
      </w:r>
      <w:r>
        <w:rPr>
          <w:rFonts w:ascii="Arial" w:cs="Arial" w:eastAsia="Arial" w:hAnsi="Arial"/>
          <w:sz w:val="18"/>
          <w:szCs w:val="18"/>
          <w:color w:val="auto"/>
        </w:rPr>
        <w:t>discount off the negotiated price of applicable products to eligible beneficiaries during their coverage gap period as a condition for the manufacturers’ outpatient products to be covered under Medicare Part D;</w:t>
      </w:r>
    </w:p>
    <w:p>
      <w:pPr>
        <w:spacing w:after="0" w:line="162" w:lineRule="exact"/>
        <w:rPr>
          <w:rFonts w:ascii="Arial" w:cs="Arial" w:eastAsia="Arial" w:hAnsi="Arial"/>
          <w:sz w:val="18"/>
          <w:szCs w:val="18"/>
          <w:color w:val="auto"/>
        </w:rPr>
      </w:pPr>
    </w:p>
    <w:p>
      <w:pPr>
        <w:ind w:left="980" w:right="80" w:hanging="329"/>
        <w:spacing w:after="0" w:line="203" w:lineRule="exact"/>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161" w:lineRule="exact"/>
        <w:rPr>
          <w:rFonts w:ascii="Arial" w:cs="Arial" w:eastAsia="Arial" w:hAnsi="Arial"/>
          <w:sz w:val="18"/>
          <w:szCs w:val="18"/>
          <w:color w:val="auto"/>
        </w:rPr>
      </w:pPr>
    </w:p>
    <w:p>
      <w:pPr>
        <w:ind w:left="980" w:right="40" w:hanging="329"/>
        <w:spacing w:after="0" w:line="229"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Independent Payment Advisory Board (“IPAB”), which has authority to recommend certain changes to the Medicare program to reduce expenditures by the program that could result in reduced payments for prescription products. However, the IPAB implementation has been not been clearly defined. The PPACA provided that under certain circumstances, IPAB recommendations will become law unless Congress enacts legislation that will achieve the same or greater Medicare cost savings; and</w:t>
      </w:r>
    </w:p>
    <w:p>
      <w:pPr>
        <w:spacing w:after="0" w:line="161" w:lineRule="exact"/>
        <w:rPr>
          <w:rFonts w:ascii="Arial" w:cs="Arial" w:eastAsia="Arial" w:hAnsi="Arial"/>
          <w:sz w:val="17"/>
          <w:szCs w:val="17"/>
          <w:color w:val="auto"/>
        </w:rPr>
      </w:pPr>
    </w:p>
    <w:p>
      <w:pPr>
        <w:ind w:left="980" w:right="200" w:hanging="329"/>
        <w:spacing w:after="0" w:line="21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the Center for Medicare and Medicaid Innovation within CMS to test innovative payment and service delivery models to lower Medicare and Medicaid spending, potentially including prescription product spending. Funding has been allocated to support the mission of the Center for Medicare and Medicaid Innovation from 2011 to 2019.</w:t>
      </w:r>
    </w:p>
    <w:p>
      <w:pPr>
        <w:spacing w:after="0" w:line="163" w:lineRule="exact"/>
        <w:rPr>
          <w:sz w:val="20"/>
          <w:szCs w:val="20"/>
          <w:color w:val="auto"/>
        </w:rPr>
      </w:pPr>
    </w:p>
    <w:p>
      <w:pPr>
        <w:jc w:val="both"/>
        <w:ind w:right="120" w:firstLine="648"/>
        <w:spacing w:after="0" w:line="249" w:lineRule="auto"/>
        <w:rPr>
          <w:sz w:val="20"/>
          <w:szCs w:val="20"/>
          <w:color w:val="auto"/>
        </w:rPr>
      </w:pPr>
      <w:r>
        <w:rPr>
          <w:rFonts w:ascii="Arial" w:cs="Arial" w:eastAsia="Arial" w:hAnsi="Arial"/>
          <w:sz w:val="16"/>
          <w:szCs w:val="16"/>
          <w:color w:val="auto"/>
        </w:rPr>
        <w:t>Other legislative changes have been proposed and adopted in the United States since the PPACA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60"/>
        <w:spacing w:after="0" w:line="214" w:lineRule="auto"/>
        <w:rPr>
          <w:sz w:val="20"/>
          <w:szCs w:val="20"/>
          <w:color w:val="auto"/>
        </w:rPr>
      </w:pPr>
      <w:r>
        <w:rPr>
          <w:rFonts w:ascii="Arial" w:cs="Arial" w:eastAsia="Arial" w:hAnsi="Arial"/>
          <w:sz w:val="18"/>
          <w:szCs w:val="18"/>
          <w:color w:val="auto"/>
        </w:rPr>
        <w:t>the legislation’s automatic reduction to several government programs. This includes aggregate reductions of Medicare payments to providers of up to 2% per fiscal year, which went into effect in April 2013 and will remain in effect through 2024 unless additional Congressional action is taken. The American Taxpayer Relief Act of 2012, which was enacted in January 2013,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62"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2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Further, since enactment of the PPACA, there have been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The Congress will likely consider other legislation to replace elements of the PPACA, during the next Congressional session.</w:t>
      </w:r>
    </w:p>
    <w:p>
      <w:pPr>
        <w:spacing w:after="0" w:line="136"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PPACA. In January 2017, President Trump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Administration announced that it will discontinue the payment of cost-sharing reduction (“CSR”) payments to insurance companies until Congress approves the appropriation of funds for such CSR payments. The loss of the CSR payments is expected to increase premiums on certain policies issued by qualified health plans under the PPACA. A bipartisan bill to appropriate funds for CSR payments was introduced in the Senate, but the future of that bill is uncertain.</w:t>
      </w:r>
    </w:p>
    <w:p>
      <w:pPr>
        <w:spacing w:after="0" w:line="16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There have been, and likely will continue to be, additional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85" w:lineRule="exact"/>
        <w:rPr>
          <w:sz w:val="20"/>
          <w:szCs w:val="20"/>
          <w:color w:val="auto"/>
        </w:rPr>
      </w:pPr>
    </w:p>
    <w:p>
      <w:pPr>
        <w:ind w:right="160" w:firstLine="648"/>
        <w:spacing w:after="0" w:line="241"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third countries that impose similar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did not have any foreign operations in any of the fiscal years ended December 31, 2017, 2016 and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300" w:firstLine="648"/>
        <w:spacing w:after="0" w:line="189" w:lineRule="exact"/>
        <w:rPr>
          <w:sz w:val="20"/>
          <w:szCs w:val="20"/>
          <w:color w:val="auto"/>
        </w:rPr>
      </w:pPr>
      <w:r>
        <w:rPr>
          <w:rFonts w:ascii="Arial" w:cs="Arial" w:eastAsia="Arial" w:hAnsi="Arial"/>
          <w:sz w:val="18"/>
          <w:szCs w:val="18"/>
          <w:color w:val="auto"/>
        </w:rPr>
        <w:t>As of January 1, 2018, we had 112 full</w:t>
      </w:r>
      <w:r>
        <w:rPr>
          <w:rFonts w:ascii="MS PGothic" w:cs="MS PGothic" w:eastAsia="MS PGothic" w:hAnsi="MS PGothic"/>
          <w:sz w:val="18"/>
          <w:szCs w:val="18"/>
          <w:color w:val="auto"/>
        </w:rPr>
        <w:t>‑</w:t>
      </w:r>
      <w:r>
        <w:rPr>
          <w:rFonts w:ascii="Arial" w:cs="Arial" w:eastAsia="Arial" w:hAnsi="Arial"/>
          <w:sz w:val="18"/>
          <w:szCs w:val="18"/>
          <w:color w:val="auto"/>
        </w:rPr>
        <w:t>time employees, including 41 employees with M.D. or Ph.D. degrees. Of these full</w:t>
      </w:r>
      <w:r>
        <w:rPr>
          <w:rFonts w:ascii="MS PGothic" w:cs="MS PGothic" w:eastAsia="MS PGothic" w:hAnsi="MS PGothic"/>
          <w:sz w:val="18"/>
          <w:szCs w:val="18"/>
          <w:color w:val="auto"/>
        </w:rPr>
        <w:t>‑</w:t>
      </w:r>
      <w:r>
        <w:rPr>
          <w:rFonts w:ascii="Arial" w:cs="Arial" w:eastAsia="Arial" w:hAnsi="Arial"/>
          <w:sz w:val="18"/>
          <w:szCs w:val="18"/>
          <w:color w:val="auto"/>
        </w:rPr>
        <w:t>time employees, 75 employees are engaged in research and development activities. None of our employees is represented by a labor union or covered by a collective bargaining agreement. We consider our relationship with our employees to be good.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and Financial and Geographical Information</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We are engaged solely in the discovery and development of medicines in the field of genome editing. Accordingly, we have determined that we operate in one operating segment. For segment and geographical financial information, see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the financial statements appearing elsewhere in this Annual Report on Form 10-K, which are incorporated herein by reference. Financial information about our research and development expenses in each of the last three fiscal years is provided in Item 7, “Management’s Discussion and Analysis of Financial Condition and Results of Operations”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48" w:lineRule="exact"/>
        <w:rPr>
          <w:sz w:val="20"/>
          <w:szCs w:val="20"/>
          <w:color w:val="auto"/>
        </w:rPr>
      </w:pPr>
    </w:p>
    <w:p>
      <w:pPr>
        <w:ind w:firstLine="780"/>
        <w:spacing w:after="0" w:line="224" w:lineRule="auto"/>
        <w:rPr>
          <w:sz w:val="20"/>
          <w:szCs w:val="20"/>
          <w:color w:val="auto"/>
        </w:rPr>
      </w:pPr>
      <w:r>
        <w:rPr>
          <w:rFonts w:ascii="Arial" w:cs="Arial" w:eastAsia="Arial" w:hAnsi="Arial"/>
          <w:sz w:val="18"/>
          <w:szCs w:val="18"/>
          <w:color w:val="auto"/>
        </w:rPr>
        <w:t>We were incorporated under the name Gengine, Inc. as a Delaware corporation in September 2013, and we changed our name to Editas Medicine, Inc. in November 2013. Our executive offices are located at 11 Hurley St., Cambridge, Massachusetts, 02141, and our telephone number is (617) 401-9000.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We maintain an internet website at www.editasmedicine.com and make available free of charge through our website our Annual Reports on Form 10-K, Quarterly Reports on Form 10-Q, Current Reports on Form 8-K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 the Securities and Exchange Commission, or the SEC. You can find, copy and inspect information we file at the SEC’s public reference room, which is located at 100 F Street, N.E., Washington, DC 20549. Please call the SEC at 1-800-SEC-0330 for more information about the operation of the SEC’s public reference room.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“Investors &amp; Media,” as a source of information about us.</w:t>
      </w:r>
    </w:p>
    <w:p>
      <w:pPr>
        <w:spacing w:after="0" w:line="126"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or the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inception. We expect to incur losses for the foreseeable future and may never achieve or maintain profitability.</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Since inception, we have incurred significant operating losses. Our net losses were $120.3 million, $97.2 million, and $72.9 million for the years ended December 31, 2017, 2016 and 2015, respectively. As of December 31, 2017, we had an accumulated deficit of $305.9 million. We have financed our operations primarily through public offerings of our common stock, private placements of our preferred stock, our collaboration with Juno Therapeutics, Inc. (“Juno Therapeutics”), and an upfront payment from Allergan Pharmaceuticals International Limited (“Allergan”). We have devoted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68" w:lineRule="exact"/>
        <w:rPr>
          <w:sz w:val="20"/>
          <w:szCs w:val="20"/>
          <w:color w:val="auto"/>
        </w:rPr>
      </w:pPr>
    </w:p>
    <w:p>
      <w:pPr>
        <w:ind w:left="980" w:right="60" w:hanging="329"/>
        <w:spacing w:after="0" w:line="23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development of product candidates from our current research programs;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product candidates we identify and develop;</w:t>
      </w:r>
    </w:p>
    <w:p>
      <w:pPr>
        <w:spacing w:after="0" w:line="184" w:lineRule="exact"/>
        <w:rPr>
          <w:rFonts w:ascii="Arial" w:cs="Arial" w:eastAsia="Arial" w:hAnsi="Arial"/>
          <w:sz w:val="18"/>
          <w:szCs w:val="18"/>
          <w:color w:val="auto"/>
        </w:rPr>
      </w:pPr>
    </w:p>
    <w:p>
      <w:pPr>
        <w:ind w:left="980" w:right="460" w:hanging="329"/>
        <w:spacing w:after="0" w:line="203" w:lineRule="exact"/>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 provide reimbursement of third</w:t>
      </w:r>
      <w:r>
        <w:rPr>
          <w:rFonts w:ascii="MS PGothic" w:cs="MS PGothic" w:eastAsia="MS PGothic" w:hAnsi="MS PGothic"/>
          <w:sz w:val="18"/>
          <w:szCs w:val="18"/>
          <w:color w:val="auto"/>
        </w:rPr>
        <w:t>‑</w:t>
      </w:r>
      <w:r>
        <w:rPr>
          <w:rFonts w:ascii="Arial" w:cs="Arial" w:eastAsia="Arial" w:hAnsi="Arial"/>
          <w:sz w:val="18"/>
          <w:szCs w:val="18"/>
          <w:color w:val="auto"/>
        </w:rPr>
        <w:t>party expenses related to our patent portfolio;</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184" w:lineRule="exact"/>
        <w:rPr>
          <w:rFonts w:ascii="Arial" w:cs="Arial" w:eastAsia="Arial" w:hAnsi="Arial"/>
          <w:sz w:val="18"/>
          <w:szCs w:val="18"/>
          <w:color w:val="auto"/>
        </w:rPr>
      </w:pPr>
    </w:p>
    <w:p>
      <w:pPr>
        <w:ind w:left="980" w:right="480" w:hanging="329"/>
        <w:spacing w:after="0" w:line="23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medicines for which we may obtain marketing approval;</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develop our genome editing platform;</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84" w:lineRule="exact"/>
        <w:rPr>
          <w:rFonts w:ascii="Arial" w:cs="Arial" w:eastAsia="Arial" w:hAnsi="Arial"/>
          <w:sz w:val="18"/>
          <w:szCs w:val="18"/>
          <w:color w:val="auto"/>
        </w:rPr>
      </w:pPr>
    </w:p>
    <w:p>
      <w:pPr>
        <w:ind w:left="980" w:right="100" w:hanging="329"/>
        <w:spacing w:after="0" w:line="23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w:t>
      </w:r>
    </w:p>
    <w:p>
      <w:pPr>
        <w:spacing w:after="0" w:line="161"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medicines and technologies;</w:t>
      </w:r>
    </w:p>
    <w:p>
      <w:pPr>
        <w:spacing w:after="0" w:line="184"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validate a commercial</w:t>
      </w:r>
      <w:r>
        <w:rPr>
          <w:rFonts w:ascii="MS PGothic" w:cs="MS PGothic" w:eastAsia="MS PGothic" w:hAnsi="MS PGothic"/>
          <w:sz w:val="17"/>
          <w:szCs w:val="17"/>
          <w:color w:val="auto"/>
        </w:rPr>
        <w:t>‑</w:t>
      </w:r>
      <w:r>
        <w:rPr>
          <w:rFonts w:ascii="Arial" w:cs="Arial" w:eastAsia="Arial" w:hAnsi="Arial"/>
          <w:sz w:val="17"/>
          <w:szCs w:val="17"/>
          <w:color w:val="auto"/>
        </w:rPr>
        <w:t>scale current Good Manufacturing Practices (“cGMP”) manufacturing facility; and</w:t>
      </w:r>
    </w:p>
    <w:p>
      <w:pPr>
        <w:spacing w:after="0" w:line="196" w:lineRule="exact"/>
        <w:rPr>
          <w:rFonts w:ascii="Arial" w:cs="Arial" w:eastAsia="Arial" w:hAnsi="Arial"/>
          <w:sz w:val="17"/>
          <w:szCs w:val="17"/>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85" w:lineRule="exact"/>
        <w:rPr>
          <w:sz w:val="20"/>
          <w:szCs w:val="20"/>
          <w:color w:val="auto"/>
        </w:rPr>
      </w:pPr>
    </w:p>
    <w:p>
      <w:pPr>
        <w:ind w:right="220" w:firstLine="648"/>
        <w:spacing w:after="0" w:line="258" w:lineRule="auto"/>
        <w:rPr>
          <w:sz w:val="20"/>
          <w:szCs w:val="20"/>
          <w:color w:val="auto"/>
        </w:rPr>
      </w:pPr>
      <w:r>
        <w:rPr>
          <w:rFonts w:ascii="Arial" w:cs="Arial" w:eastAsia="Arial" w:hAnsi="Arial"/>
          <w:sz w:val="17"/>
          <w:szCs w:val="17"/>
          <w:color w:val="auto"/>
        </w:rPr>
        <w:t>We have not initiated clinical development of any product candidate and expect that it will be many years, if ever, before we have a product candidate ready for commercialization. To become and remain profitable, we must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200"/>
        <w:spacing w:after="0" w:line="180" w:lineRule="exact"/>
        <w:rPr>
          <w:sz w:val="20"/>
          <w:szCs w:val="20"/>
          <w:color w:val="auto"/>
        </w:rPr>
      </w:pPr>
      <w:r>
        <w:rPr>
          <w:rFonts w:ascii="Arial" w:cs="Arial" w:eastAsia="Arial" w:hAnsi="Arial"/>
          <w:sz w:val="16"/>
          <w:szCs w:val="16"/>
          <w:color w:val="auto"/>
        </w:rPr>
        <w:t>develop and eventually commercialize a medicine or medicines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medicines for which we may obtain marketing approval, and satisfying any post</w:t>
      </w:r>
      <w:r>
        <w:rPr>
          <w:rFonts w:ascii="MS PGothic" w:cs="MS PGothic" w:eastAsia="MS PGothic" w:hAnsi="MS PGothic"/>
          <w:sz w:val="16"/>
          <w:szCs w:val="16"/>
          <w:color w:val="auto"/>
        </w:rPr>
        <w:t>‑</w:t>
      </w:r>
      <w:r>
        <w:rPr>
          <w:rFonts w:ascii="Arial" w:cs="Arial" w:eastAsia="Arial" w:hAnsi="Arial"/>
          <w:sz w:val="16"/>
          <w:szCs w:val="16"/>
          <w:color w:val="auto"/>
        </w:rPr>
        <w:t>marketing requirements.</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We may never succeed in these activities and, even if we do, may never generate revenues that are significant or large enough to achieve profitability. We are currently only in the preclinical testing stages for our most advanced research programs.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cause our stockholders to lose all or part of their investments in us.</w:t>
      </w:r>
    </w:p>
    <w:p>
      <w:pPr>
        <w:spacing w:after="0" w:line="164"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b w:val="1"/>
          <w:bCs w:val="1"/>
          <w:i w:val="1"/>
          <w:iCs w:val="1"/>
          <w:color w:val="auto"/>
        </w:rPr>
        <w:t>We will need substantial additional funding. If we are unable to raise capital when needed, we would be forced to delay, reduce, or eliminate our research and product development programs or commercialization efforts.</w:t>
      </w:r>
    </w:p>
    <w:p>
      <w:pPr>
        <w:spacing w:after="0" w:line="124"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We expect our expenses to increase in connection with our ongoing activities, particularly as we identify, continue the research and development of, initiate clinical trials of,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In 2016 and 2017 we incurred, and in future years we expect to continue to incur, significant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expect that our existing cash, cash equivalents, and marketable securities at December 31, 2017, anticipated interest income, and anticipated research support under our collaboration agreement with Juno Therapeutics, will enable us to fund our operating expenses and capital expenditure requirements for at least the next 24 months following the date of this Annual Report on Form 10-K. Our future capital requirements will depend on many factors, including:</w:t>
      </w:r>
    </w:p>
    <w:p>
      <w:pPr>
        <w:spacing w:after="0" w:line="155" w:lineRule="exact"/>
        <w:rPr>
          <w:sz w:val="20"/>
          <w:szCs w:val="20"/>
          <w:color w:val="auto"/>
        </w:rPr>
      </w:pPr>
    </w:p>
    <w:p>
      <w:pPr>
        <w:ind w:left="980" w:right="56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or natural history study trials for the product candidates we may develop;</w:t>
      </w:r>
    </w:p>
    <w:p>
      <w:pPr>
        <w:spacing w:after="0" w:line="161" w:lineRule="exact"/>
        <w:rPr>
          <w:rFonts w:ascii="Arial" w:cs="Arial" w:eastAsia="Arial" w:hAnsi="Arial"/>
          <w:sz w:val="18"/>
          <w:szCs w:val="18"/>
          <w:color w:val="auto"/>
        </w:rPr>
      </w:pPr>
    </w:p>
    <w:p>
      <w:pPr>
        <w:ind w:left="980" w:right="300" w:hanging="329"/>
        <w:spacing w:after="0" w:line="203" w:lineRule="exact"/>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184" w:lineRule="exact"/>
        <w:rPr>
          <w:rFonts w:ascii="Arial" w:cs="Arial" w:eastAsia="Arial" w:hAnsi="Arial"/>
          <w:sz w:val="18"/>
          <w:szCs w:val="18"/>
          <w:color w:val="auto"/>
        </w:rPr>
      </w:pPr>
    </w:p>
    <w:p>
      <w:pPr>
        <w:ind w:left="980" w:right="860" w:hanging="329"/>
        <w:spacing w:after="0" w:line="25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and distribution, for any product candidates for which we receive regulatory approval;</w:t>
      </w:r>
    </w:p>
    <w:p>
      <w:pPr>
        <w:spacing w:after="0" w:line="146" w:lineRule="exact"/>
        <w:rPr>
          <w:rFonts w:ascii="Arial" w:cs="Arial" w:eastAsia="Arial" w:hAnsi="Arial"/>
          <w:sz w:val="17"/>
          <w:szCs w:val="17"/>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collaboration with Juno Therapeutics and our strategic alliance with Allergan;</w:t>
      </w:r>
    </w:p>
    <w:p>
      <w:pPr>
        <w:spacing w:after="0" w:line="184" w:lineRule="exact"/>
        <w:rPr>
          <w:rFonts w:ascii="Arial" w:cs="Arial" w:eastAsia="Arial" w:hAnsi="Arial"/>
          <w:sz w:val="18"/>
          <w:szCs w:val="18"/>
          <w:color w:val="auto"/>
        </w:rPr>
      </w:pPr>
    </w:p>
    <w:p>
      <w:pPr>
        <w:ind w:left="980" w:right="6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Juno Therapeutics exercises either or both of its options to extend the research program term under our collaboration (each of which would trigger an extension payment to us);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Allergan exercises any of its options under our strategic alliance;</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medicines and technologies;</w:t>
      </w:r>
    </w:p>
    <w:p>
      <w:pPr>
        <w:spacing w:after="0" w:line="184" w:lineRule="exact"/>
        <w:rPr>
          <w:rFonts w:ascii="Arial" w:cs="Arial" w:eastAsia="Arial" w:hAnsi="Arial"/>
          <w:sz w:val="18"/>
          <w:szCs w:val="18"/>
          <w:color w:val="auto"/>
        </w:rPr>
      </w:pPr>
    </w:p>
    <w:p>
      <w:pPr>
        <w:ind w:left="980" w:hanging="329"/>
        <w:spacing w:after="0" w:line="203" w:lineRule="exact"/>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reimbursing our licensors for the prosecution and maintenance of the patent rights in</w:t>
      </w:r>
      <w:r>
        <w:rPr>
          <w:rFonts w:ascii="MS PGothic" w:cs="MS PGothic" w:eastAsia="MS PGothic" w:hAnsi="MS PGothic"/>
          <w:sz w:val="18"/>
          <w:szCs w:val="18"/>
          <w:color w:val="auto"/>
        </w:rPr>
        <w:t>‑</w:t>
      </w:r>
      <w:r>
        <w:rPr>
          <w:rFonts w:ascii="Arial" w:cs="Arial" w:eastAsia="Arial" w:hAnsi="Arial"/>
          <w:sz w:val="18"/>
          <w:szCs w:val="18"/>
          <w:color w:val="auto"/>
        </w:rPr>
        <w:t>licensed by us;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8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Identifying potential product candidates and conducting preclinical testing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3"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public or private equity offerings, debt financings, collaborations, strategic alliances, and licensing arrangements. We do not have any significant committed external source of funds, other than our right to payments under our collaboration agreement with Juno Therapeutics, and payments from our subtenant, each of which is limited in scope and duration. To the extent that we raise additional capital through the sale of equity or convertible debt securities, the ownership interests of our stockholders may be materially diluted, and the terms of these securities may include liquidation or other preferences that adversely affect the rights of our stockholders. Debt financing, if available, may involve agreements that include covenants limiting or restricting our ability to take specific actions, such as incurring additional debt, making capital expenditures, or declaring dividends.</w:t>
      </w:r>
    </w:p>
    <w:p>
      <w:pPr>
        <w:spacing w:after="0" w:line="162"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Our short operating history may make it difficult for our stockholders to evaluate the success of our business to date and to assess our future viability.</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We are an early</w:t>
      </w:r>
      <w:r>
        <w:rPr>
          <w:rFonts w:ascii="MS PGothic" w:cs="MS PGothic" w:eastAsia="MS PGothic" w:hAnsi="MS PGothic"/>
          <w:sz w:val="16"/>
          <w:szCs w:val="16"/>
          <w:color w:val="auto"/>
        </w:rPr>
        <w:t>‑</w:t>
      </w:r>
      <w:r>
        <w:rPr>
          <w:rFonts w:ascii="Arial" w:cs="Arial" w:eastAsia="Arial" w:hAnsi="Arial"/>
          <w:sz w:val="16"/>
          <w:szCs w:val="16"/>
          <w:color w:val="auto"/>
        </w:rPr>
        <w:t>stage company. We were founded and commenced operations in the second half of 2013. Our operations to date have been limited to organizing and staffing our company, business planning, raising capital, acquiring and developing our technology, identifying potential product candidates, and undertaking preclinical studies. All of our research programs are still in the preclinical or research stage of development, and their risk of failure is high. We have not yet demonstrated an ability to initiate or successfully complete any clinical trials, including large</w:t>
      </w:r>
      <w:r>
        <w:rPr>
          <w:rFonts w:ascii="MS PGothic" w:cs="MS PGothic" w:eastAsia="MS PGothic" w:hAnsi="MS PGothic"/>
          <w:sz w:val="16"/>
          <w:szCs w:val="16"/>
          <w:color w:val="auto"/>
        </w:rPr>
        <w:t>‑</w:t>
      </w:r>
      <w:r>
        <w:rPr>
          <w:rFonts w:ascii="Arial" w:cs="Arial" w:eastAsia="Arial" w:hAnsi="Arial"/>
          <w:sz w:val="16"/>
          <w:szCs w:val="16"/>
          <w:color w:val="auto"/>
        </w:rPr>
        <w:t>scale, pivotal clinical trials, obtain marketing approvals, manufacture a commercial</w:t>
      </w:r>
      <w:r>
        <w:rPr>
          <w:rFonts w:ascii="MS PGothic" w:cs="MS PGothic" w:eastAsia="MS PGothic" w:hAnsi="MS PGothic"/>
          <w:sz w:val="16"/>
          <w:szCs w:val="16"/>
          <w:color w:val="auto"/>
        </w:rPr>
        <w:t>‑</w:t>
      </w:r>
      <w:r>
        <w:rPr>
          <w:rFonts w:ascii="Arial" w:cs="Arial" w:eastAsia="Arial" w:hAnsi="Arial"/>
          <w:sz w:val="16"/>
          <w:szCs w:val="16"/>
          <w:color w:val="auto"/>
        </w:rPr>
        <w:t>scale medicine, or arrange for a third party to do so on our behalf, or conduct sales and marketing activities necessary for successful commercialization. Typically, it takes about 10 to 15 years to develop a new medicine from the time it is discovered to when it is available for treating patients. Consequently, any predictions about our future success or viability may not be as accurate as they could be if we had a longer operating history.</w:t>
      </w:r>
    </w:p>
    <w:p>
      <w:pPr>
        <w:spacing w:after="0" w:line="168"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63" w:lineRule="exact"/>
        <w:rPr>
          <w:sz w:val="20"/>
          <w:szCs w:val="20"/>
          <w:color w:val="auto"/>
        </w:rPr>
      </w:pPr>
    </w:p>
    <w:p>
      <w:pPr>
        <w:ind w:right="480" w:firstLine="648"/>
        <w:spacing w:after="0" w:line="189" w:lineRule="exact"/>
        <w:rPr>
          <w:sz w:val="20"/>
          <w:szCs w:val="20"/>
          <w:color w:val="auto"/>
        </w:rPr>
      </w:pPr>
      <w:r>
        <w:rPr>
          <w:rFonts w:ascii="Arial" w:cs="Arial" w:eastAsia="Arial" w:hAnsi="Arial"/>
          <w:sz w:val="18"/>
          <w:szCs w:val="18"/>
          <w:color w:val="auto"/>
        </w:rPr>
        <w:t>We expect that our financial condition and operating results will continue to fluctuate significantly from quarter</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quarter and year</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year due to a variety of factors, many of which are beyond our control. Accordingly, our stockholders should not rely upon the results of any quarterly or annual periods as indications of future operating performance.</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85" w:lineRule="exact"/>
        <w:rPr>
          <w:sz w:val="20"/>
          <w:szCs w:val="20"/>
          <w:color w:val="auto"/>
        </w:rPr>
      </w:pPr>
    </w:p>
    <w:p>
      <w:pPr>
        <w:ind w:right="39" w:firstLine="648"/>
        <w:spacing w:after="0" w:line="216"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162" w:lineRule="exact"/>
        <w:rPr>
          <w:sz w:val="20"/>
          <w:szCs w:val="20"/>
          <w:color w:val="auto"/>
        </w:rPr>
      </w:pPr>
    </w:p>
    <w:p>
      <w:pPr>
        <w:ind w:left="980" w:right="399"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product candidates and complete research and preclinical and clinical development of any product candidates we may identify;</w:t>
      </w:r>
    </w:p>
    <w:p>
      <w:pPr>
        <w:spacing w:after="0" w:line="161" w:lineRule="exact"/>
        <w:rPr>
          <w:rFonts w:ascii="Arial" w:cs="Arial" w:eastAsia="Arial" w:hAnsi="Arial"/>
          <w:sz w:val="18"/>
          <w:szCs w:val="18"/>
          <w:color w:val="auto"/>
        </w:rPr>
      </w:pPr>
    </w:p>
    <w:p>
      <w:pPr>
        <w:ind w:left="980" w:right="199"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and obtain regulatory and marketing approvals for any of our product candidates for which we complete clinical trials;</w:t>
      </w:r>
    </w:p>
    <w:p>
      <w:pPr>
        <w:spacing w:after="0" w:line="161" w:lineRule="exact"/>
        <w:rPr>
          <w:rFonts w:ascii="Arial" w:cs="Arial" w:eastAsia="Arial" w:hAnsi="Arial"/>
          <w:sz w:val="18"/>
          <w:szCs w:val="18"/>
          <w:color w:val="auto"/>
        </w:rPr>
      </w:pPr>
    </w:p>
    <w:p>
      <w:pPr>
        <w:ind w:left="980" w:right="99" w:hanging="329"/>
        <w:spacing w:after="0" w:line="22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163" w:lineRule="exact"/>
        <w:rPr>
          <w:rFonts w:ascii="Arial" w:cs="Arial" w:eastAsia="Arial" w:hAnsi="Arial"/>
          <w:sz w:val="18"/>
          <w:szCs w:val="18"/>
          <w:color w:val="auto"/>
        </w:rPr>
      </w:pPr>
    </w:p>
    <w:p>
      <w:pPr>
        <w:ind w:left="980" w:right="279" w:hanging="329"/>
        <w:spacing w:after="0" w:line="203" w:lineRule="exact"/>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qualify for adequate coverage and reimbursement by government and third</w:t>
      </w:r>
      <w:r>
        <w:rPr>
          <w:rFonts w:ascii="MS PGothic" w:cs="MS PGothic" w:eastAsia="MS PGothic" w:hAnsi="MS PGothic"/>
          <w:sz w:val="18"/>
          <w:szCs w:val="18"/>
          <w:color w:val="auto"/>
        </w:rPr>
        <w:t>‑</w:t>
      </w:r>
      <w:r>
        <w:rPr>
          <w:rFonts w:ascii="Arial" w:cs="Arial" w:eastAsia="Arial" w:hAnsi="Arial"/>
          <w:sz w:val="18"/>
          <w:szCs w:val="18"/>
          <w:color w:val="auto"/>
        </w:rPr>
        <w:t>party payors for any our product candidates for which we obtain regulatory and marketing approval;</w:t>
      </w:r>
    </w:p>
    <w:p>
      <w:pPr>
        <w:spacing w:after="0" w:line="161" w:lineRule="exact"/>
        <w:rPr>
          <w:rFonts w:ascii="Arial" w:cs="Arial" w:eastAsia="Arial" w:hAnsi="Arial"/>
          <w:sz w:val="18"/>
          <w:szCs w:val="18"/>
          <w:color w:val="auto"/>
        </w:rPr>
      </w:pPr>
    </w:p>
    <w:p>
      <w:pPr>
        <w:ind w:left="980" w:right="219"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maintain, and enhance a sustainable, scalable, reproducible, and transferable manufacturing process for the product candidates we may develop;</w:t>
      </w:r>
    </w:p>
    <w:p>
      <w:pPr>
        <w:spacing w:after="0" w:line="161" w:lineRule="exact"/>
        <w:rPr>
          <w:rFonts w:ascii="Arial" w:cs="Arial" w:eastAsia="Arial" w:hAnsi="Arial"/>
          <w:sz w:val="18"/>
          <w:szCs w:val="18"/>
          <w:color w:val="auto"/>
        </w:rPr>
      </w:pPr>
    </w:p>
    <w:p>
      <w:pPr>
        <w:ind w:left="980" w:right="79" w:hanging="329"/>
        <w:spacing w:after="0" w:line="23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 and maintain supply and manufacturing relationships with third parties that can provide adequate, in both amount and quality, products and services to support clinical development and the market demand for any of our product candidates for which we obtain regulatory and marketing approval;</w:t>
      </w:r>
    </w:p>
    <w:p>
      <w:pPr>
        <w:spacing w:after="0" w:line="161" w:lineRule="exact"/>
        <w:rPr>
          <w:rFonts w:ascii="Arial" w:cs="Arial" w:eastAsia="Arial" w:hAnsi="Arial"/>
          <w:sz w:val="17"/>
          <w:szCs w:val="17"/>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market acceptance of any product candidates we may develop as viable treatment options;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competing technological and market developments;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internal systems and infrastructure, as needed;</w:t>
      </w:r>
    </w:p>
    <w:p>
      <w:pPr>
        <w:spacing w:after="0" w:line="184" w:lineRule="exact"/>
        <w:rPr>
          <w:rFonts w:ascii="Arial" w:cs="Arial" w:eastAsia="Arial" w:hAnsi="Arial"/>
          <w:sz w:val="18"/>
          <w:szCs w:val="18"/>
          <w:color w:val="auto"/>
        </w:rPr>
      </w:pPr>
    </w:p>
    <w:p>
      <w:pPr>
        <w:ind w:left="980" w:right="219"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we may enter and performing our obligations in such arrangements;</w:t>
      </w:r>
    </w:p>
    <w:p>
      <w:pPr>
        <w:spacing w:after="0" w:line="161" w:lineRule="exact"/>
        <w:rPr>
          <w:rFonts w:ascii="Arial" w:cs="Arial" w:eastAsia="Arial" w:hAnsi="Arial"/>
          <w:sz w:val="18"/>
          <w:szCs w:val="18"/>
          <w:color w:val="auto"/>
        </w:rPr>
      </w:pPr>
    </w:p>
    <w:p>
      <w:pPr>
        <w:ind w:left="980" w:right="159" w:hanging="329"/>
        <w:spacing w:after="0" w:line="203" w:lineRule="exact"/>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protect, and expand our portfolio of intellectual property rights, including patents,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161"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avoid and defend against third</w:t>
      </w:r>
      <w:r>
        <w:rPr>
          <w:rFonts w:ascii="MS PGothic" w:cs="MS PGothic" w:eastAsia="MS PGothic" w:hAnsi="MS PGothic"/>
          <w:sz w:val="18"/>
          <w:szCs w:val="18"/>
          <w:color w:val="auto"/>
        </w:rPr>
        <w:t>‑</w:t>
      </w:r>
      <w:r>
        <w:rPr>
          <w:rFonts w:ascii="Arial" w:cs="Arial" w:eastAsia="Arial" w:hAnsi="Arial"/>
          <w:sz w:val="18"/>
          <w:szCs w:val="18"/>
          <w:color w:val="auto"/>
        </w:rPr>
        <w:t>party interference or infringement claims;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85" w:lineRule="exact"/>
        <w:rPr>
          <w:sz w:val="20"/>
          <w:szCs w:val="20"/>
          <w:color w:val="auto"/>
        </w:rPr>
      </w:pPr>
    </w:p>
    <w:p>
      <w:pPr>
        <w:ind w:right="239" w:firstLine="648"/>
        <w:spacing w:after="0" w:line="226" w:lineRule="auto"/>
        <w:rPr>
          <w:sz w:val="20"/>
          <w:szCs w:val="20"/>
          <w:color w:val="auto"/>
        </w:rPr>
      </w:pPr>
      <w:r>
        <w:rPr>
          <w:rFonts w:ascii="Arial" w:cs="Arial" w:eastAsia="Arial" w:hAnsi="Arial"/>
          <w:sz w:val="17"/>
          <w:szCs w:val="17"/>
          <w:color w:val="auto"/>
        </w:rPr>
        <w:t>Even if one or more of the product candidates we may develop is approved for commercial sale, we anticipate incurring significant costs associated with commercializing any approved product candidate. Our expenses could increase beyond expectations if we are required by the U.S. Food and Drug Administration (the “FDA”), the European Medicines Agency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17"/>
          <w:szCs w:val="17"/>
          <w:b w:val="1"/>
          <w:bCs w:val="1"/>
          <w:i w:val="1"/>
          <w:iCs w:val="1"/>
          <w:color w:val="auto"/>
        </w:rPr>
        <w:t>We intend to identify and develop product candidates based on a novel genome editing technology, which makes it difficult to predict the time and cost of product candidate development. No therapeutic products that utilize genome editing technology have been approved in the United States or in Europe, and there have only been a limited number of human clinical trials of a genome editing product candidate.</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We have concentrated our research and development efforts on our genome editing platform, which uses CRISPR technology. Our future success depends on the successful development of this novel genome editing therapeutic approach. To date, no therapeutic product that utilizes genome editing, including CRISPR technology, has been approved in the United States or Europe and there have been only a limited number of clinical trials involving the use of a therapeutic utilizing genome editing technologies. For example, we are aware of a limited number of groups initiating clinical trials using CRISPR technology. Because our programs are all in the research or preclinical stage, we have not yet been able to assess safety in humans, and there may be long</w:t>
      </w:r>
      <w:r>
        <w:rPr>
          <w:rFonts w:ascii="MS PGothic" w:cs="MS PGothic" w:eastAsia="MS PGothic" w:hAnsi="MS PGothic"/>
          <w:sz w:val="16"/>
          <w:szCs w:val="16"/>
          <w:color w:val="auto"/>
        </w:rPr>
        <w:t>‑</w:t>
      </w:r>
      <w:r>
        <w:rPr>
          <w:rFonts w:ascii="Arial" w:cs="Arial" w:eastAsia="Arial" w:hAnsi="Arial"/>
          <w:sz w:val="16"/>
          <w:szCs w:val="16"/>
          <w:color w:val="auto"/>
        </w:rPr>
        <w:t>term effects from treatment with any of our future product candidates that we cannot predict at this time. Any product candidates we may develop will act at the level of DNA, and, because animal DNA differs from human DNA, it will be difficult for us to test our future product candidates in animal models for either safety or efficacy. Also, animal models do not exist for some of the diseases we expect to pursue in our programs. As a result of these factors, it is more difficult for us to predict the time and cost of product candidate development, and we cannot predict whether the application of our genome editing platform, or any similar or competitive genome editing platforms, will result in the identification, development, and regulatory approval of any medicines. There can be no assurance that any development problems we experience in the future related to our genome editing platform or any of our research programs will not cause significant delays or unanticipated costs, or that such development problems can be solved. We may also experience delays in developing a sustainable, reproducible, and scalable manufacturing process or transferring that process to commercial partners. Any of these factors may prevent us from completing our preclinical studies or any clinical trials that we may initiate or commercializing any product candidates we may develop on a timely or profitable basis, if at all.</w:t>
      </w:r>
    </w:p>
    <w:p>
      <w:pPr>
        <w:spacing w:after="0" w:line="175"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b w:val="1"/>
          <w:bCs w:val="1"/>
          <w:i w:val="1"/>
          <w:iCs w:val="1"/>
          <w:color w:val="auto"/>
        </w:rPr>
        <w:t>Because genome editing is novel and the regulatory landscape that will govern any product candidates we may develop is uncertain and may change, we cannot predict the time and cost of obtaining regulatory approval, if we receive it at all, for any product candidates we may develop.</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 regulatory requirements that will govern any novel genome editing product candidates we develop are not entirely clear and may change. Within the broader genomic medicine field, we are aware of a limited number of gene therapy products that have received marketing authorization from the FDA and the European Commission.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and sometimes uncoordinated, overlap in those responsible for regulation of existing gene therapy products and cell therapy products. For example, in the United States,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 Gene therapy clinical trials are also subject to review and oversight by an institutional biosafety committee (“IBC”), a local institutional committee that reviews and oversees basic and clinical research conducted at the institution participating in the clinical trial. Gene therapy clinical trials conducted at institutions that receive funding for recombinant DNA research from the United States National Institutes of Health (the “NIH”) are also subject to review by the NIH Office of Biotechnology Activities’ Recombinant DNA Advisory Committee. Although the FDA decides whether individual gene therapy protocols may proceed, the review process and determinations of other reviewing bodies can impede or delay the initiation of a clinical trial, even if the FDA has reviewed the trial and approved its initiation. The same applies in the European Union. The EMA’s Committee for Advanced Therapies (“CAT”) is responsible for assessing the quality, safety, and efficacy of advanced</w:t>
      </w:r>
      <w:r>
        <w:rPr>
          <w:rFonts w:ascii="MS PGothic" w:cs="MS PGothic" w:eastAsia="MS PGothic" w:hAnsi="MS PGothic"/>
          <w:sz w:val="16"/>
          <w:szCs w:val="16"/>
          <w:color w:val="auto"/>
        </w:rPr>
        <w:t>‑</w:t>
      </w:r>
      <w:r>
        <w:rPr>
          <w:rFonts w:ascii="Arial" w:cs="Arial" w:eastAsia="Arial" w:hAnsi="Arial"/>
          <w:sz w:val="16"/>
          <w:szCs w:val="16"/>
          <w:color w:val="auto"/>
        </w:rPr>
        <w:t>therapy medicinal products. The role of the CAT is to prepare a draft opinion on an application for marketing authorization for a gene therapy medicinal candidate that is submitted to the EMA. In the European Union, the development and evaluation of a gene therapy medicinal product must be considered in the context of the relevant European Union guidelines. The EMA may issue new guidelines concerning the development and marketing authorization for gene therapy medicinal products and require that we comply with these new guidelines. As a</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result, the procedures and standards applied to gene therapy products and cell therapy products may be applied to any CRISPR product candidates we may develop, but that remains uncertain at this point.</w:t>
      </w:r>
    </w:p>
    <w:p>
      <w:pPr>
        <w:spacing w:after="0" w:line="162" w:lineRule="exact"/>
        <w:rPr>
          <w:sz w:val="20"/>
          <w:szCs w:val="20"/>
          <w:color w:val="auto"/>
        </w:rPr>
      </w:pPr>
    </w:p>
    <w:p>
      <w:pPr>
        <w:ind w:right="60" w:firstLine="648"/>
        <w:spacing w:after="0" w:line="234" w:lineRule="auto"/>
        <w:rPr>
          <w:sz w:val="20"/>
          <w:szCs w:val="20"/>
          <w:color w:val="auto"/>
        </w:rPr>
      </w:pPr>
      <w:r>
        <w:rPr>
          <w:rFonts w:ascii="Arial" w:cs="Arial" w:eastAsia="Arial" w:hAnsi="Arial"/>
          <w:sz w:val="16"/>
          <w:szCs w:val="16"/>
          <w:color w:val="auto"/>
        </w:rPr>
        <w:t>Adverse developments in clinical trials conducted by others of gene therapy products, cell therapy products, or products developed through the application of a CRISPR or other genome editing technology may cause the FDA, the EMA, and other regulatory bodies to revise the requirements for approval of any product candidates we may develop or limit the use of products utilizing genome editing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genome editing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170"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The regulatory review committees and advisory groups described above and the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w:t>
      </w:r>
      <w:r>
        <w:rPr>
          <w:rFonts w:ascii="MS PGothic" w:cs="MS PGothic" w:eastAsia="MS PGothic" w:hAnsi="MS PGothic"/>
          <w:sz w:val="18"/>
          <w:szCs w:val="18"/>
          <w:color w:val="auto"/>
        </w:rPr>
        <w:t>‑</w:t>
      </w:r>
      <w:r>
        <w:rPr>
          <w:rFonts w:ascii="Arial" w:cs="Arial" w:eastAsia="Arial" w:hAnsi="Arial"/>
          <w:sz w:val="18"/>
          <w:szCs w:val="18"/>
          <w:color w:val="auto"/>
        </w:rPr>
        <w: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16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Adverse public perception of genomic medicines, and genome editing in particular, may negatively impact regulatory approval of, or demand for, our potential products.</w:t>
      </w:r>
    </w:p>
    <w:p>
      <w:pPr>
        <w:spacing w:after="0" w:line="162"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Our potential therapeutic products involve editing the human genome. The clinical and commercial success of our potential products will depend in part on public acceptance of the use of genome editing therapy for the prevention or treatment of human diseases. Public attitudes may be influenced by claims that genome editing is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65"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In addition, genome editing technology is subject to public debate and heightened regulatory scrutiny due to ethical concerns relating to the application of genome editing technology to human embryos or the human germline. For example, in April 2015, Chinese scientists reported on their attempts to edit the genome of human embryos to modify the gene for hemoglobin beta. This is the gene in which a mutation occurs in patients with the inherited blood disorder beta thalassemia. Although this research was purposefully conducted in embryos that were not viable, the work prompted calls for a moratorium or other types of restrictions on genome editing of human eggs, sperm, and embryos. The Alliance for Regenerative Medicine in Washington has called for a voluntary moratorium on the use of genome editing technologies, including CRISPR/Cas9, in research that involved altering human embryos or human germline cells. Similarly, the NIH has announced that it would not fund any use of genome editing technologies in human embryos, noting that there are multiple existing legislative and regulatory prohibitions against such work, including the Dickey</w:t>
      </w:r>
      <w:r>
        <w:rPr>
          <w:rFonts w:ascii="MS PGothic" w:cs="MS PGothic" w:eastAsia="MS PGothic" w:hAnsi="MS PGothic"/>
          <w:sz w:val="17"/>
          <w:szCs w:val="17"/>
          <w:color w:val="auto"/>
        </w:rPr>
        <w:t>‑</w:t>
      </w:r>
      <w:r>
        <w:rPr>
          <w:rFonts w:ascii="Arial" w:cs="Arial" w:eastAsia="Arial" w:hAnsi="Arial"/>
          <w:sz w:val="17"/>
          <w:szCs w:val="17"/>
          <w:color w:val="auto"/>
        </w:rPr>
        <w:t>Wicker Amendment, which prohibits the use of appropriated funds for the creation of human embryos for research purposes or for research in which human embryos are destroyed. While the National Academy of Sciences released a report in February 2017 suggesting that it may be advisable to permit clinical trials for germline genome editing if undertaken for compelling reasons and under strict oversight, it maintained that any such research should only proceed with broad public input. Laws in the United Kingdom prohibit genetically modified embryos from being implanted into women, but embryos can be altered in research labs under license from the Human Fertilisation and Embryology Authority. Research on embryos is more tightly controlled in many other European countries. Notwithstanding, we are aware of certain groups conducting research in human embryo genome editing.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Moreover, in an annual worldwide threat assessment report delivered to the U.S. Congress in February 2016, the U.S. Director of National Intelligence stated that research into genome editing probably increases the risk of the creation of potentially harmful biological agents or products, including weapons of mass destruction. He noted that the broad distribution, low cost, and accelerated pace of development of genome editing technology could result in the deliberate or unintentional misuse of such technology.</w:t>
      </w:r>
    </w:p>
    <w:p>
      <w:pPr>
        <w:spacing w:after="0" w:line="162"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Although we do not use our technologies to edit human embryos or the human germline, such public debate about the use of genome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products we may develop. Adverse events in our preclinical studies or clinical trials or those of our competitors or of academic researchers utilizing genome editing technologies, even if not ultimately attributable to product candidates we may identify and develop, and the resulting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 Use of genome editing technology by a third party or government to develop biological agents or products that threaten the United States’ national security could similarly result in such negative impacts to us.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develop, or commercialize potential product candidates.</w:t>
      </w:r>
    </w:p>
    <w:p>
      <w:pPr>
        <w:spacing w:after="0" w:line="196"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products based on our genome editing platform. All of our product development programs are still in the preclinical or research stage of development. Our research programs, including those subject to our collaboration with Juno Therapeutics, our agreement with CFFT and our strategic alliance with Allergan, may fail to identify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impractical to manufacture, unmarketable, or unlikely to receive marketing approval.</w:t>
      </w:r>
    </w:p>
    <w:p>
      <w:pPr>
        <w:spacing w:after="0" w:line="163"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w:t>
      </w:r>
    </w:p>
    <w:p>
      <w:pPr>
        <w:spacing w:after="0" w:line="155"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The genome editing field is relatively new and is evolving rapidly. We are focusing our research and development efforts on CRISPR gene editing technology using Cas9 and Cpf1 enzymes, but other genome editing technologies may be discovered that provide significant advantages over CRISPR/Cas9 or CRISPR/Cpf1, which could materially harm our business.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To date, we have focused our efforts on genome editing technologies using CRISPR and the Cas9 and Cpf1 enzymes. Other companies have previously undertaken research and development of genome editing technologies using zinc finger nucleases, engineered meganucleases, and transcription activator</w:t>
      </w:r>
      <w:r>
        <w:rPr>
          <w:rFonts w:ascii="MS PGothic" w:cs="MS PGothic" w:eastAsia="MS PGothic" w:hAnsi="MS PGothic"/>
          <w:sz w:val="17"/>
          <w:szCs w:val="17"/>
          <w:color w:val="auto"/>
        </w:rPr>
        <w:t>‑</w:t>
      </w:r>
      <w:r>
        <w:rPr>
          <w:rFonts w:ascii="Arial" w:cs="Arial" w:eastAsia="Arial" w:hAnsi="Arial"/>
          <w:sz w:val="17"/>
          <w:szCs w:val="17"/>
          <w:color w:val="auto"/>
        </w:rPr>
        <w:t>like effector (“TALE”) nucleases, but to date none has obtained marketing approval for a product candidate. There can be no certainty that the CRISPR/Cas9 or CRISPR/Cpf1 technology will lead to the development of genomic medicines, that other genome editing technologies will not be considered better or more attractive for the development of medicines or that either Cas9 or Cpf1, the two CRISPR associated proteins that we use, may be useful or successful in developing therapeutics. For example, Cas9 or Cpf1 may be determined to be less attractive than other CRISPR enzymes, including CRISPR enzymes that have yet to be discovered. Similarly, a new genome editing technology that has not been discovered yet may be determined to be more attractive than CRISPR. Moreover, if we decide to develop genome technologies other than CRISPR technology using a Cas9 or Cpf1 enzyme, we cannot be certain we will be able to obtain rights to such technologies. Although all of our founders who currently provide consulting and advisory services to us in the areas of Cas9 and TALE genome editing technologies have assignment of inventions obligations to us with respect to the services they perform for us, these assignment of inventions obligations are subject to limitations and do not extend to their work in other fields or 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the intellectual property arising from their employment with their respective academic and research institutions. To obtain intellectual property rights assigned by these founders to such institutions, we would need to enter into license agreements with such institutions. Any of these factors could reduce or eliminate our commercial opportunity, and could have a material adverse effect on our business, financial condition, results of operations, and prospects.</w:t>
      </w:r>
    </w:p>
    <w:p>
      <w:pPr>
        <w:spacing w:after="0" w:line="163"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We depend heavily on the success of our most advanced program. All of our product development programs are at the preclinical or research stage. Preclinical testing and clinical trials of product candidates may not be successful. If we are unable to commercialize any product candidates we may develop or experience significant delays in doing so, our business will be materially harmed.</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have invested a significant portion of our efforts and financial resources in the identification of our most advanced product development program for the treatment of Leber Congenital Amaurosis type 10 (“LCA10”). Our ability to generate product revenues, which we do not expect will occur for many years, if ever, will depend heavily on the successful development and eventual commercialization of a product candidate for the treatment of LCA10 and other product candidates that we may identify in the future. The success of product candidates we may identify and develop will depend on many factors, including the following:</w:t>
      </w:r>
    </w:p>
    <w:p>
      <w:pPr>
        <w:spacing w:after="0" w:line="162" w:lineRule="exact"/>
        <w:rPr>
          <w:sz w:val="20"/>
          <w:szCs w:val="20"/>
          <w:color w:val="auto"/>
        </w:rPr>
      </w:pPr>
    </w:p>
    <w:p>
      <w:pPr>
        <w:ind w:left="980" w:right="160" w:hanging="329"/>
        <w:spacing w:after="0" w:line="235"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for our most advanced program;</w:t>
      </w:r>
    </w:p>
    <w:p>
      <w:pPr>
        <w:spacing w:after="0" w:line="161"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preclinical studies and investigational new drug (“IND”)</w:t>
      </w:r>
      <w:r>
        <w:rPr>
          <w:rFonts w:ascii="MS PGothic" w:cs="MS PGothic" w:eastAsia="MS PGothic" w:hAnsi="MS PGothic"/>
          <w:sz w:val="18"/>
          <w:szCs w:val="18"/>
          <w:color w:val="auto"/>
        </w:rPr>
        <w:t>‑</w:t>
      </w:r>
      <w:r>
        <w:rPr>
          <w:rFonts w:ascii="Arial" w:cs="Arial" w:eastAsia="Arial" w:hAnsi="Arial"/>
          <w:sz w:val="18"/>
          <w:szCs w:val="18"/>
          <w:color w:val="auto"/>
        </w:rPr>
        <w:t>enabling studies;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4"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w:t>
      </w:r>
      <w:r>
        <w:rPr>
          <w:rFonts w:ascii="MS PGothic" w:cs="MS PGothic" w:eastAsia="MS PGothic" w:hAnsi="MS PGothic"/>
          <w:sz w:val="17"/>
          <w:szCs w:val="17"/>
          <w:color w:val="auto"/>
        </w:rPr>
        <w:t>‑</w:t>
      </w:r>
      <w:r>
        <w:rPr>
          <w:rFonts w:ascii="Arial" w:cs="Arial" w:eastAsia="Arial" w:hAnsi="Arial"/>
          <w:sz w:val="17"/>
          <w:szCs w:val="17"/>
          <w:color w:val="auto"/>
        </w:rPr>
        <w:t>party manufacturers;</w:t>
      </w:r>
    </w:p>
    <w:p>
      <w:pPr>
        <w:spacing w:after="0" w:line="196" w:lineRule="exact"/>
        <w:rPr>
          <w:rFonts w:ascii="Arial" w:cs="Arial" w:eastAsia="Arial" w:hAnsi="Arial"/>
          <w:sz w:val="17"/>
          <w:szCs w:val="17"/>
          <w:color w:val="auto"/>
        </w:rPr>
      </w:pPr>
    </w:p>
    <w:p>
      <w:pPr>
        <w:ind w:left="980" w:hanging="329"/>
        <w:spacing w:after="0" w:line="196" w:lineRule="exact"/>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w:t>
      </w:r>
      <w:r>
        <w:rPr>
          <w:rFonts w:ascii="MS PGothic" w:cs="MS PGothic" w:eastAsia="MS PGothic" w:hAnsi="MS PGothic"/>
          <w:sz w:val="17"/>
          <w:szCs w:val="17"/>
          <w:color w:val="auto"/>
        </w:rPr>
        <w:t>‑</w:t>
      </w:r>
      <w:r>
        <w:rPr>
          <w:rFonts w:ascii="Arial" w:cs="Arial" w:eastAsia="Arial" w:hAnsi="Arial"/>
          <w:sz w:val="17"/>
          <w:szCs w:val="17"/>
          <w:color w:val="auto"/>
        </w:rPr>
        <w:t>patent exclusivity for our medicines;</w:t>
      </w:r>
    </w:p>
    <w:p>
      <w:pPr>
        <w:spacing w:after="0" w:line="196" w:lineRule="exact"/>
        <w:rPr>
          <w:rFonts w:ascii="Arial" w:cs="Arial" w:eastAsia="Arial" w:hAnsi="Arial"/>
          <w:sz w:val="17"/>
          <w:szCs w:val="17"/>
          <w:color w:val="auto"/>
        </w:rPr>
      </w:pPr>
    </w:p>
    <w:p>
      <w:pPr>
        <w:ind w:left="980" w:right="360" w:hanging="329"/>
        <w:spacing w:after="0" w:line="235"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commercial sales of the medicines, if and when approved, whether alone or in collaboration with others;</w:t>
      </w:r>
    </w:p>
    <w:p>
      <w:pPr>
        <w:spacing w:after="0" w:line="161"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acceptance of the medicines, if and when approved, by patients,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7" w:lineRule="exact"/>
        <w:rPr>
          <w:rFonts w:ascii="Arial" w:cs="Arial" w:eastAsia="Arial" w:hAnsi="Arial"/>
          <w:sz w:val="16"/>
          <w:szCs w:val="16"/>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of the medicines following approval;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achieving desirable medicinal properties for the intended indications.</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any product candidates we may develop, which would materially harm our business.</w:t>
      </w:r>
    </w:p>
    <w:p>
      <w:pPr>
        <w:spacing w:after="0" w:line="163"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Of the large number of biologics and drugs in development in the pharmaceutical industry, only a small percentage result in the submission of a Biologics License Application (a “BLA”) to the FDA or a marketing authorization application (an “MAA”) to the EMA. Not all BLAs or MAAs that are submitted to a regulatory agency are approved for commercialization. Furthermore, even if we do receive regulatory approval to market any product candidates that we may identify and develop, any such approval may be subject to limitations on the indicated uses for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9"/>
        <w:spacing w:after="0" w:line="229" w:lineRule="auto"/>
        <w:rPr>
          <w:sz w:val="20"/>
          <w:szCs w:val="20"/>
          <w:color w:val="auto"/>
        </w:rPr>
      </w:pPr>
      <w:r>
        <w:rPr>
          <w:rFonts w:ascii="Arial" w:cs="Arial" w:eastAsia="Arial" w:hAnsi="Arial"/>
          <w:sz w:val="17"/>
          <w:szCs w:val="17"/>
          <w:color w:val="auto"/>
        </w:rPr>
        <w:t>which we may market the product. Accordingly, even if we are able to obtain the requisite financing to continue to fund our research programs, we cannot assure you that we will successfully develop or commercialize our most advanced program, or any of our other research programs. If we or any of our future development partners are unable to develop, or obtain regulatory approval for, or, if approved, successfully commercialize, any product candidates we may identify and develop, we may not be able to generate sufficient revenue to continue our business.</w:t>
      </w:r>
    </w:p>
    <w:p>
      <w:pPr>
        <w:spacing w:after="0" w:line="161" w:lineRule="exact"/>
        <w:rPr>
          <w:sz w:val="20"/>
          <w:szCs w:val="20"/>
          <w:color w:val="auto"/>
        </w:rPr>
      </w:pPr>
    </w:p>
    <w:p>
      <w:pPr>
        <w:ind w:right="119"/>
        <w:spacing w:after="0" w:line="224" w:lineRule="auto"/>
        <w:rPr>
          <w:sz w:val="20"/>
          <w:szCs w:val="20"/>
          <w:color w:val="auto"/>
        </w:rPr>
      </w:pPr>
      <w:r>
        <w:rPr>
          <w:rFonts w:ascii="Arial" w:cs="Arial" w:eastAsia="Arial" w:hAnsi="Arial"/>
          <w:sz w:val="18"/>
          <w:szCs w:val="18"/>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163" w:lineRule="exact"/>
        <w:rPr>
          <w:sz w:val="20"/>
          <w:szCs w:val="20"/>
          <w:color w:val="auto"/>
        </w:rPr>
      </w:pPr>
    </w:p>
    <w:p>
      <w:pPr>
        <w:ind w:right="59" w:firstLine="648"/>
        <w:spacing w:after="0" w:line="229" w:lineRule="auto"/>
        <w:rPr>
          <w:sz w:val="20"/>
          <w:szCs w:val="20"/>
          <w:color w:val="auto"/>
        </w:rPr>
      </w:pPr>
      <w:r>
        <w:rPr>
          <w:rFonts w:ascii="Arial" w:cs="Arial" w:eastAsia="Arial" w:hAnsi="Arial"/>
          <w:sz w:val="17"/>
          <w:szCs w:val="17"/>
          <w:color w:val="auto"/>
        </w:rPr>
        <w:t>We have not evaluated any product candidates in human clinical trials, and our proposed delivery modes, combined with CRISPR technology, have a limited, if any, history of being tested clinically. It is impossible to predict when or if any product candidates we may develop will prove safe in humans. In the genomic medicine field, there have been several significant adverse events from gene therapy treatments in the past, including reported cases of leukemia and death. There can be no assurance that genome editing technologies will not cause undesirable side effects.</w:t>
      </w:r>
    </w:p>
    <w:p>
      <w:pPr>
        <w:spacing w:after="0" w:line="161" w:lineRule="exact"/>
        <w:rPr>
          <w:sz w:val="20"/>
          <w:szCs w:val="20"/>
          <w:color w:val="auto"/>
        </w:rPr>
      </w:pPr>
    </w:p>
    <w:p>
      <w:pPr>
        <w:ind w:right="19" w:firstLine="648"/>
        <w:spacing w:after="0" w:line="182" w:lineRule="exact"/>
        <w:rPr>
          <w:sz w:val="20"/>
          <w:szCs w:val="20"/>
          <w:color w:val="auto"/>
        </w:rPr>
      </w:pPr>
      <w:r>
        <w:rPr>
          <w:rFonts w:ascii="Arial" w:cs="Arial" w:eastAsia="Arial" w:hAnsi="Arial"/>
          <w:sz w:val="16"/>
          <w:szCs w:val="16"/>
          <w:color w:val="auto"/>
        </w:rPr>
        <w:t>A significant risk in any genome editing product is that the edit will be “off</w:t>
      </w:r>
      <w:r>
        <w:rPr>
          <w:rFonts w:ascii="MS PGothic" w:cs="MS PGothic" w:eastAsia="MS PGothic" w:hAnsi="MS PGothic"/>
          <w:sz w:val="16"/>
          <w:szCs w:val="16"/>
          <w:color w:val="auto"/>
        </w:rPr>
        <w:t>‑</w:t>
      </w:r>
      <w:r>
        <w:rPr>
          <w:rFonts w:ascii="Arial" w:cs="Arial" w:eastAsia="Arial" w:hAnsi="Arial"/>
          <w:sz w:val="16"/>
          <w:szCs w:val="16"/>
          <w:color w:val="auto"/>
        </w:rPr>
        <w:t>target” and cause serious adverse events, undesirable side effects, or unexpected characteristics. For example, off</w:t>
      </w:r>
      <w:r>
        <w:rPr>
          <w:rFonts w:ascii="MS PGothic" w:cs="MS PGothic" w:eastAsia="MS PGothic" w:hAnsi="MS PGothic"/>
          <w:sz w:val="16"/>
          <w:szCs w:val="16"/>
          <w:color w:val="auto"/>
        </w:rPr>
        <w:t>‑</w:t>
      </w:r>
      <w:r>
        <w:rPr>
          <w:rFonts w:ascii="Arial" w:cs="Arial" w:eastAsia="Arial" w:hAnsi="Arial"/>
          <w:sz w:val="16"/>
          <w:szCs w:val="16"/>
          <w:color w:val="auto"/>
        </w:rPr>
        <w:t>target cuts could lead to disruption of a gene or a genetic regulatory sequence at an unintended site in the DNA, or, in those instances where we also provide a segment of DNA to serve as a repair template, it is possible that following off</w:t>
      </w:r>
      <w:r>
        <w:rPr>
          <w:rFonts w:ascii="MS PGothic" w:cs="MS PGothic" w:eastAsia="MS PGothic" w:hAnsi="MS PGothic"/>
          <w:sz w:val="16"/>
          <w:szCs w:val="16"/>
          <w:color w:val="auto"/>
        </w:rPr>
        <w:t>‑</w:t>
      </w:r>
      <w:r>
        <w:rPr>
          <w:rFonts w:ascii="Arial" w:cs="Arial" w:eastAsia="Arial" w:hAnsi="Arial"/>
          <w:sz w:val="16"/>
          <w:szCs w:val="16"/>
          <w:color w:val="auto"/>
        </w:rPr>
        <w:t>target cut events, DNA from such repair template could be integrated into the genome at an unintended site, potentially disrupting another important gene or genomic element. We cannot be certain that off</w:t>
      </w:r>
      <w:r>
        <w:rPr>
          <w:rFonts w:ascii="MS PGothic" w:cs="MS PGothic" w:eastAsia="MS PGothic" w:hAnsi="MS PGothic"/>
          <w:sz w:val="16"/>
          <w:szCs w:val="16"/>
          <w:color w:val="auto"/>
        </w:rPr>
        <w:t>‑</w:t>
      </w:r>
      <w:r>
        <w:rPr>
          <w:rFonts w:ascii="Arial" w:cs="Arial" w:eastAsia="Arial" w:hAnsi="Arial"/>
          <w:sz w:val="16"/>
          <w:szCs w:val="16"/>
          <w:color w:val="auto"/>
        </w:rPr>
        <w:t>target editing will not occur in any of our planned or future clinical studies. There is also the potential risk of delayed adverse events following exposure to genome editing therapy due to the potential for persistent biological activity of the genetic material or other components of products used to carry the genetic material.</w:t>
      </w:r>
    </w:p>
    <w:p>
      <w:pPr>
        <w:spacing w:after="0" w:line="167" w:lineRule="exact"/>
        <w:rPr>
          <w:sz w:val="20"/>
          <w:szCs w:val="20"/>
          <w:color w:val="auto"/>
        </w:rPr>
      </w:pPr>
    </w:p>
    <w:p>
      <w:pPr>
        <w:ind w:right="39" w:firstLine="648"/>
        <w:spacing w:after="0" w:line="184" w:lineRule="exact"/>
        <w:rPr>
          <w:sz w:val="20"/>
          <w:szCs w:val="20"/>
          <w:color w:val="auto"/>
        </w:rPr>
      </w:pPr>
      <w:r>
        <w:rPr>
          <w:rFonts w:ascii="Arial" w:cs="Arial" w:eastAsia="Arial" w:hAnsi="Arial"/>
          <w:sz w:val="17"/>
          <w:szCs w:val="17"/>
          <w:color w:val="auto"/>
        </w:rPr>
        <w:t>If any product candidates we develop are associated with serious adverse events, or undesirable side effects, or have characteristics that are unexpected, we may need to abandon their development or limit development to certain uses or subpopulations in which the serious adverse events,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162" w:lineRule="exact"/>
        <w:rPr>
          <w:sz w:val="20"/>
          <w:szCs w:val="20"/>
          <w:color w:val="auto"/>
        </w:rPr>
      </w:pPr>
    </w:p>
    <w:p>
      <w:pPr>
        <w:jc w:val="both"/>
        <w:ind w:right="159"/>
        <w:spacing w:after="0" w:line="224" w:lineRule="auto"/>
        <w:rPr>
          <w:sz w:val="20"/>
          <w:szCs w:val="20"/>
          <w:color w:val="auto"/>
        </w:rPr>
      </w:pPr>
      <w:r>
        <w:rPr>
          <w:rFonts w:ascii="Arial" w:cs="Arial" w:eastAsia="Arial" w:hAnsi="Arial"/>
          <w:sz w:val="18"/>
          <w:szCs w:val="18"/>
          <w:b w:val="1"/>
          <w:bCs w:val="1"/>
          <w:i w:val="1"/>
          <w:iCs w:val="1"/>
          <w:color w:val="auto"/>
        </w:rPr>
        <w:t>If any of the product candidates we may develop or the delivery modes we rely on cause undesirable side effects, it could delay or prevent their regulatory approval, limit the commercial potential, or result in significant negative consequences following any potential marketing approval.</w:t>
      </w:r>
    </w:p>
    <w:p>
      <w:pPr>
        <w:spacing w:after="0" w:line="163" w:lineRule="exact"/>
        <w:rPr>
          <w:sz w:val="20"/>
          <w:szCs w:val="20"/>
          <w:color w:val="auto"/>
        </w:rPr>
      </w:pPr>
    </w:p>
    <w:p>
      <w:pPr>
        <w:ind w:right="199" w:firstLine="648"/>
        <w:spacing w:after="0" w:line="185" w:lineRule="exact"/>
        <w:rPr>
          <w:sz w:val="20"/>
          <w:szCs w:val="20"/>
          <w:color w:val="auto"/>
        </w:rPr>
      </w:pPr>
      <w:r>
        <w:rPr>
          <w:rFonts w:ascii="Arial" w:cs="Arial" w:eastAsia="Arial" w:hAnsi="Arial"/>
          <w:sz w:val="17"/>
          <w:szCs w:val="17"/>
          <w:color w:val="auto"/>
        </w:rPr>
        <w:t>Product candidates we may develop may be associated with off</w:t>
      </w:r>
      <w:r>
        <w:rPr>
          <w:rFonts w:ascii="MS PGothic" w:cs="MS PGothic" w:eastAsia="MS PGothic" w:hAnsi="MS PGothic"/>
          <w:sz w:val="17"/>
          <w:szCs w:val="17"/>
          <w:color w:val="auto"/>
        </w:rPr>
        <w:t>‑</w:t>
      </w:r>
      <w:r>
        <w:rPr>
          <w:rFonts w:ascii="Arial" w:cs="Arial" w:eastAsia="Arial" w:hAnsi="Arial"/>
          <w:sz w:val="17"/>
          <w:szCs w:val="17"/>
          <w:color w:val="auto"/>
        </w:rPr>
        <w:t>target editing or other serious adverse events, undesirable side effects, or unexpected characteristics. There also is the potential risk of delayed adverse events following exposure to gene editing therapy due to persistent biologic activity of the genetic material or other components of products used to carry the genetic material. In addition to serious adverse events or side effects caused by any product candidate we may develop, the administration process or related procedures also can cause undesirable side effects. If any such events occur, our clinical trials could be suspended or terminated.</w:t>
      </w:r>
    </w:p>
    <w:p>
      <w:pPr>
        <w:spacing w:after="0" w:line="165" w:lineRule="exact"/>
        <w:rPr>
          <w:sz w:val="20"/>
          <w:szCs w:val="20"/>
          <w:color w:val="auto"/>
        </w:rPr>
      </w:pPr>
    </w:p>
    <w:p>
      <w:pPr>
        <w:ind w:right="19" w:firstLine="648"/>
        <w:spacing w:after="0" w:line="181" w:lineRule="exact"/>
        <w:rPr>
          <w:sz w:val="20"/>
          <w:szCs w:val="20"/>
          <w:color w:val="auto"/>
        </w:rPr>
      </w:pPr>
      <w:r>
        <w:rPr>
          <w:rFonts w:ascii="Arial" w:cs="Arial" w:eastAsia="Arial" w:hAnsi="Arial"/>
          <w:sz w:val="16"/>
          <w:szCs w:val="16"/>
          <w:color w:val="auto"/>
        </w:rPr>
        <w:t>If in the future we are unable to demonstrate that such adverse events were caused by factors other than our product candidate, the FDA, the European Commission, the EMA or other regulatory authorities could order us to cease further development of, or deny approval of, any product candidates we are able to develop for any or all targeted indications. Even if we are able to demonstrate that all future serious adverse events are not product</w:t>
      </w:r>
      <w:r>
        <w:rPr>
          <w:rFonts w:ascii="MS PGothic" w:cs="MS PGothic" w:eastAsia="MS PGothic" w:hAnsi="MS PGothic"/>
          <w:sz w:val="16"/>
          <w:szCs w:val="16"/>
          <w:color w:val="auto"/>
        </w:rPr>
        <w:t>‑</w:t>
      </w:r>
      <w:r>
        <w:rPr>
          <w:rFonts w:ascii="Arial" w:cs="Arial" w:eastAsia="Arial" w:hAnsi="Arial"/>
          <w:sz w:val="16"/>
          <w:szCs w:val="16"/>
          <w:color w:val="auto"/>
        </w:rPr>
        <w: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Additionally, if we successfully develop a product candidate and it receives marketing approval, the FDA could require us to adopt a Risk Evaluation and Mitigation Strategy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to develop, several potentially significant negative consequences could result, including:</w:t>
      </w:r>
    </w:p>
    <w:p>
      <w:pPr>
        <w:spacing w:after="0" w:line="163" w:lineRule="exact"/>
        <w:rPr>
          <w:sz w:val="20"/>
          <w:szCs w:val="20"/>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administered or conduct additional clinical trials;</w:t>
      </w:r>
    </w:p>
    <w:p>
      <w:pPr>
        <w:spacing w:after="0" w:line="207" w:lineRule="exact"/>
        <w:rPr>
          <w:rFonts w:ascii="Arial" w:cs="Arial" w:eastAsia="Arial" w:hAnsi="Arial"/>
          <w:sz w:val="16"/>
          <w:szCs w:val="16"/>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 candidates we may identify and develop and could have a material adverse effect on our business, financial condition, results of operations, and prospects.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tested any of our proposed delivery modes and product candidates in clinical trials.</w:t>
      </w:r>
    </w:p>
    <w:p>
      <w:pPr>
        <w:spacing w:after="0" w:line="185" w:lineRule="exact"/>
        <w:rPr>
          <w:sz w:val="20"/>
          <w:szCs w:val="20"/>
          <w:color w:val="auto"/>
        </w:rPr>
      </w:pPr>
    </w:p>
    <w:p>
      <w:pPr>
        <w:ind w:right="320" w:firstLine="648"/>
        <w:spacing w:after="0" w:line="238" w:lineRule="auto"/>
        <w:rPr>
          <w:sz w:val="20"/>
          <w:szCs w:val="20"/>
          <w:color w:val="auto"/>
        </w:rPr>
      </w:pPr>
      <w:r>
        <w:rPr>
          <w:rFonts w:ascii="Arial" w:cs="Arial" w:eastAsia="Arial" w:hAnsi="Arial"/>
          <w:sz w:val="17"/>
          <w:szCs w:val="17"/>
          <w:color w:val="auto"/>
        </w:rPr>
        <w:t>Our proposed delivery modes, combined with our product candidates, have a limited, if any, history of being evaluated in human clinical trials. Any product candidates we develop may fail to show the desired safety and efficacy in later stages of clinical development despite having successfully advanced through initial clinical trials.</w:t>
      </w:r>
    </w:p>
    <w:p>
      <w:pPr>
        <w:spacing w:after="0" w:line="161"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62"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Any such adverse events may cause us to delay, limit, or terminate planned clinical trials, any of which would have a material adverse effect on our business, financial condition, results of operations, and prospects.</w:t>
      </w:r>
    </w:p>
    <w:p>
      <w:pPr>
        <w:spacing w:after="0" w:line="162"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b w:val="1"/>
          <w:bCs w:val="1"/>
          <w:i w:val="1"/>
          <w:iCs w:val="1"/>
          <w:color w:val="auto"/>
        </w:rPr>
        <w:t>Because we are developing product candidates for the treatment of diseases in which there is little clinical experience using new technologies, there is increased risk that the FDA, the EMA, or other regulatory authorities may not consider the endpoints of our clinical trials to provide clinically meaningful results and that these results may be difficult to analyze.</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During the regulatory review process,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w:t>
      </w:r>
      <w:r>
        <w:rPr>
          <w:rFonts w:ascii="MS PGothic" w:cs="MS PGothic" w:eastAsia="MS PGothic" w:hAnsi="MS PGothic"/>
          <w:sz w:val="17"/>
          <w:szCs w:val="17"/>
          <w:color w:val="auto"/>
        </w:rPr>
        <w:t>‑</w:t>
      </w:r>
      <w:r>
        <w:rPr>
          <w:rFonts w:ascii="Arial" w:cs="Arial" w:eastAsia="Arial" w:hAnsi="Arial"/>
          <w:sz w:val="17"/>
          <w:szCs w:val="17"/>
          <w:color w:val="auto"/>
        </w:rPr>
        <w:t>specified endpoints to a degree of statistical significance. This may be a particularly significant risk for many of the genetically defined diseases for which we plan to develop product candidates because many of these diseases have small patient populations, and designing and executing a rigorous clinical trial with appropriate statistical</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power is more difficult than with diseases that have larger patient populations. Further, even if we do achieve the</w:t>
      </w:r>
    </w:p>
    <w:p>
      <w:pPr>
        <w:ind w:right="80"/>
        <w:spacing w:after="0" w:line="181" w:lineRule="exact"/>
        <w:rPr>
          <w:sz w:val="20"/>
          <w:szCs w:val="20"/>
          <w:color w:val="auto"/>
        </w:rPr>
      </w:pPr>
      <w:r>
        <w:rPr>
          <w:rFonts w:ascii="Arial" w:cs="Arial" w:eastAsia="Arial" w:hAnsi="Arial"/>
          <w:sz w:val="17"/>
          <w:szCs w:val="17"/>
          <w:color w:val="auto"/>
        </w:rPr>
        <w:t>pre</w:t>
      </w:r>
      <w:r>
        <w:rPr>
          <w:rFonts w:ascii="MS PGothic" w:cs="MS PGothic" w:eastAsia="MS PGothic" w:hAnsi="MS PGothic"/>
          <w:sz w:val="17"/>
          <w:szCs w:val="17"/>
          <w:color w:val="auto"/>
        </w:rPr>
        <w:t>‑</w:t>
      </w:r>
      <w:r>
        <w:rPr>
          <w:rFonts w:ascii="Arial" w:cs="Arial" w:eastAsia="Arial" w:hAnsi="Arial"/>
          <w:sz w:val="17"/>
          <w:szCs w:val="17"/>
          <w:color w:val="auto"/>
        </w:rPr>
        <w:t>specified criteria, we may produce results that are unpredictable or inconsistent with the results of the non</w:t>
      </w:r>
      <w:r>
        <w:rPr>
          <w:rFonts w:ascii="MS PGothic" w:cs="MS PGothic" w:eastAsia="MS PGothic" w:hAnsi="MS PGothic"/>
          <w:sz w:val="17"/>
          <w:szCs w:val="17"/>
          <w:color w:val="auto"/>
        </w:rPr>
        <w:t>‑</w:t>
      </w:r>
      <w:r>
        <w:rPr>
          <w:rFonts w:ascii="Arial" w:cs="Arial" w:eastAsia="Arial" w:hAnsi="Arial"/>
          <w:sz w:val="17"/>
          <w:szCs w:val="17"/>
          <w:color w:val="auto"/>
        </w:rPr>
        <w:t>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such as the CAT, may make similar comments with respect to these endpoints and data. Any product candidates we may develop will be based on a novel technology that makes it difficult to predict the time and cost of development and of subsequently obtaining regulatory approval. No genome editing therapeutic product has been approved in the United States or in Europe.</w:t>
      </w:r>
    </w:p>
    <w:p>
      <w:pPr>
        <w:spacing w:after="0" w:line="163" w:lineRule="exact"/>
        <w:rPr>
          <w:sz w:val="20"/>
          <w:szCs w:val="20"/>
          <w:color w:val="auto"/>
        </w:rPr>
      </w:pPr>
    </w:p>
    <w:p>
      <w:pPr>
        <w:ind w:right="380"/>
        <w:spacing w:after="0" w:line="219" w:lineRule="auto"/>
        <w:rPr>
          <w:sz w:val="20"/>
          <w:szCs w:val="20"/>
          <w:color w:val="auto"/>
        </w:rPr>
      </w:pPr>
      <w:r>
        <w:rPr>
          <w:rFonts w:ascii="Arial" w:cs="Arial" w:eastAsia="Arial" w:hAnsi="Arial"/>
          <w:sz w:val="18"/>
          <w:szCs w:val="18"/>
          <w:b w:val="1"/>
          <w:bCs w:val="1"/>
          <w:i w:val="1"/>
          <w:iCs w:val="1"/>
          <w:color w:val="auto"/>
        </w:rPr>
        <w:t>If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163"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Before obtaining marketing approval from regulatory authorities for the sale of any product candidates we may identify and develop, we must complete preclinical development and then conduct extensive clinical trials to demonstrate the safety and efficacy in humans of any such product candidates.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165"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63"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We or our collaborators may experience numerous unforeseen events during, or as a result of, clinical trials that could delay or prevent our ability to receive marketing approval or commercialize any product candidates we may identify and develop, including:</w:t>
      </w:r>
    </w:p>
    <w:p>
      <w:pPr>
        <w:spacing w:after="0" w:line="163" w:lineRule="exact"/>
        <w:rPr>
          <w:sz w:val="20"/>
          <w:szCs w:val="20"/>
          <w:color w:val="auto"/>
        </w:rPr>
      </w:pPr>
    </w:p>
    <w:p>
      <w:pPr>
        <w:ind w:left="980" w:hanging="329"/>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regulators on trial design;</w:t>
      </w:r>
    </w:p>
    <w:p>
      <w:pPr>
        <w:spacing w:after="0" w:line="184" w:lineRule="exact"/>
        <w:rPr>
          <w:rFonts w:ascii="Arial" w:cs="Arial" w:eastAsia="Arial" w:hAnsi="Arial"/>
          <w:sz w:val="18"/>
          <w:szCs w:val="18"/>
          <w:color w:val="auto"/>
        </w:rPr>
      </w:pPr>
    </w:p>
    <w:p>
      <w:pPr>
        <w:ind w:left="980" w:right="180" w:hanging="329"/>
        <w:spacing w:after="0" w:line="25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regulators, institutional review boards (“IRBs”) or independent ethics committees may not authorize us or our investigators to commence a clinical trial or conduct a clinical trial at a prospective trial site;</w:t>
      </w:r>
    </w:p>
    <w:p>
      <w:pPr>
        <w:spacing w:after="0" w:line="146" w:lineRule="exact"/>
        <w:rPr>
          <w:rFonts w:ascii="Arial" w:cs="Arial" w:eastAsia="Arial" w:hAnsi="Arial"/>
          <w:sz w:val="17"/>
          <w:szCs w:val="17"/>
          <w:color w:val="auto"/>
        </w:rPr>
      </w:pPr>
    </w:p>
    <w:p>
      <w:pPr>
        <w:ind w:left="980" w:right="200" w:hanging="329"/>
        <w:spacing w:after="0" w:line="23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clinical trial contracts or clinical trial protocols with prospective contract research organizations (“CROs”) and clinical trial sites;</w:t>
      </w:r>
    </w:p>
    <w:p>
      <w:pPr>
        <w:spacing w:after="0" w:line="161" w:lineRule="exact"/>
        <w:rPr>
          <w:rFonts w:ascii="Arial" w:cs="Arial" w:eastAsia="Arial" w:hAnsi="Arial"/>
          <w:sz w:val="18"/>
          <w:szCs w:val="18"/>
          <w:color w:val="auto"/>
        </w:rPr>
      </w:pPr>
    </w:p>
    <w:p>
      <w:pPr>
        <w:jc w:val="both"/>
        <w:ind w:left="980" w:right="120" w:hanging="329"/>
        <w:spacing w:after="0" w:line="22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163" w:lineRule="exact"/>
        <w:rPr>
          <w:rFonts w:ascii="Arial" w:cs="Arial" w:eastAsia="Arial" w:hAnsi="Arial"/>
          <w:sz w:val="18"/>
          <w:szCs w:val="18"/>
          <w:color w:val="auto"/>
        </w:rPr>
      </w:pPr>
    </w:p>
    <w:p>
      <w:pPr>
        <w:ind w:left="980" w:right="700" w:hanging="329"/>
        <w:spacing w:after="0" w:line="203" w:lineRule="exact"/>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difficulty in designing 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due to ethical considerations which may render it inappropriate to conduct a trial with a control arm that can be effectively compared to a treatment arm;</w:t>
      </w:r>
    </w:p>
    <w:p>
      <w:pPr>
        <w:spacing w:after="0" w:line="162" w:lineRule="exact"/>
        <w:rPr>
          <w:rFonts w:ascii="Arial" w:cs="Arial" w:eastAsia="Arial" w:hAnsi="Arial"/>
          <w:sz w:val="16"/>
          <w:szCs w:val="16"/>
          <w:color w:val="auto"/>
        </w:rPr>
      </w:pPr>
    </w:p>
    <w:p>
      <w:pPr>
        <w:ind w:left="980" w:right="40" w:hanging="329"/>
        <w:spacing w:after="0" w:line="203" w:lineRule="exact"/>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designing clinical trials and selecting endpoints for diseases that have not been well</w:t>
      </w:r>
      <w:r>
        <w:rPr>
          <w:rFonts w:ascii="MS PGothic" w:cs="MS PGothic" w:eastAsia="MS PGothic" w:hAnsi="MS PGothic"/>
          <w:sz w:val="18"/>
          <w:szCs w:val="18"/>
          <w:color w:val="auto"/>
        </w:rPr>
        <w:t>‑</w:t>
      </w:r>
      <w:r>
        <w:rPr>
          <w:rFonts w:ascii="Arial" w:cs="Arial" w:eastAsia="Arial" w:hAnsi="Arial"/>
          <w:sz w:val="18"/>
          <w:szCs w:val="18"/>
          <w:color w:val="auto"/>
        </w:rPr>
        <w:t>studied and for which the natural history and course of the disease is poorly understood;</w:t>
      </w:r>
    </w:p>
    <w:p>
      <w:pPr>
        <w:spacing w:after="0" w:line="161" w:lineRule="exact"/>
        <w:rPr>
          <w:rFonts w:ascii="Arial" w:cs="Arial" w:eastAsia="Arial" w:hAnsi="Arial"/>
          <w:sz w:val="18"/>
          <w:szCs w:val="18"/>
          <w:color w:val="auto"/>
        </w:rPr>
      </w:pPr>
    </w:p>
    <w:p>
      <w:pPr>
        <w:ind w:left="980" w:right="80" w:hanging="329"/>
        <w:spacing w:after="0" w:line="216"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subjects may drop out of these clinical trials at a higher rate than we anticipate;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819" w:hanging="329"/>
        <w:spacing w:after="0" w:line="203" w:lineRule="exact"/>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meet their contractual obligations to us in a timely manner, or at all;</w:t>
      </w:r>
    </w:p>
    <w:p>
      <w:pPr>
        <w:spacing w:after="0" w:line="161" w:lineRule="exact"/>
        <w:rPr>
          <w:rFonts w:ascii="Arial" w:cs="Arial" w:eastAsia="Arial" w:hAnsi="Arial"/>
          <w:sz w:val="18"/>
          <w:szCs w:val="18"/>
          <w:color w:val="auto"/>
        </w:rPr>
      </w:pPr>
    </w:p>
    <w:p>
      <w:pPr>
        <w:ind w:left="980" w:right="299" w:hanging="329"/>
        <w:spacing w:after="0" w:line="229"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161" w:lineRule="exact"/>
        <w:rPr>
          <w:rFonts w:ascii="Arial" w:cs="Arial" w:eastAsia="Arial" w:hAnsi="Arial"/>
          <w:sz w:val="17"/>
          <w:szCs w:val="17"/>
          <w:color w:val="auto"/>
        </w:rPr>
      </w:pPr>
    </w:p>
    <w:p>
      <w:pPr>
        <w:ind w:left="980" w:hanging="329"/>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clinical trials of any product candidates we may develop may be greater than we anticipate;</w:t>
      </w:r>
    </w:p>
    <w:p>
      <w:pPr>
        <w:spacing w:after="0" w:line="196" w:lineRule="exact"/>
        <w:rPr>
          <w:rFonts w:ascii="Arial" w:cs="Arial" w:eastAsia="Arial" w:hAnsi="Arial"/>
          <w:sz w:val="17"/>
          <w:szCs w:val="17"/>
          <w:color w:val="auto"/>
        </w:rPr>
      </w:pPr>
    </w:p>
    <w:p>
      <w:pPr>
        <w:ind w:left="980" w:right="19" w:hanging="329"/>
        <w:spacing w:after="0" w:line="249"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supply or quality of any product candidates we may develop or other materials necessary to conduct clinical trials of any product candidates we may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154" w:lineRule="exact"/>
        <w:rPr>
          <w:rFonts w:ascii="Arial" w:cs="Arial" w:eastAsia="Arial" w:hAnsi="Arial"/>
          <w:sz w:val="16"/>
          <w:szCs w:val="16"/>
          <w:color w:val="auto"/>
        </w:rPr>
      </w:pPr>
    </w:p>
    <w:p>
      <w:pPr>
        <w:ind w:left="980" w:hanging="329"/>
        <w:spacing w:after="0" w:line="207" w:lineRule="exact"/>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trial or return for post</w:t>
      </w:r>
      <w:r>
        <w:rPr>
          <w:rFonts w:ascii="MS PGothic" w:cs="MS PGothic" w:eastAsia="MS PGothic" w:hAnsi="MS PGothic"/>
          <w:sz w:val="18"/>
          <w:szCs w:val="18"/>
          <w:color w:val="auto"/>
        </w:rPr>
        <w:t>‑</w:t>
      </w:r>
      <w:r>
        <w:rPr>
          <w:rFonts w:ascii="Arial" w:cs="Arial" w:eastAsia="Arial" w:hAnsi="Arial"/>
          <w:sz w:val="18"/>
          <w:szCs w:val="18"/>
          <w:color w:val="auto"/>
        </w:rPr>
        <w:t>treatment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sites dropping out of a trial;</w:t>
      </w:r>
    </w:p>
    <w:p>
      <w:pPr>
        <w:spacing w:after="0" w:line="184" w:lineRule="exact"/>
        <w:rPr>
          <w:rFonts w:ascii="Arial" w:cs="Arial" w:eastAsia="Arial" w:hAnsi="Arial"/>
          <w:sz w:val="18"/>
          <w:szCs w:val="18"/>
          <w:color w:val="auto"/>
        </w:rPr>
      </w:pPr>
    </w:p>
    <w:p>
      <w:pPr>
        <w:ind w:left="980" w:right="79" w:hanging="329"/>
        <w:spacing w:after="0" w:line="23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61" w:lineRule="exact"/>
        <w:rPr>
          <w:rFonts w:ascii="Arial" w:cs="Arial" w:eastAsia="Arial" w:hAnsi="Arial"/>
          <w:sz w:val="18"/>
          <w:szCs w:val="18"/>
          <w:color w:val="auto"/>
        </w:rPr>
      </w:pPr>
    </w:p>
    <w:p>
      <w:pPr>
        <w:ind w:left="980" w:right="19" w:hanging="329"/>
        <w:spacing w:after="0" w:line="23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any product candidates we may develop that are viewed to outweigh their potential benefits;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occurrence of serious adverse events in trials of the same class of agents conducted by other sponsors; and</w:t>
      </w:r>
    </w:p>
    <w:p>
      <w:pPr>
        <w:spacing w:after="0" w:line="207" w:lineRule="exact"/>
        <w:rPr>
          <w:rFonts w:ascii="Arial" w:cs="Arial" w:eastAsia="Arial" w:hAnsi="Arial"/>
          <w:sz w:val="16"/>
          <w:szCs w:val="16"/>
          <w:color w:val="auto"/>
        </w:rPr>
      </w:pPr>
    </w:p>
    <w:p>
      <w:pPr>
        <w:ind w:left="980" w:hanging="329"/>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w:t>
      </w:r>
    </w:p>
    <w:p>
      <w:pPr>
        <w:spacing w:after="0" w:line="208" w:lineRule="exact"/>
        <w:rPr>
          <w:sz w:val="20"/>
          <w:szCs w:val="20"/>
          <w:color w:val="auto"/>
        </w:rPr>
      </w:pPr>
    </w:p>
    <w:p>
      <w:pPr>
        <w:ind w:right="59" w:firstLine="648"/>
        <w:spacing w:after="0" w:line="232" w:lineRule="auto"/>
        <w:rPr>
          <w:sz w:val="20"/>
          <w:szCs w:val="20"/>
          <w:color w:val="auto"/>
        </w:rPr>
      </w:pPr>
      <w:r>
        <w:rPr>
          <w:rFonts w:ascii="Arial" w:cs="Arial" w:eastAsia="Arial" w:hAnsi="Arial"/>
          <w:sz w:val="17"/>
          <w:szCs w:val="17"/>
          <w:color w:val="auto"/>
        </w:rPr>
        <w:t>If we or our collaborators are required to conduct additional clinical trials or other testing of any product candidates we may develop beyond those that we currently contemplate, if we or our collaborators are unable to successfully complete clinical trials of any product candidates we may develop or other testing, or if the results of these trials or tests are not positive or are only modestly positive or if there are safety concerns, we or our collaborators may:</w:t>
      </w:r>
    </w:p>
    <w:p>
      <w:pPr>
        <w:spacing w:after="0" w:line="163" w:lineRule="exact"/>
        <w:rPr>
          <w:sz w:val="20"/>
          <w:szCs w:val="20"/>
          <w:color w:val="auto"/>
        </w:rPr>
      </w:pPr>
    </w:p>
    <w:p>
      <w:pPr>
        <w:ind w:left="980" w:right="399" w:hanging="329"/>
        <w:spacing w:after="0" w:line="235"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any such product candidates we may develop or not obtain marketing approval at all;</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84" w:lineRule="exact"/>
        <w:rPr>
          <w:rFonts w:ascii="Arial" w:cs="Arial" w:eastAsia="Arial" w:hAnsi="Arial"/>
          <w:sz w:val="18"/>
          <w:szCs w:val="18"/>
          <w:color w:val="auto"/>
        </w:rPr>
      </w:pPr>
    </w:p>
    <w:p>
      <w:pPr>
        <w:ind w:left="980" w:right="559" w:hanging="329"/>
        <w:spacing w:after="0" w:line="235"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84" w:lineRule="exact"/>
        <w:rPr>
          <w:rFonts w:ascii="Arial" w:cs="Arial" w:eastAsia="Arial" w:hAnsi="Arial"/>
          <w:sz w:val="18"/>
          <w:szCs w:val="18"/>
          <w:color w:val="auto"/>
        </w:rPr>
      </w:pPr>
    </w:p>
    <w:p>
      <w:pPr>
        <w:ind w:left="980" w:right="199" w:hanging="329"/>
        <w:spacing w:after="0" w:line="203" w:lineRule="exact"/>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w:t>
      </w:r>
    </w:p>
    <w:p>
      <w:pPr>
        <w:spacing w:after="0" w:line="161" w:lineRule="exact"/>
        <w:rPr>
          <w:rFonts w:ascii="Arial" w:cs="Arial" w:eastAsia="Arial" w:hAnsi="Arial"/>
          <w:sz w:val="18"/>
          <w:szCs w:val="18"/>
          <w:color w:val="auto"/>
        </w:rPr>
      </w:pPr>
    </w:p>
    <w:p>
      <w:pPr>
        <w:ind w:left="980" w:right="359" w:hanging="329"/>
        <w:spacing w:after="0" w:line="235"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modified risk evaluation and mitigation strategy;</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hanging="329"/>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8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Product development costs will also increase if we or our collaborators experience delays in testing or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16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or analogous regulatory authorities outside the United States, or as needed to provide appropriate statistical power for a given trial. Enrollment may be particularly challenging for some of the rare genetically defined diseases we are targeting in our most advanced programs. In addition, if patients are unwilling to participate in our genome editing trials because of negative publicity from adverse events related to the biotechnology, gene therapy, or genome editing fields, competitive clinical trials for similar patient populations, clinical trials in competing products, or for other reasons, the timeline for recruiting patients, conducting studies, and obtaining regulatory approval of any product candidates we may develop may be delayed. Moreover, some of our competitors may have ongoing clinical trials for product candidates that would treat the same indications as any product candidates we may develop, and patients who would otherwise be eligible for our clinical trials may instead enroll in clinical trials of our competitors’ product candidates.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85" w:lineRule="exact"/>
        <w:rPr>
          <w:sz w:val="20"/>
          <w:szCs w:val="20"/>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perceived risks and benefits of genome editing as a therapeutic approach;</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85" w:lineRule="exact"/>
        <w:rPr>
          <w:sz w:val="20"/>
          <w:szCs w:val="20"/>
          <w:color w:val="auto"/>
        </w:rPr>
      </w:pPr>
    </w:p>
    <w:p>
      <w:pPr>
        <w:ind w:right="39" w:firstLine="648"/>
        <w:spacing w:after="0" w:line="219" w:lineRule="auto"/>
        <w:rPr>
          <w:sz w:val="20"/>
          <w:szCs w:val="20"/>
          <w:color w:val="auto"/>
        </w:rPr>
      </w:pPr>
      <w:r>
        <w:rPr>
          <w:rFonts w:ascii="Arial" w:cs="Arial" w:eastAsia="Arial" w:hAnsi="Arial"/>
          <w:sz w:val="18"/>
          <w:szCs w:val="18"/>
          <w:color w:val="auto"/>
        </w:rPr>
        <w:t>In particular, our most advanced program is focused on a rare genetically defined disease with a limited patient pool from which to draw for enrollment in a clinical trial, as the global incidence of LCA10 is estimated to be two to three per 100,000 live births worldwide. The eligibility criteria of our clinical trials will further limit the pool of available trial participants. Additionally, the process of finding and diagnosing patients may prove costly.</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8"/>
          <w:szCs w:val="18"/>
          <w:color w:val="auto"/>
        </w:rPr>
        <w:t>Our ability to successfully initiate, enroll, and complete a clinical trial in any foreign country is subject to numerous risks unique to conducting business in foreign countries, including:</w:t>
      </w:r>
    </w:p>
    <w:p>
      <w:pPr>
        <w:spacing w:after="0" w:line="162" w:lineRule="exact"/>
        <w:rPr>
          <w:sz w:val="20"/>
          <w:szCs w:val="20"/>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standard</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care for patients with a particular disease;</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locate qualified local consultants, physicians, and partners; and</w:t>
      </w:r>
    </w:p>
    <w:p>
      <w:pPr>
        <w:spacing w:after="0" w:line="184" w:lineRule="exact"/>
        <w:rPr>
          <w:rFonts w:ascii="Arial" w:cs="Arial" w:eastAsia="Arial" w:hAnsi="Arial"/>
          <w:sz w:val="18"/>
          <w:szCs w:val="18"/>
          <w:color w:val="auto"/>
        </w:rPr>
      </w:pPr>
    </w:p>
    <w:p>
      <w:pPr>
        <w:ind w:left="980" w:right="159" w:hanging="329"/>
        <w:spacing w:after="0" w:line="25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potential burden of complying with a variety of foreign laws, medical standards, and regulatory requirements, including the regulation of pharmaceutical and biotechnology products and treatment.</w:t>
      </w:r>
    </w:p>
    <w:p>
      <w:pPr>
        <w:spacing w:after="0" w:line="147" w:lineRule="exact"/>
        <w:rPr>
          <w:sz w:val="20"/>
          <w:szCs w:val="20"/>
          <w:color w:val="auto"/>
        </w:rPr>
      </w:pPr>
    </w:p>
    <w:p>
      <w:pPr>
        <w:ind w:right="139" w:firstLine="648"/>
        <w:spacing w:after="0" w:line="229" w:lineRule="auto"/>
        <w:rPr>
          <w:sz w:val="20"/>
          <w:szCs w:val="20"/>
          <w:color w:val="auto"/>
        </w:rPr>
      </w:pPr>
      <w:r>
        <w:rPr>
          <w:rFonts w:ascii="Arial" w:cs="Arial" w:eastAsia="Arial" w:hAnsi="Arial"/>
          <w:sz w:val="17"/>
          <w:szCs w:val="17"/>
          <w:color w:val="auto"/>
        </w:rPr>
        <w:t>Enrollment delays in our clinical trials may result in increased development costs for any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61" w:lineRule="exact"/>
        <w:rPr>
          <w:sz w:val="20"/>
          <w:szCs w:val="20"/>
          <w:color w:val="auto"/>
        </w:rPr>
      </w:pPr>
    </w:p>
    <w:p>
      <w:pPr>
        <w:ind w:right="439"/>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ind w:right="19" w:firstLine="648"/>
        <w:spacing w:after="0" w:line="22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medicines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164" w:lineRule="exact"/>
        <w:rPr>
          <w:sz w:val="20"/>
          <w:szCs w:val="20"/>
          <w:color w:val="auto"/>
        </w:rPr>
      </w:pPr>
    </w:p>
    <w:p>
      <w:pPr>
        <w:ind w:right="79"/>
        <w:spacing w:after="0" w:line="224" w:lineRule="auto"/>
        <w:rPr>
          <w:sz w:val="20"/>
          <w:szCs w:val="20"/>
          <w:color w:val="auto"/>
        </w:rPr>
      </w:pPr>
      <w:r>
        <w:rPr>
          <w:rFonts w:ascii="Arial" w:cs="Arial" w:eastAsia="Arial" w:hAnsi="Arial"/>
          <w:sz w:val="18"/>
          <w:szCs w:val="18"/>
          <w:b w:val="1"/>
          <w:bCs w:val="1"/>
          <w:i w:val="1"/>
          <w:iCs w:val="1"/>
          <w:color w:val="auto"/>
        </w:rPr>
        <w:t>If we are unable to successfully identify patients who are likely to benefit from therapy with any medicines we develop, or experience significant delays in doing so, we may not realize the full commercial potential of any medicines we may develop.</w:t>
      </w:r>
    </w:p>
    <w:p>
      <w:pPr>
        <w:spacing w:after="0" w:line="163" w:lineRule="exact"/>
        <w:rPr>
          <w:sz w:val="20"/>
          <w:szCs w:val="20"/>
          <w:color w:val="auto"/>
        </w:rPr>
      </w:pPr>
    </w:p>
    <w:p>
      <w:pPr>
        <w:ind w:right="59" w:firstLine="648"/>
        <w:spacing w:after="0" w:line="244" w:lineRule="auto"/>
        <w:rPr>
          <w:sz w:val="20"/>
          <w:szCs w:val="20"/>
          <w:color w:val="auto"/>
        </w:rPr>
      </w:pPr>
      <w:r>
        <w:rPr>
          <w:rFonts w:ascii="Arial" w:cs="Arial" w:eastAsia="Arial" w:hAnsi="Arial"/>
          <w:sz w:val="16"/>
          <w:szCs w:val="16"/>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For example, although Leber Congenital Amaurosis (“LCA”) can be diagnosed based on a patient’s symptoms and retinal scans, DNA samples are taken from LCA patients in order to test for the presence of the known gene mutations that cause LCA and, where possible, to identify the specific genetically defined disease, such</w:t>
      </w: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as LCA10. If we, or any third parties that we engage to assist us, are unable to successfully identify such patients, or experience delays in doing so, then:</w:t>
      </w:r>
    </w:p>
    <w:p>
      <w:pPr>
        <w:spacing w:after="0" w:line="162" w:lineRule="exact"/>
        <w:rPr>
          <w:sz w:val="20"/>
          <w:szCs w:val="20"/>
          <w:color w:val="auto"/>
        </w:rPr>
      </w:pPr>
    </w:p>
    <w:p>
      <w:pPr>
        <w:ind w:left="980" w:right="60" w:hanging="329"/>
        <w:spacing w:after="0" w:line="235"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develop any product candidates may be adversely affected if we are unable to appropriately select patients for enrollment in our clinical trials;</w:t>
      </w:r>
    </w:p>
    <w:p>
      <w:pPr>
        <w:spacing w:after="0" w:line="16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any product candidates we develop may not receive marketing approval if safe and effective use of such product candidates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1" w:lineRule="exact"/>
        <w:rPr>
          <w:rFonts w:ascii="Arial" w:cs="Arial" w:eastAsia="Arial" w:hAnsi="Arial"/>
          <w:sz w:val="18"/>
          <w:szCs w:val="18"/>
          <w:color w:val="auto"/>
        </w:rPr>
      </w:pPr>
    </w:p>
    <w:p>
      <w:pPr>
        <w:jc w:val="both"/>
        <w:ind w:left="980" w:right="160" w:hanging="329"/>
        <w:spacing w:after="0" w:line="22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163"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As a result,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163"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regulatory approval to commercialize a product candidate we may develop, and any such approval may be for a more narrow indication than we seek.</w:t>
      </w:r>
    </w:p>
    <w:p>
      <w:pPr>
        <w:spacing w:after="0" w:line="163" w:lineRule="exact"/>
        <w:rPr>
          <w:sz w:val="20"/>
          <w:szCs w:val="20"/>
          <w:color w:val="auto"/>
        </w:rPr>
      </w:pPr>
    </w:p>
    <w:p>
      <w:pPr>
        <w:ind w:right="140" w:firstLine="648"/>
        <w:spacing w:after="0" w:line="184" w:lineRule="exact"/>
        <w:rPr>
          <w:sz w:val="20"/>
          <w:szCs w:val="20"/>
          <w:color w:val="auto"/>
        </w:rPr>
      </w:pPr>
      <w:r>
        <w:rPr>
          <w:rFonts w:ascii="Arial" w:cs="Arial" w:eastAsia="Arial" w:hAnsi="Arial"/>
          <w:sz w:val="17"/>
          <w:szCs w:val="17"/>
          <w:color w:val="auto"/>
        </w:rPr>
        <w:t>We cannot commercialize a product candidate until the appropriate regulatory authorities have reviewed and approved the product candidate. Even if any product candidates we may develop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w:t>
      </w:r>
      <w:r>
        <w:rPr>
          <w:rFonts w:ascii="MS PGothic" w:cs="MS PGothic" w:eastAsia="MS PGothic" w:hAnsi="MS PGothic"/>
          <w:sz w:val="17"/>
          <w:szCs w:val="17"/>
          <w:color w:val="auto"/>
        </w:rPr>
        <w:t>‑</w:t>
      </w:r>
      <w:r>
        <w:rPr>
          <w:rFonts w:ascii="Arial" w:cs="Arial" w:eastAsia="Arial" w:hAnsi="Arial"/>
          <w:sz w:val="17"/>
          <w:szCs w:val="17"/>
          <w:color w:val="auto"/>
        </w:rPr>
        <w:t>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62"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or a REMS. These regulatory authorities may require precautions or contra</w:t>
      </w:r>
      <w:r>
        <w:rPr>
          <w:rFonts w:ascii="MS PGothic" w:cs="MS PGothic" w:eastAsia="MS PGothic" w:hAnsi="MS PGothic"/>
          <w:sz w:val="17"/>
          <w:szCs w:val="17"/>
          <w:color w:val="auto"/>
        </w:rPr>
        <w:t>‑</w:t>
      </w:r>
      <w:r>
        <w:rPr>
          <w:rFonts w:ascii="Arial" w:cs="Arial" w:eastAsia="Arial" w:hAnsi="Arial"/>
          <w:sz w:val="17"/>
          <w:szCs w:val="17"/>
          <w:color w:val="auto"/>
        </w:rPr>
        <w:t>indications with respect to conditions of use, or they may grant approval subject to the performance of costly post</w:t>
      </w:r>
      <w:r>
        <w:rPr>
          <w:rFonts w:ascii="MS PGothic" w:cs="MS PGothic" w:eastAsia="MS PGothic" w:hAnsi="MS PGothic"/>
          <w:sz w:val="17"/>
          <w:szCs w:val="17"/>
          <w:color w:val="auto"/>
        </w:rPr>
        <w:t>‑</w:t>
      </w:r>
      <w:r>
        <w:rPr>
          <w:rFonts w:ascii="Arial" w:cs="Arial" w:eastAsia="Arial" w:hAnsi="Arial"/>
          <w:sz w:val="17"/>
          <w:szCs w:val="17"/>
          <w:color w:val="auto"/>
        </w:rPr>
        <w: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16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w:t>
      </w:r>
      <w:r>
        <w:rPr>
          <w:rFonts w:ascii="MS PGothic" w:cs="MS PGothic" w:eastAsia="MS PGothic" w:hAnsi="MS PGothic"/>
          <w:sz w:val="17"/>
          <w:szCs w:val="17"/>
          <w:color w:val="auto"/>
        </w:rPr>
        <w:t>‑</w:t>
      </w:r>
      <w:r>
        <w:rPr>
          <w:rFonts w:ascii="Arial" w:cs="Arial" w:eastAsia="Arial" w:hAnsi="Arial"/>
          <w:sz w:val="17"/>
          <w:szCs w:val="17"/>
          <w:color w:val="auto"/>
        </w:rPr>
        <w:t>party payors, and others in the medical community. Ethical, social, and legal concerns about genomic medicines generally and genome editing technologies specifically could result in additional regulations restricting or prohibiting our products.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162" w:lineRule="exact"/>
        <w:rPr>
          <w:sz w:val="20"/>
          <w:szCs w:val="20"/>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139" w:hanging="329"/>
        <w:spacing w:after="0" w:line="23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limitation to our targeted patient population and limitations or warnings contained in approved labeling by the FDA or other regulatory authorities;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offer our medicines for sale at competitive prices;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84" w:lineRule="exact"/>
        <w:rPr>
          <w:rFonts w:ascii="Arial" w:cs="Arial" w:eastAsia="Arial" w:hAnsi="Arial"/>
          <w:sz w:val="18"/>
          <w:szCs w:val="18"/>
          <w:color w:val="auto"/>
        </w:rPr>
      </w:pPr>
    </w:p>
    <w:p>
      <w:pPr>
        <w:ind w:left="980" w:right="79" w:hanging="329"/>
        <w:spacing w:after="0" w:line="23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the European Commission, or other regulatory agencies;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attitudes regarding genomic medicine generally and genome editing technologies specifically;</w:t>
      </w:r>
    </w:p>
    <w:p>
      <w:pPr>
        <w:spacing w:after="0" w:line="184" w:lineRule="exact"/>
        <w:rPr>
          <w:rFonts w:ascii="Arial" w:cs="Arial" w:eastAsia="Arial" w:hAnsi="Arial"/>
          <w:sz w:val="18"/>
          <w:szCs w:val="18"/>
          <w:color w:val="auto"/>
        </w:rPr>
      </w:pPr>
    </w:p>
    <w:p>
      <w:pPr>
        <w:ind w:left="980" w:right="579" w:hanging="329"/>
        <w:spacing w:after="0" w:line="22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as well as their willingness to accept a therapeutic intervention that involves the editing of the patient’s genome;</w:t>
      </w:r>
    </w:p>
    <w:p>
      <w:pPr>
        <w:spacing w:after="0" w:line="163" w:lineRule="exact"/>
        <w:rPr>
          <w:rFonts w:ascii="Arial" w:cs="Arial" w:eastAsia="Arial" w:hAnsi="Arial"/>
          <w:sz w:val="18"/>
          <w:szCs w:val="18"/>
          <w:color w:val="auto"/>
        </w:rPr>
      </w:pPr>
    </w:p>
    <w:p>
      <w:pPr>
        <w:ind w:left="980" w:right="39" w:hanging="329"/>
        <w:spacing w:after="0" w:line="23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sufficient third</w:t>
      </w:r>
      <w:r>
        <w:rPr>
          <w:rFonts w:ascii="MS PGothic" w:cs="MS PGothic" w:eastAsia="MS PGothic" w:hAnsi="MS PGothic"/>
          <w:sz w:val="18"/>
          <w:szCs w:val="18"/>
          <w:color w:val="auto"/>
        </w:rPr>
        <w:t>‑</w:t>
      </w:r>
      <w:r>
        <w:rPr>
          <w:rFonts w:ascii="Arial" w:cs="Arial" w:eastAsia="Arial" w:hAnsi="Arial"/>
          <w:sz w:val="18"/>
          <w:szCs w:val="18"/>
          <w:color w:val="auto"/>
        </w:rPr>
        <w:t>party coverage or reimbursement;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85" w:lineRule="exact"/>
        <w:rPr>
          <w:sz w:val="20"/>
          <w:szCs w:val="20"/>
          <w:color w:val="auto"/>
        </w:rPr>
      </w:pPr>
    </w:p>
    <w:p>
      <w:pPr>
        <w:ind w:right="699" w:firstLine="648"/>
        <w:spacing w:after="0" w:line="235"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revenues, and we may not become profitable.</w:t>
      </w:r>
    </w:p>
    <w:p>
      <w:pPr>
        <w:spacing w:after="0" w:line="162" w:lineRule="exact"/>
        <w:rPr>
          <w:sz w:val="20"/>
          <w:szCs w:val="20"/>
          <w:color w:val="auto"/>
        </w:rPr>
      </w:pPr>
    </w:p>
    <w:p>
      <w:pPr>
        <w:ind w:right="99"/>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3" w:lineRule="exact"/>
        <w:rPr>
          <w:sz w:val="20"/>
          <w:szCs w:val="20"/>
          <w:color w:val="auto"/>
        </w:rPr>
      </w:pPr>
    </w:p>
    <w:p>
      <w:pPr>
        <w:ind w:right="19" w:firstLine="648"/>
        <w:spacing w:after="0" w:line="244"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59" w:lineRule="exact"/>
        <w:rPr>
          <w:sz w:val="20"/>
          <w:szCs w:val="20"/>
          <w:color w:val="auto"/>
        </w:rPr>
      </w:pPr>
    </w:p>
    <w:p>
      <w:pPr>
        <w:ind w:right="59" w:firstLine="648"/>
        <w:spacing w:after="0" w:line="241" w:lineRule="auto"/>
        <w:rPr>
          <w:sz w:val="20"/>
          <w:szCs w:val="20"/>
          <w:color w:val="auto"/>
        </w:rPr>
      </w:pPr>
      <w:r>
        <w:rPr>
          <w:rFonts w:ascii="Arial" w:cs="Arial" w:eastAsia="Arial" w:hAnsi="Arial"/>
          <w:sz w:val="16"/>
          <w:szCs w:val="16"/>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medicines on our own include:</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400" w:hanging="329"/>
        <w:spacing w:after="0" w:line="23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161" w:lineRule="exact"/>
        <w:rPr>
          <w:rFonts w:ascii="Arial" w:cs="Arial" w:eastAsia="Arial" w:hAnsi="Arial"/>
          <w:sz w:val="18"/>
          <w:szCs w:val="18"/>
          <w:color w:val="auto"/>
        </w:rPr>
      </w:pPr>
    </w:p>
    <w:p>
      <w:pPr>
        <w:ind w:left="980" w:right="300" w:hanging="329"/>
        <w:spacing w:after="0" w:line="23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medicines;</w:t>
      </w:r>
    </w:p>
    <w:p>
      <w:pPr>
        <w:spacing w:after="0" w:line="161" w:lineRule="exact"/>
        <w:rPr>
          <w:rFonts w:ascii="Arial" w:cs="Arial" w:eastAsia="Arial" w:hAnsi="Arial"/>
          <w:sz w:val="18"/>
          <w:szCs w:val="18"/>
          <w:color w:val="auto"/>
        </w:rPr>
      </w:pPr>
    </w:p>
    <w:p>
      <w:pPr>
        <w:ind w:left="980" w:right="260" w:hanging="329"/>
        <w:spacing w:after="0" w:line="23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161" w:lineRule="exact"/>
        <w:rPr>
          <w:rFonts w:ascii="Arial" w:cs="Arial" w:eastAsia="Arial" w:hAnsi="Arial"/>
          <w:sz w:val="18"/>
          <w:szCs w:val="18"/>
          <w:color w:val="auto"/>
        </w:rPr>
      </w:pPr>
    </w:p>
    <w:p>
      <w:pPr>
        <w:ind w:left="980" w:right="420" w:hanging="329"/>
        <w:spacing w:after="0" w:line="23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61" w:lineRule="exact"/>
        <w:rPr>
          <w:rFonts w:ascii="Arial" w:cs="Arial" w:eastAsia="Arial" w:hAnsi="Arial"/>
          <w:sz w:val="18"/>
          <w:szCs w:val="18"/>
          <w:color w:val="auto"/>
        </w:rPr>
      </w:pPr>
    </w:p>
    <w:p>
      <w:pPr>
        <w:ind w:left="980" w:right="500" w:hanging="329"/>
        <w:spacing w:after="0" w:line="23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commercialization organization.</w:t>
      </w:r>
    </w:p>
    <w:p>
      <w:pPr>
        <w:spacing w:after="0" w:line="196"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w:t>
      </w:r>
    </w:p>
    <w:p>
      <w:pPr>
        <w:spacing w:after="0" w:line="163"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163"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Moreover, the biotechnology and pharmaceutical industries, including in the gene therapy and genome editing fields, are characterized by rapidly advancing technologies, intense competition, and a strong emphasis on intellectual property and proprietary products.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163"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Our platform and product focus is the development of therapies using CRISPR technology. Companies developing CRISPR technology or therapies using CRISPR technology include Caribou Biosciences, Casebia Therapeutics, CRISPR Therapeutics, ERS Genomics, Intellia Therapeutics, and TRACR Hematology. There are additional companies developing therapies using additional genome editing technologies, including transcription activator-like effector nucleases, meganucleases, Mega</w:t>
      </w:r>
      <w:r>
        <w:rPr>
          <w:rFonts w:ascii="MS PGothic" w:cs="MS PGothic" w:eastAsia="MS PGothic" w:hAnsi="MS PGothic"/>
          <w:sz w:val="17"/>
          <w:szCs w:val="17"/>
          <w:color w:val="auto"/>
        </w:rPr>
        <w:t>‑</w:t>
      </w:r>
      <w:r>
        <w:rPr>
          <w:rFonts w:ascii="Arial" w:cs="Arial" w:eastAsia="Arial" w:hAnsi="Arial"/>
          <w:sz w:val="17"/>
          <w:szCs w:val="17"/>
          <w:color w:val="auto"/>
        </w:rPr>
        <w:t>TALs, and zinc finger nucleases. These companies include bluebird bio, Cellectis, Poseida Therapeutics, Precision Biosciences, and Sangamo Therapeutics. Additional companies developing gene therapy products include Abeona Therapeutics, Adverum Biotechnologies, AGTC Therapeutics, Audentes Therapeutics, Exonic Therapeutics, Homology Medicines, Nightstar Therapeutics, REGENXBIO, Spark Therapeutics, uniQure, and Voyager Therapeutics. In addition to competition from other genome editing therapies or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gene therapies, any products we may develop may also face competition from other types of therapies, such as small molecule, antibody, or protein therapies.</w:t>
      </w:r>
    </w:p>
    <w:p>
      <w:pPr>
        <w:spacing w:after="0" w:line="162" w:lineRule="exact"/>
        <w:rPr>
          <w:sz w:val="20"/>
          <w:szCs w:val="20"/>
          <w:color w:val="auto"/>
        </w:rPr>
      </w:pPr>
    </w:p>
    <w:p>
      <w:pPr>
        <w:ind w:right="40" w:firstLine="648"/>
        <w:spacing w:after="0" w:line="179" w:lineRule="exact"/>
        <w:rPr>
          <w:sz w:val="20"/>
          <w:szCs w:val="20"/>
          <w:color w:val="auto"/>
        </w:rPr>
      </w:pPr>
      <w:r>
        <w:rPr>
          <w:rFonts w:ascii="Arial" w:cs="Arial" w:eastAsia="Arial" w:hAnsi="Arial"/>
          <w:sz w:val="16"/>
          <w:szCs w:val="16"/>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w:t>
      </w:r>
      <w:r>
        <w:rPr>
          <w:rFonts w:ascii="MS PGothic" w:cs="MS PGothic" w:eastAsia="MS PGothic" w:hAnsi="MS PGothic"/>
          <w:sz w:val="16"/>
          <w:szCs w:val="16"/>
          <w:color w:val="auto"/>
        </w:rPr>
        <w:t>‑</w:t>
      </w:r>
      <w:r>
        <w:rPr>
          <w:rFonts w:ascii="Arial" w:cs="Arial" w:eastAsia="Arial" w:hAnsi="Arial"/>
          <w:sz w:val="16"/>
          <w:szCs w:val="16"/>
          <w:color w:val="auto"/>
        </w:rPr>
        <w:t>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w:t>
      </w:r>
      <w:r>
        <w:rPr>
          <w:rFonts w:ascii="MS PGothic" w:cs="MS PGothic" w:eastAsia="MS PGothic" w:hAnsi="MS PGothic"/>
          <w:sz w:val="16"/>
          <w:szCs w:val="16"/>
          <w:color w:val="auto"/>
        </w:rPr>
        <w:t>‑</w:t>
      </w:r>
      <w:r>
        <w:rPr>
          <w:rFonts w:ascii="Arial" w:cs="Arial" w:eastAsia="Arial" w:hAnsi="Arial"/>
          <w:sz w:val="16"/>
          <w:szCs w:val="16"/>
          <w:color w:val="auto"/>
        </w:rPr>
        <w:t>competitive.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170"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spacing w:after="0" w:line="163" w:lineRule="exact"/>
        <w:rPr>
          <w:sz w:val="20"/>
          <w:szCs w:val="20"/>
          <w:color w:val="auto"/>
        </w:rPr>
      </w:pPr>
    </w:p>
    <w:p>
      <w:pPr>
        <w:ind w:right="200"/>
        <w:spacing w:after="0" w:line="203" w:lineRule="exact"/>
        <w:rPr>
          <w:sz w:val="20"/>
          <w:szCs w:val="20"/>
          <w:color w:val="auto"/>
        </w:rPr>
      </w:pPr>
      <w:r>
        <w:rPr>
          <w:rFonts w:ascii="Arial" w:cs="Arial" w:eastAsia="Arial" w:hAnsi="Arial"/>
          <w:sz w:val="15"/>
          <w:szCs w:val="15"/>
          <w:b w:val="1"/>
          <w:bCs w:val="1"/>
          <w:i w:val="1"/>
          <w:iCs w:val="1"/>
          <w:color w:val="auto"/>
        </w:rPr>
        <w:t>Even if we are able to commercialize any product candidates, such products may become subject to unfavorable pricing regulations,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reimbursement practices, or healthcare reform initiatives, which would harm our business.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any product candidates we may develop obtain marketing approval.</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private health insurers and health maintenance organizations, decide which medications they will pay for and establish reimbursement levels. A primary trend in the U.S. healthcare industry and elsewhere is cost containment.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medications.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drug companies provide them with predetermined discounts from list prices and are challenging the prices charged for medical products. We cannot be sure that reimbursement will be available for any medicine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w:t>
      </w:r>
      <w:r>
        <w:rPr>
          <w:rFonts w:ascii="MS PGothic" w:cs="MS PGothic" w:eastAsia="MS PGothic" w:hAnsi="MS PGothic"/>
          <w:sz w:val="17"/>
          <w:szCs w:val="17"/>
          <w:color w:val="auto"/>
        </w:rPr>
        <w:t>‑</w:t>
      </w:r>
      <w:r>
        <w:rPr>
          <w:rFonts w:ascii="Arial" w:cs="Arial" w:eastAsia="Arial" w:hAnsi="Arial"/>
          <w:sz w:val="17"/>
          <w:szCs w:val="17"/>
          <w:color w:val="auto"/>
        </w:rPr>
        <w:t>party payors often rely upon Medicare coverage policy and payment limitations in setting their own reimbursement policies. Our inability to promptly obtain coverage and profitable payment rates from both government</w:t>
      </w:r>
      <w:r>
        <w:rPr>
          <w:rFonts w:ascii="MS PGothic" w:cs="MS PGothic" w:eastAsia="MS PGothic" w:hAnsi="MS PGothic"/>
          <w:sz w:val="17"/>
          <w:szCs w:val="17"/>
          <w:color w:val="auto"/>
        </w:rPr>
        <w:t>‑</w:t>
      </w:r>
      <w:r>
        <w:rPr>
          <w:rFonts w:ascii="Arial" w:cs="Arial" w:eastAsia="Arial" w:hAnsi="Arial"/>
          <w:sz w:val="17"/>
          <w:szCs w:val="17"/>
          <w:color w:val="auto"/>
        </w:rPr>
        <w:t>funded and private payors for any approved medicines we may develop could have a material adverse effect on our operating results, our ability to raise capital needed to commercialize medicines, and our overall financial condition.</w:t>
      </w:r>
    </w:p>
    <w:p>
      <w:pPr>
        <w:spacing w:after="0" w:line="16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to patients) is also important. Inadequate reimbursement for such services may lead to physician resistance and adversely affect our ability to market or sell our products. In addition, it may be necessary for us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We expect the cost of a single administration of genomic medicine products,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health maintenance, managed care, pharmacy benefit, and similar healthcare management organizations, or will be reimbursed by government authorities, private health coverage insurers,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 Coverage and reimbursement by a third</w:t>
      </w:r>
      <w:r>
        <w:rPr>
          <w:rFonts w:ascii="MS PGothic" w:cs="MS PGothic" w:eastAsia="MS PGothic" w:hAnsi="MS PGothic"/>
          <w:sz w:val="17"/>
          <w:szCs w:val="17"/>
          <w:color w:val="auto"/>
        </w:rPr>
        <w:t>‑</w:t>
      </w:r>
      <w:r>
        <w:rPr>
          <w:rFonts w:ascii="Arial" w:cs="Arial" w:eastAsia="Arial" w:hAnsi="Arial"/>
          <w:sz w:val="17"/>
          <w:szCs w:val="17"/>
          <w:color w:val="auto"/>
        </w:rPr>
        <w:t>party payor may depend upon several factors, including the third</w:t>
      </w:r>
      <w:r>
        <w:rPr>
          <w:rFonts w:ascii="MS PGothic" w:cs="MS PGothic" w:eastAsia="MS PGothic" w:hAnsi="MS PGothic"/>
          <w:sz w:val="17"/>
          <w:szCs w:val="17"/>
          <w:color w:val="auto"/>
        </w:rPr>
        <w:t>‑</w:t>
      </w:r>
      <w:r>
        <w:rPr>
          <w:rFonts w:ascii="Arial" w:cs="Arial" w:eastAsia="Arial" w:hAnsi="Arial"/>
          <w:sz w:val="17"/>
          <w:szCs w:val="17"/>
          <w:color w:val="auto"/>
        </w:rPr>
        <w:t>party payor’s determination that use of a product is:</w:t>
      </w:r>
    </w:p>
    <w:p>
      <w:pPr>
        <w:spacing w:after="0" w:line="168" w:lineRule="exact"/>
        <w:rPr>
          <w:sz w:val="20"/>
          <w:szCs w:val="20"/>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85" w:lineRule="exact"/>
        <w:rPr>
          <w:sz w:val="20"/>
          <w:szCs w:val="20"/>
          <w:color w:val="auto"/>
        </w:rPr>
      </w:pPr>
    </w:p>
    <w:p>
      <w:pPr>
        <w:ind w:right="20" w:firstLine="648"/>
        <w:spacing w:after="0" w:line="187" w:lineRule="exact"/>
        <w:rPr>
          <w:sz w:val="20"/>
          <w:szCs w:val="20"/>
          <w:color w:val="auto"/>
        </w:rPr>
      </w:pPr>
      <w:r>
        <w:rPr>
          <w:rFonts w:ascii="Arial" w:cs="Arial" w:eastAsia="Arial" w:hAnsi="Arial"/>
          <w:sz w:val="17"/>
          <w:szCs w:val="17"/>
          <w:color w:val="auto"/>
        </w:rPr>
        <w:t>Obtaining coverage and reimbursement for a product from third</w:t>
      </w:r>
      <w:r>
        <w:rPr>
          <w:rFonts w:ascii="MS PGothic" w:cs="MS PGothic" w:eastAsia="MS PGothic" w:hAnsi="MS PGothic"/>
          <w:sz w:val="17"/>
          <w:szCs w:val="17"/>
          <w:color w:val="auto"/>
        </w:rPr>
        <w:t>‑</w:t>
      </w:r>
      <w:r>
        <w:rPr>
          <w:rFonts w:ascii="Arial" w:cs="Arial" w:eastAsia="Arial" w:hAnsi="Arial"/>
          <w:sz w:val="17"/>
          <w:szCs w:val="17"/>
          <w:color w:val="auto"/>
        </w:rPr>
        <w:t>party payors is a time</w:t>
      </w:r>
      <w:r>
        <w:rPr>
          <w:rFonts w:ascii="MS PGothic" w:cs="MS PGothic" w:eastAsia="MS PGothic" w:hAnsi="MS PGothic"/>
          <w:sz w:val="17"/>
          <w:szCs w:val="17"/>
          <w:color w:val="auto"/>
        </w:rPr>
        <w:t>‑</w:t>
      </w:r>
      <w:r>
        <w:rPr>
          <w:rFonts w:ascii="Arial" w:cs="Arial" w:eastAsia="Arial" w:hAnsi="Arial"/>
          <w:sz w:val="17"/>
          <w:szCs w:val="17"/>
          <w:color w:val="auto"/>
        </w:rPr>
        <w:t>consuming and costly process that could require us to provide to the payor supporting scientific, clinical, and cost</w:t>
      </w:r>
      <w:r>
        <w:rPr>
          <w:rFonts w:ascii="MS PGothic" w:cs="MS PGothic" w:eastAsia="MS PGothic" w:hAnsi="MS PGothic"/>
          <w:sz w:val="17"/>
          <w:szCs w:val="17"/>
          <w:color w:val="auto"/>
        </w:rPr>
        <w:t>‑</w:t>
      </w:r>
      <w:r>
        <w:rPr>
          <w:rFonts w:ascii="Arial" w:cs="Arial" w:eastAsia="Arial" w:hAnsi="Arial"/>
          <w:sz w:val="17"/>
          <w:szCs w:val="17"/>
          <w:color w:val="auto"/>
        </w:rPr>
        <w:t>effectiveness data. There is significant uncertainty related to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59"/>
        <w:spacing w:after="0" w:line="235" w:lineRule="auto"/>
        <w:rPr>
          <w:sz w:val="20"/>
          <w:szCs w:val="20"/>
          <w:color w:val="auto"/>
        </w:rPr>
      </w:pPr>
      <w:r>
        <w:rPr>
          <w:rFonts w:ascii="Arial" w:cs="Arial" w:eastAsia="Arial" w:hAnsi="Arial"/>
          <w:sz w:val="18"/>
          <w:szCs w:val="18"/>
          <w:color w:val="auto"/>
        </w:rPr>
        <w:t>commercialize any product candidates we may develop. Even if coverage is provided, the approved reimbursement amount may not be adequate to realize a sufficient return on our investment.</w:t>
      </w:r>
    </w:p>
    <w:p>
      <w:pPr>
        <w:spacing w:after="0" w:line="162" w:lineRule="exact"/>
        <w:rPr>
          <w:sz w:val="20"/>
          <w:szCs w:val="20"/>
          <w:color w:val="auto"/>
        </w:rPr>
      </w:pPr>
    </w:p>
    <w:p>
      <w:pPr>
        <w:ind w:right="119" w:firstLine="648"/>
        <w:spacing w:after="0" w:line="219" w:lineRule="auto"/>
        <w:rPr>
          <w:sz w:val="20"/>
          <w:szCs w:val="20"/>
          <w:color w:val="auto"/>
        </w:rPr>
      </w:pPr>
      <w:r>
        <w:rPr>
          <w:rFonts w:ascii="Arial" w:cs="Arial" w:eastAsia="Arial" w:hAnsi="Arial"/>
          <w:sz w:val="18"/>
          <w:szCs w:val="18"/>
          <w:color w:val="auto"/>
        </w:rPr>
        <w:t>Moreover, the downward pressure on healthcare costs in general, particularly prescription drugs and surgical procedures and other treatments, has become intense. As a result, increasingly high barriers are being erected to the entry of new products such as ours. If we are unable to obtain adequate levels of reimbursement, our ability to successfully market and sell any product candidates we may develop will be harmed.</w:t>
      </w:r>
    </w:p>
    <w:p>
      <w:pPr>
        <w:spacing w:after="0" w:line="163" w:lineRule="exact"/>
        <w:rPr>
          <w:sz w:val="20"/>
          <w:szCs w:val="20"/>
          <w:color w:val="auto"/>
        </w:rPr>
      </w:pPr>
    </w:p>
    <w:p>
      <w:pPr>
        <w:ind w:right="39"/>
        <w:spacing w:after="0" w:line="219" w:lineRule="auto"/>
        <w:rPr>
          <w:sz w:val="20"/>
          <w:szCs w:val="20"/>
          <w:color w:val="auto"/>
        </w:rPr>
      </w:pPr>
      <w:r>
        <w:rPr>
          <w:rFonts w:ascii="Arial" w:cs="Arial" w:eastAsia="Arial" w:hAnsi="Arial"/>
          <w:sz w:val="18"/>
          <w:szCs w:val="18"/>
          <w:b w:val="1"/>
          <w:bCs w:val="1"/>
          <w:i w:val="1"/>
          <w:iCs w:val="1"/>
          <w:color w:val="auto"/>
        </w:rPr>
        <w:t>If the market opportunities for any product candidates we may develop are smaller than we believe they are, our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163" w:lineRule="exact"/>
        <w:rPr>
          <w:sz w:val="20"/>
          <w:szCs w:val="20"/>
          <w:color w:val="auto"/>
        </w:rPr>
      </w:pPr>
    </w:p>
    <w:p>
      <w:pPr>
        <w:ind w:right="39" w:firstLine="648"/>
        <w:spacing w:after="0" w:line="239" w:lineRule="auto"/>
        <w:rPr>
          <w:sz w:val="20"/>
          <w:szCs w:val="20"/>
          <w:color w:val="auto"/>
        </w:rPr>
      </w:pPr>
      <w:r>
        <w:rPr>
          <w:rFonts w:ascii="Arial" w:cs="Arial" w:eastAsia="Arial" w:hAnsi="Arial"/>
          <w:sz w:val="16"/>
          <w:szCs w:val="16"/>
          <w:color w:val="auto"/>
        </w:rPr>
        <w:t>We focus our research and product development on treatments for rare genetically defined diseases. 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products, or may become increasingly difficult to identify or gain access to, all of which would adversely affect our business, financial condition, results of operations, and prospects.</w:t>
      </w:r>
    </w:p>
    <w:p>
      <w:pPr>
        <w:spacing w:after="0" w:line="163"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162" w:lineRule="exact"/>
        <w:rPr>
          <w:sz w:val="20"/>
          <w:szCs w:val="20"/>
          <w:color w:val="auto"/>
        </w:rPr>
      </w:pPr>
    </w:p>
    <w:p>
      <w:pPr>
        <w:ind w:right="59" w:firstLine="648"/>
        <w:spacing w:after="0" w:line="249" w:lineRule="auto"/>
        <w:rPr>
          <w:sz w:val="20"/>
          <w:szCs w:val="20"/>
          <w:color w:val="auto"/>
        </w:rPr>
      </w:pPr>
      <w:r>
        <w:rPr>
          <w:rFonts w:ascii="Arial" w:cs="Arial" w:eastAsia="Arial" w:hAnsi="Arial"/>
          <w:sz w:val="16"/>
          <w:szCs w:val="16"/>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155" w:lineRule="exact"/>
        <w:rPr>
          <w:sz w:val="20"/>
          <w:szCs w:val="20"/>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any product candidates or medicines that we may develop;</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medicines that we may develop.</w:t>
      </w:r>
    </w:p>
    <w:p>
      <w:pPr>
        <w:spacing w:after="0" w:line="185" w:lineRule="exact"/>
        <w:rPr>
          <w:sz w:val="20"/>
          <w:szCs w:val="20"/>
          <w:color w:val="auto"/>
        </w:rPr>
      </w:pPr>
    </w:p>
    <w:p>
      <w:pPr>
        <w:ind w:right="299" w:firstLine="648"/>
        <w:spacing w:after="0" w:line="232"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163" w:lineRule="exact"/>
        <w:rPr>
          <w:sz w:val="20"/>
          <w:szCs w:val="20"/>
          <w:color w:val="auto"/>
        </w:rPr>
      </w:pPr>
    </w:p>
    <w:p>
      <w:pPr>
        <w:jc w:val="both"/>
        <w:ind w:right="119"/>
        <w:spacing w:after="0" w:line="224"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3" w:lineRule="exact"/>
        <w:rPr>
          <w:sz w:val="20"/>
          <w:szCs w:val="20"/>
          <w:color w:val="auto"/>
        </w:rPr>
      </w:pPr>
    </w:p>
    <w:p>
      <w:pPr>
        <w:ind w:right="499" w:firstLine="648"/>
        <w:spacing w:after="0" w:line="289" w:lineRule="auto"/>
        <w:rPr>
          <w:sz w:val="20"/>
          <w:szCs w:val="20"/>
          <w:color w:val="auto"/>
        </w:rPr>
      </w:pPr>
      <w:r>
        <w:rPr>
          <w:rFonts w:ascii="Arial" w:cs="Arial" w:eastAsia="Arial" w:hAnsi="Arial"/>
          <w:sz w:val="16"/>
          <w:szCs w:val="16"/>
          <w:color w:val="auto"/>
        </w:rPr>
        <w:t>We and any contract manufacturers and suppliers we engage are subject to numerous federal, state, and local environmental, health, and safety laws, regulations, and permitting requirements, including those governing laboratory</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182" w:lineRule="exact"/>
        <w:rPr>
          <w:sz w:val="20"/>
          <w:szCs w:val="20"/>
          <w:color w:val="auto"/>
        </w:rPr>
      </w:pPr>
      <w:r>
        <w:rPr>
          <w:rFonts w:ascii="Arial" w:cs="Arial" w:eastAsia="Arial" w:hAnsi="Arial"/>
          <w:sz w:val="17"/>
          <w:szCs w:val="17"/>
          <w:color w:val="auto"/>
        </w:rPr>
        <w:t>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w:t>
      </w:r>
      <w:r>
        <w:rPr>
          <w:rFonts w:ascii="MS PGothic" w:cs="MS PGothic" w:eastAsia="MS PGothic" w:hAnsi="MS PGothic"/>
          <w:sz w:val="17"/>
          <w:szCs w:val="17"/>
          <w:color w:val="auto"/>
        </w:rPr>
        <w:t>‑</w:t>
      </w:r>
      <w:r>
        <w:rPr>
          <w:rFonts w:ascii="Arial" w:cs="Arial" w:eastAsia="Arial" w:hAnsi="Arial"/>
          <w:sz w:val="17"/>
          <w:szCs w:val="17"/>
          <w:color w:val="auto"/>
        </w:rPr>
        <w:t>party facilities. We also could incur significant costs associated with civil or criminal fines and penalties.</w:t>
      </w:r>
    </w:p>
    <w:p>
      <w:pPr>
        <w:spacing w:after="0" w:line="16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commercial general liability and umbrella liability policies (under which we currently have an aggregate of $7.0 million in coverage)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7"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59" w:lineRule="exact"/>
        <w:rPr>
          <w:sz w:val="20"/>
          <w:szCs w:val="20"/>
          <w:color w:val="auto"/>
        </w:rPr>
      </w:pPr>
    </w:p>
    <w:p>
      <w:pPr>
        <w:ind w:right="300" w:firstLine="648"/>
        <w:spacing w:after="0" w:line="189" w:lineRule="exact"/>
        <w:rPr>
          <w:sz w:val="20"/>
          <w:szCs w:val="20"/>
          <w:color w:val="auto"/>
        </w:rPr>
      </w:pPr>
      <w:r>
        <w:rPr>
          <w:rFonts w:ascii="Arial" w:cs="Arial" w:eastAsia="Arial" w:hAnsi="Arial"/>
          <w:sz w:val="18"/>
          <w:szCs w:val="18"/>
          <w:color w:val="auto"/>
        </w:rPr>
        <w:t>Any third</w:t>
      </w:r>
      <w:r>
        <w:rPr>
          <w:rFonts w:ascii="MS PGothic" w:cs="MS PGothic" w:eastAsia="MS PGothic" w:hAnsi="MS PGothic"/>
          <w:sz w:val="18"/>
          <w:szCs w:val="18"/>
          <w:color w:val="auto"/>
        </w:rPr>
        <w:t>‑</w:t>
      </w:r>
      <w:r>
        <w:rPr>
          <w:rFonts w:ascii="Arial" w:cs="Arial" w:eastAsia="Arial" w:hAnsi="Arial"/>
          <w:sz w:val="18"/>
          <w:szCs w:val="18"/>
          <w:color w:val="auto"/>
        </w:rPr>
        <w:t>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63" w:lineRule="exact"/>
        <w:rPr>
          <w:sz w:val="20"/>
          <w:szCs w:val="20"/>
          <w:color w:val="auto"/>
        </w:rPr>
      </w:pPr>
    </w:p>
    <w:p>
      <w:pPr>
        <w:jc w:val="both"/>
        <w:ind w:right="140"/>
        <w:spacing w:after="0" w:line="224" w:lineRule="auto"/>
        <w:rPr>
          <w:sz w:val="20"/>
          <w:szCs w:val="20"/>
          <w:color w:val="auto"/>
        </w:rPr>
      </w:pPr>
      <w:r>
        <w:rPr>
          <w:rFonts w:ascii="Arial" w:cs="Arial" w:eastAsia="Arial" w:hAnsi="Arial"/>
          <w:sz w:val="18"/>
          <w:szCs w:val="18"/>
          <w:b w:val="1"/>
          <w:bCs w:val="1"/>
          <w:i w:val="1"/>
          <w:iCs w:val="1"/>
          <w:color w:val="auto"/>
        </w:rPr>
        <w:t>Genomic medicines are novel, and any product candidates we develop may be complex and difficult to manufacture. We could experience production problems that result in delays in our development or commercialization programs, limit the supply of our products, or otherwise harm our business.</w:t>
      </w:r>
    </w:p>
    <w:p>
      <w:pPr>
        <w:spacing w:after="0" w:line="163"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7"/>
          <w:szCs w:val="17"/>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may not be sufficient to ensure that the product will perform in the intended manner. Problems with the manufacturing process, even minor deviations from the normal process, could result in product defects or manufacturing failures that result in lot failures, product recalls, product liability claims, or insufficient inventory. If we successfully develop product candidates, we may encounter problems achieving adequate quantities and quality of clinical</w:t>
      </w:r>
      <w:r>
        <w:rPr>
          <w:rFonts w:ascii="MS PGothic" w:cs="MS PGothic" w:eastAsia="MS PGothic" w:hAnsi="MS PGothic"/>
          <w:sz w:val="17"/>
          <w:szCs w:val="17"/>
          <w:color w:val="auto"/>
        </w:rPr>
        <w:t>‑</w:t>
      </w:r>
      <w:r>
        <w:rPr>
          <w:rFonts w:ascii="Arial" w:cs="Arial" w:eastAsia="Arial" w:hAnsi="Arial"/>
          <w:sz w:val="17"/>
          <w:szCs w:val="17"/>
          <w:color w:val="auto"/>
        </w:rPr>
        <w:t>grade materials that meet FDA, EMA or other comparable applicable foreign standards or specifications with consistent and acceptable production yields and costs.</w:t>
      </w:r>
    </w:p>
    <w:p>
      <w:pPr>
        <w:spacing w:after="0" w:line="162"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168" w:lineRule="exact"/>
        <w:rPr>
          <w:sz w:val="20"/>
          <w:szCs w:val="20"/>
          <w:color w:val="auto"/>
        </w:rPr>
      </w:pPr>
    </w:p>
    <w:p>
      <w:pPr>
        <w:ind w:right="140" w:firstLine="648"/>
        <w:spacing w:after="0" w:line="189" w:lineRule="exact"/>
        <w:rPr>
          <w:sz w:val="20"/>
          <w:szCs w:val="20"/>
          <w:color w:val="auto"/>
        </w:rPr>
      </w:pPr>
      <w:r>
        <w:rPr>
          <w:rFonts w:ascii="Arial" w:cs="Arial" w:eastAsia="Arial" w:hAnsi="Arial"/>
          <w:sz w:val="16"/>
          <w:szCs w:val="16"/>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w:t>
      </w:r>
      <w:r>
        <w:rPr>
          <w:rFonts w:ascii="MS PGothic" w:cs="MS PGothic" w:eastAsia="MS PGothic" w:hAnsi="MS PGothic"/>
          <w:sz w:val="16"/>
          <w:szCs w:val="16"/>
          <w:color w:val="auto"/>
        </w:rPr>
        <w:t>‑</w:t>
      </w:r>
      <w:r>
        <w:rPr>
          <w:rFonts w:ascii="Arial" w:cs="Arial" w:eastAsia="Arial" w:hAnsi="Arial"/>
          <w:sz w:val="16"/>
          <w:szCs w:val="16"/>
          <w:color w:val="auto"/>
        </w:rPr>
        <w:t>party manufacturing process or facilities also could restrict our ability to meet market demand for any products we develop and commercialize.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b w:val="1"/>
          <w:bCs w:val="1"/>
          <w:i w:val="1"/>
          <w:iCs w:val="1"/>
          <w:color w:val="auto"/>
        </w:rPr>
        <w:t>We expect to depend on collaborations with third parties for the research, development, and commercialization of certain of the product candidates we may develop or for development of certain of our research programs. If any such collaborations are not successful, we may not be able to capitalize on the market potential of those product candidates or research programs.</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We anticipate seeking third</w:t>
      </w:r>
      <w:r>
        <w:rPr>
          <w:rFonts w:ascii="MS PGothic" w:cs="MS PGothic" w:eastAsia="MS PGothic" w:hAnsi="MS PGothic"/>
          <w:sz w:val="16"/>
          <w:szCs w:val="16"/>
          <w:color w:val="auto"/>
        </w:rPr>
        <w:t>‑</w:t>
      </w:r>
      <w:r>
        <w:rPr>
          <w:rFonts w:ascii="Arial" w:cs="Arial" w:eastAsia="Arial" w:hAnsi="Arial"/>
          <w:sz w:val="16"/>
          <w:szCs w:val="16"/>
          <w:color w:val="auto"/>
        </w:rPr>
        <w:t>party collaborators for the research, development, and commercialization of certain of the product candidates we may develop or for development of certain of our research programs. For example, in May 2015, we entered into a collaboration with Juno Therapeutics focused on research and development of engineered T cell immunotherapies that utilize or incorporate our genome editing technologies, and, in March 2017, we entered into a strategic alliance with Allergan focused on discovering, developing, and commercializing new gene editing medicines for a range of ocular disorders. Our likely collaborators for any other collaboration arrangements include large and mid</w:t>
      </w:r>
      <w:r>
        <w:rPr>
          <w:rFonts w:ascii="MS PGothic" w:cs="MS PGothic" w:eastAsia="MS PGothic" w:hAnsi="MS PGothic"/>
          <w:sz w:val="16"/>
          <w:szCs w:val="16"/>
          <w:color w:val="auto"/>
        </w:rPr>
        <w:t>‑</w:t>
      </w:r>
      <w:r>
        <w:rPr>
          <w:rFonts w:ascii="Arial" w:cs="Arial" w:eastAsia="Arial" w:hAnsi="Arial"/>
          <w:sz w:val="16"/>
          <w:szCs w:val="16"/>
          <w:color w:val="auto"/>
        </w:rPr>
        <w:t>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any product candidates we may seek to develop with them and, in the case of our strategic alliance with Allergan, whether they exercise an option to commercialize a product.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89"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Collaborations involving our research programs or any product candidates we may develop, including our collaboration with Juno Therapeutics, and alliance arrangements we may enter into under which our research programs may be involved and potential product candidates may be developed, including our strategic alliance with Allergan, pose the following risks to us:</w:t>
      </w:r>
    </w:p>
    <w:p>
      <w:pPr>
        <w:spacing w:after="0" w:line="95" w:lineRule="exact"/>
        <w:rPr>
          <w:sz w:val="20"/>
          <w:szCs w:val="20"/>
          <w:color w:val="auto"/>
        </w:rPr>
      </w:pPr>
    </w:p>
    <w:p>
      <w:pPr>
        <w:ind w:left="980" w:right="280" w:hanging="329"/>
        <w:spacing w:after="0" w:line="235"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94" w:lineRule="exact"/>
        <w:rPr>
          <w:rFonts w:ascii="Arial" w:cs="Arial" w:eastAsia="Arial" w:hAnsi="Arial"/>
          <w:sz w:val="18"/>
          <w:szCs w:val="18"/>
          <w:color w:val="auto"/>
        </w:rPr>
      </w:pPr>
    </w:p>
    <w:p>
      <w:pPr>
        <w:ind w:left="980" w:right="160" w:hanging="329"/>
        <w:spacing w:after="0" w:line="219"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5" w:lineRule="exact"/>
        <w:rPr>
          <w:rFonts w:ascii="Arial" w:cs="Arial" w:eastAsia="Arial" w:hAnsi="Arial"/>
          <w:sz w:val="18"/>
          <w:szCs w:val="18"/>
          <w:color w:val="auto"/>
        </w:rPr>
      </w:pPr>
    </w:p>
    <w:p>
      <w:pPr>
        <w:ind w:left="980" w:right="200" w:hanging="329"/>
        <w:spacing w:after="0" w:line="22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260" w:hanging="329"/>
        <w:spacing w:after="0" w:line="21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95" w:lineRule="exact"/>
        <w:rPr>
          <w:rFonts w:ascii="Arial" w:cs="Arial" w:eastAsia="Arial" w:hAnsi="Arial"/>
          <w:sz w:val="18"/>
          <w:szCs w:val="18"/>
          <w:color w:val="auto"/>
        </w:rPr>
      </w:pPr>
    </w:p>
    <w:p>
      <w:pPr>
        <w:ind w:left="980" w:right="500" w:hanging="329"/>
        <w:spacing w:after="0" w:line="235"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medicines may not commit sufficient resources to the marketing and distribution of such medicine or medicines.</w:t>
      </w:r>
    </w:p>
    <w:p>
      <w:pPr>
        <w:spacing w:after="0" w:line="94" w:lineRule="exact"/>
        <w:rPr>
          <w:rFonts w:ascii="Arial" w:cs="Arial" w:eastAsia="Arial" w:hAnsi="Arial"/>
          <w:sz w:val="18"/>
          <w:szCs w:val="18"/>
          <w:color w:val="auto"/>
        </w:rPr>
      </w:pPr>
    </w:p>
    <w:p>
      <w:pPr>
        <w:ind w:left="980" w:right="380" w:hanging="329"/>
        <w:spacing w:after="0" w:line="22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63" w:lineRule="exact"/>
        <w:rPr>
          <w:rFonts w:ascii="Arial" w:cs="Arial" w:eastAsia="Arial" w:hAnsi="Arial"/>
          <w:sz w:val="18"/>
          <w:szCs w:val="18"/>
          <w:color w:val="auto"/>
        </w:rPr>
      </w:pPr>
    </w:p>
    <w:p>
      <w:pPr>
        <w:ind w:left="980" w:right="180" w:hanging="329"/>
        <w:spacing w:after="0" w:line="22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63" w:lineRule="exact"/>
        <w:rPr>
          <w:rFonts w:ascii="Arial" w:cs="Arial" w:eastAsia="Arial" w:hAnsi="Arial"/>
          <w:sz w:val="18"/>
          <w:szCs w:val="18"/>
          <w:color w:val="auto"/>
        </w:rPr>
      </w:pPr>
    </w:p>
    <w:p>
      <w:pPr>
        <w:ind w:left="980" w:right="540" w:hanging="329"/>
        <w:spacing w:after="0" w:line="235"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61" w:lineRule="exact"/>
        <w:rPr>
          <w:rFonts w:ascii="Arial" w:cs="Arial" w:eastAsia="Arial" w:hAnsi="Arial"/>
          <w:sz w:val="18"/>
          <w:szCs w:val="18"/>
          <w:color w:val="auto"/>
        </w:rPr>
      </w:pPr>
    </w:p>
    <w:p>
      <w:pPr>
        <w:ind w:left="980" w:right="520" w:hanging="329"/>
        <w:spacing w:after="0" w:line="235"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61" w:lineRule="exact"/>
        <w:rPr>
          <w:rFonts w:ascii="Arial" w:cs="Arial" w:eastAsia="Arial" w:hAnsi="Arial"/>
          <w:sz w:val="18"/>
          <w:szCs w:val="18"/>
          <w:color w:val="auto"/>
        </w:rPr>
      </w:pPr>
    </w:p>
    <w:p>
      <w:pPr>
        <w:ind w:left="980" w:right="80" w:hanging="329"/>
        <w:spacing w:after="0" w:line="21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63"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as the case may be.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w:t>
      </w:r>
    </w:p>
    <w:p>
      <w:pPr>
        <w:spacing w:after="0" w:line="162"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We may in the future decide to collaborate with pharmaceutical and biotechnology companies for the development and potential commercialization of any product candidates we may develop. These relationships, or those like them, may require us to incur non</w:t>
      </w:r>
      <w:r>
        <w:rPr>
          <w:rFonts w:ascii="MS PGothic" w:cs="MS PGothic" w:eastAsia="MS PGothic" w:hAnsi="MS PGothic"/>
          <w:sz w:val="16"/>
          <w:szCs w:val="16"/>
          <w:color w:val="auto"/>
        </w:rPr>
        <w:t>‑</w:t>
      </w:r>
      <w:r>
        <w:rPr>
          <w:rFonts w:ascii="Arial" w:cs="Arial" w:eastAsia="Arial" w:hAnsi="Arial"/>
          <w:sz w:val="16"/>
          <w:szCs w:val="16"/>
          <w:color w:val="auto"/>
        </w:rPr>
        <w:t>recurring and other charges, increase our near</w:t>
      </w:r>
      <w:r>
        <w:rPr>
          <w:rFonts w:ascii="MS PGothic" w:cs="MS PGothic" w:eastAsia="MS PGothic" w:hAnsi="MS PGothic"/>
          <w:sz w:val="16"/>
          <w:szCs w:val="16"/>
          <w:color w:val="auto"/>
        </w:rPr>
        <w:t>‑</w:t>
      </w:r>
      <w:r>
        <w:rPr>
          <w:rFonts w:ascii="Arial" w:cs="Arial" w:eastAsia="Arial" w:hAnsi="Arial"/>
          <w:sz w:val="16"/>
          <w:szCs w:val="16"/>
          <w:color w:val="auto"/>
        </w:rPr>
        <w:t xml:space="preserve"> and long</w:t>
      </w:r>
      <w:r>
        <w:rPr>
          <w:rFonts w:ascii="MS PGothic" w:cs="MS PGothic" w:eastAsia="MS PGothic" w:hAnsi="MS PGothic"/>
          <w:sz w:val="16"/>
          <w:szCs w:val="16"/>
          <w:color w:val="auto"/>
        </w:rPr>
        <w:t>‑</w:t>
      </w:r>
      <w:r>
        <w:rPr>
          <w:rFonts w:ascii="Arial" w:cs="Arial" w:eastAsia="Arial" w:hAnsi="Arial"/>
          <w:sz w:val="16"/>
          <w:szCs w:val="16"/>
          <w:color w:val="auto"/>
        </w:rPr>
        <w:t>term expenditures, issue securities that dilute our existing stockholders, or disrupt our management and business. In addition, we could face significant competition in seeking appropriate collaborators, and the negotiation process is time</w:t>
      </w:r>
      <w:r>
        <w:rPr>
          <w:rFonts w:ascii="MS PGothic" w:cs="MS PGothic" w:eastAsia="MS PGothic" w:hAnsi="MS PGothic"/>
          <w:sz w:val="16"/>
          <w:szCs w:val="16"/>
          <w:color w:val="auto"/>
        </w:rPr>
        <w:t>‑</w:t>
      </w:r>
      <w:r>
        <w:rPr>
          <w:rFonts w:ascii="Arial" w:cs="Arial" w:eastAsia="Arial" w:hAnsi="Arial"/>
          <w:sz w:val="16"/>
          <w:szCs w:val="16"/>
          <w:color w:val="auto"/>
        </w:rPr>
        <w:t>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16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If we are not able to establish collaborations on commercially reasonable terms, we may have to alter our development and commercialization plans.</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Our product development and research programs and the potential commercialization of any product candidates we may develop will require substantial additional cash to fund expenses. For some of the product candidates we may develop or certain of our research programs, we may decide to collaborate with other pharmaceutical and biotechnology companies for the development and potential commercialization of those product candidates or programs.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64" w:lineRule="exact"/>
        <w:rPr>
          <w:sz w:val="20"/>
          <w:szCs w:val="20"/>
          <w:color w:val="auto"/>
        </w:rPr>
      </w:pPr>
    </w:p>
    <w:p>
      <w:pPr>
        <w:ind w:right="160" w:firstLine="648"/>
        <w:spacing w:after="0" w:line="22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or allies. For example, during the research program term of our collaboration with Juno Therapeutics, we may not directly or indirectly license, fund, enable, or participate in any research, development, manufacture, or commercialization of engineered T cells with chimeric antigen receptors and T cell receptors in the field of diagnosis, treatment, or prevention of cancer in humans through the use of engineered T cells, excluding the diagnosis, treatment, or prevention of medullary cystic kidney disease.</w:t>
      </w:r>
    </w:p>
    <w:p>
      <w:pPr>
        <w:spacing w:after="0" w:line="165" w:lineRule="exact"/>
        <w:rPr>
          <w:sz w:val="20"/>
          <w:szCs w:val="20"/>
          <w:color w:val="auto"/>
        </w:rPr>
      </w:pPr>
    </w:p>
    <w:p>
      <w:pPr>
        <w:ind w:right="220" w:firstLine="648"/>
        <w:spacing w:after="0" w:line="194" w:lineRule="exact"/>
        <w:rPr>
          <w:sz w:val="20"/>
          <w:szCs w:val="20"/>
          <w:color w:val="auto"/>
        </w:rPr>
      </w:pPr>
      <w:r>
        <w:rPr>
          <w:rFonts w:ascii="Arial" w:cs="Arial" w:eastAsia="Arial" w:hAnsi="Arial"/>
          <w:sz w:val="18"/>
          <w:szCs w:val="18"/>
          <w:color w:val="auto"/>
        </w:rPr>
        <w:t>Collaborations are complex and time</w:t>
      </w:r>
      <w:r>
        <w:rPr>
          <w:rFonts w:ascii="MS PGothic" w:cs="MS PGothic" w:eastAsia="MS PGothic" w:hAnsi="MS PGothic"/>
          <w:sz w:val="18"/>
          <w:szCs w:val="18"/>
          <w:color w:val="auto"/>
        </w:rPr>
        <w:t>‑</w:t>
      </w:r>
      <w:r>
        <w:rPr>
          <w:rFonts w:ascii="Arial" w:cs="Arial" w:eastAsia="Arial" w:hAnsi="Arial"/>
          <w:sz w:val="18"/>
          <w:szCs w:val="18"/>
          <w:color w:val="auto"/>
        </w:rPr>
        <w:t>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68"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63"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We expect to rely on third parties, such as CROs, clinical data management organizations, medical institutions, and clinical investigators, to conduct our clinical trials. We currently rely and expect to continue to rely on third parties to conduct some aspects of our research and preclinical testing. Any of these third parties may terminate their engagements with us at any time. If we need to enter into alternative arrangements, it would delay our product development activities.</w:t>
      </w:r>
    </w:p>
    <w:p>
      <w:pPr>
        <w:spacing w:after="0" w:line="15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sponsored database, ClinicalTrials.gov, within certain timeframes. Failure to do so can result in fines, adverse publicity, and civil and criminal sanctions.</w:t>
      </w:r>
    </w:p>
    <w:p>
      <w:pPr>
        <w:spacing w:after="0" w:line="167"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63"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b w:val="1"/>
          <w:bCs w:val="1"/>
          <w:i w:val="1"/>
          <w:iCs w:val="1"/>
          <w:color w:val="auto"/>
        </w:rPr>
        <w:t>We contract with third parties for the manufacture of materials for our research programs and preclinical studies and expect to continue to do so for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145" w:lineRule="exact"/>
        <w:rPr>
          <w:sz w:val="20"/>
          <w:szCs w:val="20"/>
          <w:color w:val="auto"/>
        </w:rPr>
      </w:pPr>
    </w:p>
    <w:p>
      <w:pPr>
        <w:ind w:right="80" w:firstLine="648"/>
        <w:spacing w:after="0" w:line="187" w:lineRule="exact"/>
        <w:rPr>
          <w:sz w:val="20"/>
          <w:szCs w:val="20"/>
          <w:color w:val="auto"/>
        </w:rPr>
      </w:pPr>
      <w:r>
        <w:rPr>
          <w:rFonts w:ascii="Arial" w:cs="Arial" w:eastAsia="Arial" w:hAnsi="Arial"/>
          <w:sz w:val="18"/>
          <w:szCs w:val="18"/>
          <w:color w:val="auto"/>
        </w:rPr>
        <w:t>We do not have any manufacturing facilities. We currently rely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for the manufacture of our materials for preclinical studies and expect to continue to do so for clinical testing and for commercial supply of any product candidates that we may develop and for which we or our collaborators obtain marketing approval. We do not have a long term supply agreement with any of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and we purchase our required supply on a purchase order basis.</w:t>
      </w:r>
    </w:p>
    <w:p>
      <w:pPr>
        <w:spacing w:after="0" w:line="162" w:lineRule="exact"/>
        <w:rPr>
          <w:sz w:val="20"/>
          <w:szCs w:val="20"/>
          <w:color w:val="auto"/>
        </w:rPr>
      </w:pPr>
    </w:p>
    <w:p>
      <w:pPr>
        <w:jc w:val="both"/>
        <w:ind w:right="40" w:firstLine="648"/>
        <w:spacing w:after="0" w:line="194"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to do so on acceptable terms.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w:t>
      </w:r>
    </w:p>
    <w:p>
      <w:pPr>
        <w:spacing w:after="0" w:line="163" w:lineRule="exact"/>
        <w:rPr>
          <w:sz w:val="20"/>
          <w:szCs w:val="20"/>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84" w:lineRule="exact"/>
        <w:rPr>
          <w:rFonts w:ascii="Arial" w:cs="Arial" w:eastAsia="Arial" w:hAnsi="Arial"/>
          <w:sz w:val="18"/>
          <w:szCs w:val="18"/>
          <w:color w:val="auto"/>
        </w:rPr>
      </w:pPr>
    </w:p>
    <w:p>
      <w:pPr>
        <w:ind w:left="980" w:right="900" w:hanging="329"/>
        <w:spacing w:after="0" w:line="235"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61" w:lineRule="exact"/>
        <w:rPr>
          <w:rFonts w:ascii="Arial" w:cs="Arial" w:eastAsia="Arial" w:hAnsi="Arial"/>
          <w:sz w:val="18"/>
          <w:szCs w:val="18"/>
          <w:color w:val="auto"/>
        </w:rPr>
      </w:pPr>
    </w:p>
    <w:p>
      <w:pPr>
        <w:ind w:left="980" w:right="380" w:hanging="329"/>
        <w:spacing w:after="0" w:line="235"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w:t>
      </w:r>
    </w:p>
    <w:p>
      <w:pPr>
        <w:spacing w:after="0" w:line="16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not be able to comply with cGMP regulations or similar regulatory requirements outside the United States. Our failure, or the failure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16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63"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 cannot perform as agreed, we may be required to replace that manufacturer. Although we believe that there are several potential alternative manufacturers who could manufacture any product candidates we may develop, we may incur added costs and delays in identifying and qualifying any such replacement.</w:t>
      </w:r>
    </w:p>
    <w:p>
      <w:pPr>
        <w:spacing w:after="0" w:line="159"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Our current and anticipated future dependence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any products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we may develop, and our technology may be adversely affected.</w:t>
      </w:r>
    </w:p>
    <w:p>
      <w:pPr>
        <w:spacing w:after="0" w:line="163"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CRISPR platform technology and any proprietary product candidates and technology we develop. We seek to protect our proprietary position by in</w:t>
      </w:r>
      <w:r>
        <w:rPr>
          <w:rFonts w:ascii="MS PGothic" w:cs="MS PGothic" w:eastAsia="MS PGothic" w:hAnsi="MS PGothic"/>
          <w:sz w:val="17"/>
          <w:szCs w:val="17"/>
          <w:color w:val="auto"/>
        </w:rPr>
        <w:t>‑</w:t>
      </w:r>
      <w:r>
        <w:rPr>
          <w:rFonts w:ascii="Arial" w:cs="Arial" w:eastAsia="Arial" w:hAnsi="Arial"/>
          <w:sz w:val="17"/>
          <w:szCs w:val="17"/>
          <w:color w:val="auto"/>
        </w:rPr>
        <w:t>licensing intellectual property relating to our platform technology and filing patent applications in the United States and abroad related to our technologies and product candidates that are important to our business. If we or our licensors are unable to obtain or maintain patent protection with respect to our CRISPR platform technology and any proprietary products and technology we develop, our business, financial condition, results of operations, and prospects could be materially harmed.</w:t>
      </w:r>
    </w:p>
    <w:p>
      <w:pPr>
        <w:spacing w:after="0" w:line="16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8"/>
          <w:szCs w:val="18"/>
          <w:color w:val="auto"/>
        </w:rPr>
        <w:t>No consistent policy regarding the scope of claims allowable in the field of genome editing, including CRISPR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w:t>
      </w:r>
      <w:r>
        <w:rPr>
          <w:rFonts w:ascii="MS PGothic" w:cs="MS PGothic" w:eastAsia="MS PGothic" w:hAnsi="MS PGothic"/>
          <w:sz w:val="18"/>
          <w:szCs w:val="18"/>
          <w:color w:val="auto"/>
        </w:rPr>
        <w:t>‑</w:t>
      </w:r>
      <w:r>
        <w:rPr>
          <w:rFonts w:ascii="Arial" w:cs="Arial" w:eastAsia="Arial" w:hAnsi="Arial"/>
          <w:sz w:val="18"/>
          <w:szCs w:val="18"/>
          <w:color w:val="auto"/>
        </w:rPr>
        <w:t>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6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The patent prosecution process is expensive, time</w:t>
      </w:r>
      <w:r>
        <w:rPr>
          <w:rFonts w:ascii="MS PGothic" w:cs="MS PGothic" w:eastAsia="MS PGothic" w:hAnsi="MS PGothic"/>
          <w:sz w:val="17"/>
          <w:szCs w:val="17"/>
          <w:color w:val="auto"/>
        </w:rPr>
        <w:t>‑</w:t>
      </w:r>
      <w:r>
        <w:rPr>
          <w:rFonts w:ascii="Arial" w:cs="Arial" w:eastAsia="Arial" w:hAnsi="Arial"/>
          <w:sz w:val="17"/>
          <w:szCs w:val="17"/>
          <w:color w:val="auto"/>
        </w:rPr>
        <w:t>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w:t>
      </w:r>
      <w:r>
        <w:rPr>
          <w:rFonts w:ascii="MS PGothic" w:cs="MS PGothic" w:eastAsia="MS PGothic" w:hAnsi="MS PGothic"/>
          <w:sz w:val="17"/>
          <w:szCs w:val="17"/>
          <w:color w:val="auto"/>
        </w:rPr>
        <w:t>‑</w:t>
      </w:r>
      <w:r>
        <w:rPr>
          <w:rFonts w:ascii="Arial" w:cs="Arial" w:eastAsia="Arial" w:hAnsi="Arial"/>
          <w:sz w:val="17"/>
          <w:szCs w:val="17"/>
          <w:color w:val="auto"/>
        </w:rPr>
        <w:t>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63"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w:t>
      </w:r>
    </w:p>
    <w:p>
      <w:pPr>
        <w:spacing w:after="0" w:line="161"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w:t>
      </w:r>
      <w:r>
        <w:rPr>
          <w:rFonts w:ascii="MS PGothic" w:cs="MS PGothic" w:eastAsia="MS PGothic" w:hAnsi="MS PGothic"/>
          <w:sz w:val="16"/>
          <w:szCs w:val="16"/>
          <w:color w:val="auto"/>
        </w:rPr>
        <w:t>‑</w:t>
      </w:r>
      <w:r>
        <w:rPr>
          <w:rFonts w:ascii="Arial" w:cs="Arial" w:eastAsia="Arial" w:hAnsi="Arial"/>
          <w:sz w:val="16"/>
          <w:szCs w:val="16"/>
          <w:color w:val="auto"/>
        </w:rPr>
        <w:t>license may be challenged, narrowed, circumvented, or invalidated by third parties. Consequently, we do not know whether any of our platform advances and product candidates will be protectable or remain protected by valid and enforceable patents. Our competitors or other third parties may be able to circumvent our patents by developing similar or alternative technologies or products in a non</w:t>
      </w:r>
      <w:r>
        <w:rPr>
          <w:rFonts w:ascii="MS PGothic" w:cs="MS PGothic" w:eastAsia="MS PGothic" w:hAnsi="MS PGothic"/>
          <w:sz w:val="16"/>
          <w:szCs w:val="16"/>
          <w:color w:val="auto"/>
        </w:rPr>
        <w:t>‑</w:t>
      </w:r>
      <w:r>
        <w:rPr>
          <w:rFonts w:ascii="Arial" w:cs="Arial" w:eastAsia="Arial" w:hAnsi="Arial"/>
          <w:sz w:val="16"/>
          <w:szCs w:val="16"/>
          <w:color w:val="auto"/>
        </w:rPr>
        <w:t>infringing manner. For example, we are aware that third parties have suggested the use of the CRISPR technology in conjunction with a protein other than Cas9 or Cpf1.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patents may not cover CRISPR technology in conjunction with a protein other than Cas9 or Cpf1. If our competitors commercialize the CRISPR technology in conjunction with a protein other than Cas9 or Cpf1, our business, financial condition, results of operations, and prospects could be materially adversely affected.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Our licensors are currently, and we or our licensors may in the future become, subject to a third party pre</w:t>
      </w:r>
      <w:r>
        <w:rPr>
          <w:rFonts w:ascii="MS PGothic" w:cs="MS PGothic" w:eastAsia="MS PGothic" w:hAnsi="MS PGothic"/>
          <w:sz w:val="16"/>
          <w:szCs w:val="16"/>
          <w:color w:val="auto"/>
        </w:rPr>
        <w:t>‑</w:t>
      </w:r>
      <w:r>
        <w:rPr>
          <w:rFonts w:ascii="Arial" w:cs="Arial" w:eastAsia="Arial" w:hAnsi="Arial"/>
          <w:sz w:val="16"/>
          <w:szCs w:val="16"/>
          <w:color w:val="auto"/>
        </w:rPr>
        <w:t>issuance submission of prior art to the United States Patent and Trademark Office (the “USPTO”) or opposition, derivation, revocation,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 xml:space="preserve">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and other similar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w:t>
      </w:r>
      <w:r>
        <w:rPr>
          <w:rFonts w:ascii="MS PGothic" w:cs="MS PGothic" w:eastAsia="MS PGothic" w:hAnsi="MS PGothic"/>
          <w:sz w:val="16"/>
          <w:szCs w:val="16"/>
          <w:color w:val="auto"/>
        </w:rPr>
        <w:t>‑</w:t>
      </w:r>
      <w:r>
        <w:rPr>
          <w:rFonts w:ascii="Arial" w:cs="Arial" w:eastAsia="Arial" w:hAnsi="Arial"/>
          <w:sz w:val="16"/>
          <w:szCs w:val="16"/>
          <w:color w:val="auto"/>
        </w:rPr>
        <w:t>party patent rights. Moreover, we, or one of our licensors, may have to participate in interference proceedings declared by the USPTO to determine priority of invention or in post</w:t>
      </w:r>
      <w:r>
        <w:rPr>
          <w:rFonts w:ascii="MS PGothic" w:cs="MS PGothic" w:eastAsia="MS PGothic" w:hAnsi="MS PGothic"/>
          <w:sz w:val="16"/>
          <w:szCs w:val="16"/>
          <w:color w:val="auto"/>
        </w:rPr>
        <w:t>‑</w:t>
      </w:r>
      <w:r>
        <w:rPr>
          <w:rFonts w:ascii="Arial" w:cs="Arial" w:eastAsia="Arial" w:hAnsi="Arial"/>
          <w:sz w:val="16"/>
          <w:szCs w:val="16"/>
          <w:color w:val="auto"/>
        </w:rPr>
        <w: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As discussed below, some of our in</w:t>
      </w:r>
      <w:r>
        <w:rPr>
          <w:rFonts w:ascii="MS PGothic" w:cs="MS PGothic" w:eastAsia="MS PGothic" w:hAnsi="MS PGothic"/>
          <w:sz w:val="16"/>
          <w:szCs w:val="16"/>
          <w:color w:val="auto"/>
        </w:rPr>
        <w:t>‑</w:t>
      </w:r>
      <w:r>
        <w:rPr>
          <w:rFonts w:ascii="Arial" w:cs="Arial" w:eastAsia="Arial" w:hAnsi="Arial"/>
          <w:sz w:val="16"/>
          <w:szCs w:val="16"/>
          <w:color w:val="auto"/>
        </w:rPr>
        <w:t xml:space="preserve">licensed patents are subject to interference, opposition, and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w:t>
      </w:r>
      <w:r>
        <w:rPr>
          <w:rFonts w:ascii="MS PGothic" w:cs="MS PGothic" w:eastAsia="MS PGothic" w:hAnsi="MS PGothic"/>
          <w:sz w:val="16"/>
          <w:szCs w:val="16"/>
          <w:color w:val="auto"/>
        </w:rPr>
        <w:t>‑</w:t>
      </w:r>
      <w:r>
        <w:rPr>
          <w:rFonts w:ascii="Arial" w:cs="Arial" w:eastAsia="Arial" w:hAnsi="Arial"/>
          <w:sz w:val="16"/>
          <w:szCs w:val="16"/>
          <w:color w:val="auto"/>
        </w:rPr>
        <w:t>examination proceedings and therefore subject to these risks.</w:t>
      </w:r>
    </w:p>
    <w:p>
      <w:pPr>
        <w:spacing w:after="0" w:line="167"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are, and may in the future be, co</w:t>
      </w:r>
      <w:r>
        <w:rPr>
          <w:rFonts w:ascii="MS PGothic" w:cs="MS PGothic" w:eastAsia="MS PGothic" w:hAnsi="MS PGothic"/>
          <w:sz w:val="16"/>
          <w:szCs w:val="16"/>
          <w:color w:val="auto"/>
        </w:rPr>
        <w:t>‑</w:t>
      </w:r>
      <w:r>
        <w:rPr>
          <w:rFonts w:ascii="Arial" w:cs="Arial" w:eastAsia="Arial" w:hAnsi="Arial"/>
          <w:sz w:val="16"/>
          <w:szCs w:val="16"/>
          <w:color w:val="auto"/>
        </w:rPr>
        <w:t>owned with third parties. If we are unable to obtain an exclusive license to any such third party co</w:t>
      </w:r>
      <w:r>
        <w:rPr>
          <w:rFonts w:ascii="MS PGothic" w:cs="MS PGothic" w:eastAsia="MS PGothic" w:hAnsi="MS PGothic"/>
          <w:sz w:val="16"/>
          <w:szCs w:val="16"/>
          <w:color w:val="auto"/>
        </w:rPr>
        <w:t>‑</w:t>
      </w:r>
      <w:r>
        <w:rPr>
          <w:rFonts w:ascii="Arial" w:cs="Arial" w:eastAsia="Arial" w:hAnsi="Arial"/>
          <w:sz w:val="16"/>
          <w:szCs w:val="16"/>
          <w:color w:val="auto"/>
        </w:rPr>
        <w:t>owners’ interest in such patents or patent applications, such co</w:t>
      </w:r>
      <w:r>
        <w:rPr>
          <w:rFonts w:ascii="MS PGothic" w:cs="MS PGothic" w:eastAsia="MS PGothic" w:hAnsi="MS PGothic"/>
          <w:sz w:val="16"/>
          <w:szCs w:val="16"/>
          <w:color w:val="auto"/>
        </w:rPr>
        <w:t>‑</w:t>
      </w:r>
      <w:r>
        <w:rPr>
          <w:rFonts w:ascii="Arial" w:cs="Arial" w:eastAsia="Arial" w:hAnsi="Arial"/>
          <w:sz w:val="16"/>
          <w:szCs w:val="16"/>
          <w:color w:val="auto"/>
        </w:rPr>
        <w:t>owners may be able to license their rights to other third parties, including our competitors, and our competitors could market competing products and technology. In addition, we or our licensors may need the cooperation of any such co</w:t>
      </w:r>
      <w:r>
        <w:rPr>
          <w:rFonts w:ascii="MS PGothic" w:cs="MS PGothic" w:eastAsia="MS PGothic" w:hAnsi="MS PGothic"/>
          <w:sz w:val="16"/>
          <w:szCs w:val="16"/>
          <w:color w:val="auto"/>
        </w:rPr>
        <w:t>‑</w:t>
      </w:r>
      <w:r>
        <w:rPr>
          <w:rFonts w:ascii="Arial" w:cs="Arial" w:eastAsia="Arial" w:hAnsi="Arial"/>
          <w:sz w:val="16"/>
          <w:szCs w:val="16"/>
          <w:color w:val="auto"/>
        </w:rPr>
        <w:t>owners of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spacing w:after="0" w:line="163" w:lineRule="exact"/>
        <w:rPr>
          <w:sz w:val="20"/>
          <w:szCs w:val="20"/>
          <w:color w:val="auto"/>
        </w:rPr>
      </w:pPr>
    </w:p>
    <w:p>
      <w:pPr>
        <w:ind w:right="60" w:firstLine="648"/>
        <w:spacing w:after="0" w:line="179" w:lineRule="exact"/>
        <w:rPr>
          <w:sz w:val="20"/>
          <w:szCs w:val="20"/>
          <w:color w:val="auto"/>
        </w:rPr>
      </w:pPr>
      <w:r>
        <w:rPr>
          <w:rFonts w:ascii="Arial" w:cs="Arial" w:eastAsia="Arial" w:hAnsi="Arial"/>
          <w:sz w:val="17"/>
          <w:szCs w:val="17"/>
          <w:color w:val="auto"/>
        </w:rPr>
        <w:t>Furthermore, our owned and in</w:t>
      </w:r>
      <w:r>
        <w:rPr>
          <w:rFonts w:ascii="MS PGothic" w:cs="MS PGothic" w:eastAsia="MS PGothic" w:hAnsi="MS PGothic"/>
          <w:sz w:val="17"/>
          <w:szCs w:val="17"/>
          <w:color w:val="auto"/>
        </w:rPr>
        <w:t>‑</w:t>
      </w:r>
      <w:r>
        <w:rPr>
          <w:rFonts w:ascii="Arial" w:cs="Arial" w:eastAsia="Arial" w:hAnsi="Arial"/>
          <w:sz w:val="17"/>
          <w:szCs w:val="17"/>
          <w:color w:val="auto"/>
        </w:rPr>
        <w:t>licensed patents may be subject to a reservation of rights by one or more third parties. For example, the research resulting in certain of our owned and in</w:t>
      </w:r>
      <w:r>
        <w:rPr>
          <w:rFonts w:ascii="MS PGothic" w:cs="MS PGothic" w:eastAsia="MS PGothic" w:hAnsi="MS PGothic"/>
          <w:sz w:val="17"/>
          <w:szCs w:val="17"/>
          <w:color w:val="auto"/>
        </w:rPr>
        <w:t>‑</w:t>
      </w:r>
      <w:r>
        <w:rPr>
          <w:rFonts w:ascii="Arial" w:cs="Arial" w:eastAsia="Arial" w:hAnsi="Arial"/>
          <w:sz w:val="17"/>
          <w:szCs w:val="17"/>
          <w:color w:val="auto"/>
        </w:rPr>
        <w:t>licensed patent rights and technology was funded in part by the U.S. government. As a result, the U.S. government has certain rights, including march</w:t>
      </w:r>
      <w:r>
        <w:rPr>
          <w:rFonts w:ascii="MS PGothic" w:cs="MS PGothic" w:eastAsia="MS PGothic" w:hAnsi="MS PGothic"/>
          <w:sz w:val="17"/>
          <w:szCs w:val="17"/>
          <w:color w:val="auto"/>
        </w:rPr>
        <w:t>‑</w:t>
      </w:r>
      <w:r>
        <w:rPr>
          <w:rFonts w:ascii="Arial" w:cs="Arial" w:eastAsia="Arial" w:hAnsi="Arial"/>
          <w:sz w:val="17"/>
          <w:szCs w:val="17"/>
          <w:color w:val="auto"/>
        </w:rPr>
        <w:t>in rights, to such patent rights and technology. When new technologies are developed with government funding, the government generally obtains certain rights in any resulting patents, including a non</w:t>
      </w:r>
      <w:r>
        <w:rPr>
          <w:rFonts w:ascii="MS PGothic" w:cs="MS PGothic" w:eastAsia="MS PGothic" w:hAnsi="MS PGothic"/>
          <w:sz w:val="17"/>
          <w:szCs w:val="17"/>
          <w:color w:val="auto"/>
        </w:rPr>
        <w:t>‑</w:t>
      </w:r>
      <w:r>
        <w:rPr>
          <w:rFonts w:ascii="Arial" w:cs="Arial" w:eastAsia="Arial" w:hAnsi="Arial"/>
          <w:sz w:val="17"/>
          <w:szCs w:val="17"/>
          <w:color w:val="auto"/>
        </w:rPr>
        <w:t>exclusive license authorizing the government to use the invention. For example, our licensors, including The Broad Institute, Inc. (“Broad”), have granted the U.S. government a non</w:t>
      </w:r>
      <w:r>
        <w:rPr>
          <w:rFonts w:ascii="MS PGothic" w:cs="MS PGothic" w:eastAsia="MS PGothic" w:hAnsi="MS PGothic"/>
          <w:sz w:val="17"/>
          <w:szCs w:val="17"/>
          <w:color w:val="auto"/>
        </w:rPr>
        <w:t>‑</w:t>
      </w:r>
      <w:r>
        <w:rPr>
          <w:rFonts w:ascii="Arial" w:cs="Arial" w:eastAsia="Arial" w:hAnsi="Arial"/>
          <w:sz w:val="17"/>
          <w:szCs w:val="17"/>
          <w:color w:val="auto"/>
        </w:rPr>
        <w:t>exclusive, non</w:t>
      </w:r>
      <w:r>
        <w:rPr>
          <w:rFonts w:ascii="MS PGothic" w:cs="MS PGothic" w:eastAsia="MS PGothic" w:hAnsi="MS PGothic"/>
          <w:sz w:val="17"/>
          <w:szCs w:val="17"/>
          <w:color w:val="auto"/>
        </w:rPr>
        <w:t>‑</w:t>
      </w:r>
      <w:r>
        <w:rPr>
          <w:rFonts w:ascii="Arial" w:cs="Arial" w:eastAsia="Arial" w:hAnsi="Arial"/>
          <w:sz w:val="17"/>
          <w:szCs w:val="17"/>
          <w:color w:val="auto"/>
        </w:rPr>
        <w:t>transferable, irrevocable, paid</w:t>
      </w:r>
      <w:r>
        <w:rPr>
          <w:rFonts w:ascii="MS PGothic" w:cs="MS PGothic" w:eastAsia="MS PGothic" w:hAnsi="MS PGothic"/>
          <w:sz w:val="17"/>
          <w:szCs w:val="17"/>
          <w:color w:val="auto"/>
        </w:rPr>
        <w:t>‑</w:t>
      </w:r>
      <w:r>
        <w:rPr>
          <w:rFonts w:ascii="Arial" w:cs="Arial" w:eastAsia="Arial" w:hAnsi="Arial"/>
          <w:sz w:val="17"/>
          <w:szCs w:val="17"/>
          <w:color w:val="auto"/>
        </w:rPr>
        <w:t>up license to practice or have practiced for or on behalf of the United States, the inventions described in certain of our in</w:t>
      </w:r>
      <w:r>
        <w:rPr>
          <w:rFonts w:ascii="MS PGothic" w:cs="MS PGothic" w:eastAsia="MS PGothic" w:hAnsi="MS PGothic"/>
          <w:sz w:val="17"/>
          <w:szCs w:val="17"/>
          <w:color w:val="auto"/>
        </w:rPr>
        <w:t>‑</w:t>
      </w:r>
      <w:r>
        <w:rPr>
          <w:rFonts w:ascii="Arial" w:cs="Arial" w:eastAsia="Arial" w:hAnsi="Arial"/>
          <w:sz w:val="17"/>
          <w:szCs w:val="17"/>
          <w:color w:val="auto"/>
        </w:rPr>
        <w:t>licensed patents and patent applications, including certain aspects of our in</w:t>
      </w:r>
      <w:r>
        <w:rPr>
          <w:rFonts w:ascii="MS PGothic" w:cs="MS PGothic" w:eastAsia="MS PGothic" w:hAnsi="MS PGothic"/>
          <w:sz w:val="17"/>
          <w:szCs w:val="17"/>
          <w:color w:val="auto"/>
        </w:rPr>
        <w:t>‑</w:t>
      </w:r>
      <w:r>
        <w:rPr>
          <w:rFonts w:ascii="Arial" w:cs="Arial" w:eastAsia="Arial" w:hAnsi="Arial"/>
          <w:sz w:val="17"/>
          <w:szCs w:val="17"/>
          <w:color w:val="auto"/>
        </w:rPr>
        <w:t>licensed CRISPR technology. If the government decides to exercise these rights, it is not required to engage us as its contractor in connection with doing so. These rights may permit the U.S. government to disclose our confidential information to third parties and to exercise march</w:t>
      </w:r>
      <w:r>
        <w:rPr>
          <w:rFonts w:ascii="MS PGothic" w:cs="MS PGothic" w:eastAsia="MS PGothic" w:hAnsi="MS PGothic"/>
          <w:sz w:val="17"/>
          <w:szCs w:val="17"/>
          <w:color w:val="auto"/>
        </w:rPr>
        <w:t>‑</w:t>
      </w:r>
      <w:r>
        <w:rPr>
          <w:rFonts w:ascii="Arial" w:cs="Arial" w:eastAsia="Arial" w:hAnsi="Arial"/>
          <w:sz w:val="17"/>
          <w:szCs w:val="17"/>
          <w:color w:val="auto"/>
        </w:rPr>
        <w:t>in rights to use or allow third parties to use our licensed technology. The U.S. government can exercise its march</w:t>
      </w:r>
      <w:r>
        <w:rPr>
          <w:rFonts w:ascii="MS PGothic" w:cs="MS PGothic" w:eastAsia="MS PGothic" w:hAnsi="MS PGothic"/>
          <w:sz w:val="17"/>
          <w:szCs w:val="17"/>
          <w:color w:val="auto"/>
        </w:rPr>
        <w:t>‑</w:t>
      </w:r>
      <w:r>
        <w:rPr>
          <w:rFonts w:ascii="Arial" w:cs="Arial" w:eastAsia="Arial" w:hAnsi="Arial"/>
          <w:sz w:val="17"/>
          <w:szCs w:val="17"/>
          <w:color w:val="auto"/>
        </w:rPr>
        <w:t>in rights if it determines that action is necessary because we fail to achieve practical application of the government</w:t>
      </w:r>
      <w:r>
        <w:rPr>
          <w:rFonts w:ascii="MS PGothic" w:cs="MS PGothic" w:eastAsia="MS PGothic" w:hAnsi="MS PGothic"/>
          <w:sz w:val="17"/>
          <w:szCs w:val="17"/>
          <w:color w:val="auto"/>
        </w:rPr>
        <w:t>‑</w:t>
      </w:r>
      <w:r>
        <w:rPr>
          <w:rFonts w:ascii="Arial" w:cs="Arial" w:eastAsia="Arial" w:hAnsi="Arial"/>
          <w:sz w:val="17"/>
          <w:szCs w:val="17"/>
          <w:color w:val="auto"/>
        </w:rPr>
        <w: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harm our competitive position, business, financial condition, results of operations, and prospects.</w:t>
      </w:r>
    </w:p>
    <w:p>
      <w:pPr>
        <w:spacing w:after="0" w:line="168"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are subject, in part, to the terms and conditions of licenses granted to us by others.</w:t>
      </w:r>
    </w:p>
    <w:p>
      <w:pPr>
        <w:spacing w:after="0" w:line="162"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We are heavily reliant upon licenses to certain patent rights and proprietary technology from third parties that are important or necessary to the development of our genome editing technology, including our CRISPR technology, and product candidates. These and other licenses may not provide exclusive rights to use such intellectual property and technology in all relevant fields of use and in all territories in which we may wish to develop or commercialize our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179" w:lineRule="exact"/>
        <w:rPr>
          <w:sz w:val="20"/>
          <w:szCs w:val="20"/>
          <w:color w:val="auto"/>
        </w:rPr>
      </w:pPr>
      <w:r>
        <w:rPr>
          <w:rFonts w:ascii="Arial" w:cs="Arial" w:eastAsia="Arial" w:hAnsi="Arial"/>
          <w:sz w:val="16"/>
          <w:szCs w:val="16"/>
          <w:color w:val="auto"/>
        </w:rPr>
        <w:t>technology and products in the future. As a result, we may not be able to prevent competitors from developing and commercializing competitive products in territories included in all of our licenses. For example, pursuant to our license agreements with Broad, and Broad and the President and Fellows of Harvard College (“Harvard”), the licensors may, under certain circumstances, grant a license to the patents that are the subject of such license agreements to a third party. Such third party would have full rights to the patent rights that are the subject of such licenses, which could impact our competitive position and enable a third party to commercialize products similar to our future product candidates and technology. Furthermore, under these license agreements, Broad has the right, after specified periods of time and subject to certain limitations, to designate gene targets for which Broad, whether alone or together with an affiliate or third party, has an interest in researching and developing products that would otherwise be covered by rights licensed to us under the agreements. Any of the foregoing would narrow the scope of our exclusive rights to the patents and patent applications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The terms of these license agreements are described more fully under “Part I—Business—Our Collaborations and Licensing Strategy” in this Annual Report on Form 10-K. In addition, our rights to our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are dependent, in part, on inter</w:t>
      </w:r>
      <w:r>
        <w:rPr>
          <w:rFonts w:ascii="MS PGothic" w:cs="MS PGothic" w:eastAsia="MS PGothic" w:hAnsi="MS PGothic"/>
          <w:sz w:val="16"/>
          <w:szCs w:val="16"/>
          <w:color w:val="auto"/>
        </w:rPr>
        <w:t>‑</w:t>
      </w:r>
      <w:r>
        <w:rPr>
          <w:rFonts w:ascii="Arial" w:cs="Arial" w:eastAsia="Arial" w:hAnsi="Arial"/>
          <w:sz w:val="16"/>
          <w:szCs w:val="16"/>
          <w:color w:val="auto"/>
        </w:rPr>
        <w:t>institutional or other operating agreements between the joint owners of such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If one or more of such joint owners breaches such inter</w:t>
      </w:r>
      <w:r>
        <w:rPr>
          <w:rFonts w:ascii="MS PGothic" w:cs="MS PGothic" w:eastAsia="MS PGothic" w:hAnsi="MS PGothic"/>
          <w:sz w:val="16"/>
          <w:szCs w:val="16"/>
          <w:color w:val="auto"/>
        </w:rPr>
        <w:t>‑</w:t>
      </w:r>
      <w:r>
        <w:rPr>
          <w:rFonts w:ascii="Arial" w:cs="Arial" w:eastAsia="Arial" w:hAnsi="Arial"/>
          <w:sz w:val="16"/>
          <w:szCs w:val="16"/>
          <w:color w:val="auto"/>
        </w:rPr>
        <w:t>institutional or operating agreements, our rights to such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may be adversely affected, which could have a material adverse effect on our competitive position, business, financial conditions, results of operations, and prospects.</w:t>
      </w:r>
    </w:p>
    <w:p>
      <w:pPr>
        <w:spacing w:after="0" w:line="167"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In addition, we may not have the right to control the preparation, filing, prosecution, maintenance, enforcement, and defense of patents and patent applications covering the technology that we license from third parties. For example, pursuant to each of our intellectual property licenses with Broad, Harvard, and The General Hospital Corporation, d/b/a Massachusetts General Hospital, our licensors retain control of preparation, filing, prosecution, and maintenance, and, in certain circumstances, enforcement and defense of their patents and patent applications. Therefore,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Additionally, given that we are required to reimburse our licensors for all of their expenses related to the prosecution, maintenance, enforcement and defense of patents and patent applications that we in</w:t>
      </w:r>
      <w:r>
        <w:rPr>
          <w:rFonts w:ascii="MS PGothic" w:cs="MS PGothic" w:eastAsia="MS PGothic" w:hAnsi="MS PGothic"/>
          <w:sz w:val="16"/>
          <w:szCs w:val="16"/>
          <w:color w:val="auto"/>
        </w:rPr>
        <w:t>‑</w:t>
      </w:r>
      <w:r>
        <w:rPr>
          <w:rFonts w:ascii="Arial" w:cs="Arial" w:eastAsia="Arial" w:hAnsi="Arial"/>
          <w:sz w:val="16"/>
          <w:szCs w:val="16"/>
          <w:color w:val="auto"/>
        </w:rPr>
        <w:t>license from them, the ongoing nature of the interference, opposition, and re</w:t>
      </w:r>
      <w:r>
        <w:rPr>
          <w:rFonts w:ascii="MS PGothic" w:cs="MS PGothic" w:eastAsia="MS PGothic" w:hAnsi="MS PGothic"/>
          <w:sz w:val="16"/>
          <w:szCs w:val="16"/>
          <w:color w:val="auto"/>
        </w:rPr>
        <w:t>‑</w:t>
      </w:r>
      <w:r>
        <w:rPr>
          <w:rFonts w:ascii="Arial" w:cs="Arial" w:eastAsia="Arial" w:hAnsi="Arial"/>
          <w:sz w:val="16"/>
          <w:szCs w:val="16"/>
          <w:color w:val="auto"/>
        </w:rPr>
        <w:t>examination proceedings involving the patents licensed to us under our license agreement with Harvard and Broad and our obligation to make such reimbursements are not subject to any limitations, we anticipate that our obligation to reimburse our licensors for expenses related to these matters will continue to be substantial. In connection with these reimbursement obligations, we incurred expenses in aggregate of $18.7 million, $23.6 million, and $9.4 million during the years ended December 31, 2017, 2016, and 2015, respectively.</w:t>
      </w:r>
    </w:p>
    <w:p>
      <w:pPr>
        <w:spacing w:after="0" w:line="167" w:lineRule="exact"/>
        <w:rPr>
          <w:sz w:val="20"/>
          <w:szCs w:val="20"/>
          <w:color w:val="auto"/>
        </w:rPr>
      </w:pPr>
    </w:p>
    <w:p>
      <w:pPr>
        <w:ind w:right="40" w:firstLine="648"/>
        <w:spacing w:after="0" w:line="183" w:lineRule="exact"/>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w:t>
      </w:r>
      <w:r>
        <w:rPr>
          <w:rFonts w:ascii="MS PGothic" w:cs="MS PGothic" w:eastAsia="MS PGothic" w:hAnsi="MS PGothic"/>
          <w:sz w:val="18"/>
          <w:szCs w:val="18"/>
          <w:color w:val="auto"/>
        </w:rPr>
        <w:t>‑</w:t>
      </w:r>
      <w:r>
        <w:rPr>
          <w:rFonts w:ascii="Arial" w:cs="Arial" w:eastAsia="Arial" w:hAnsi="Arial"/>
          <w:sz w:val="18"/>
          <w:szCs w:val="18"/>
          <w:color w:val="auto"/>
        </w:rPr>
        <w:t>licensed. For example, certain patent applications licensed to us by Broad are co</w:t>
      </w:r>
      <w:r>
        <w:rPr>
          <w:rFonts w:ascii="MS PGothic" w:cs="MS PGothic" w:eastAsia="MS PGothic" w:hAnsi="MS PGothic"/>
          <w:sz w:val="18"/>
          <w:szCs w:val="18"/>
          <w:color w:val="auto"/>
        </w:rPr>
        <w:t>‑</w:t>
      </w:r>
      <w:r>
        <w:rPr>
          <w:rFonts w:ascii="Arial" w:cs="Arial" w:eastAsia="Arial" w:hAnsi="Arial"/>
          <w:sz w:val="18"/>
          <w:szCs w:val="18"/>
          <w:color w:val="auto"/>
        </w:rPr>
        <w:t>owned with NIH. Broad does not and does not purport to grant any rights in NIH’s interest in these patent applications under our agreement. If other third parties have ownership rights to our in</w:t>
      </w:r>
      <w:r>
        <w:rPr>
          <w:rFonts w:ascii="MS PGothic" w:cs="MS PGothic" w:eastAsia="MS PGothic" w:hAnsi="MS PGothic"/>
          <w:sz w:val="18"/>
          <w:szCs w:val="18"/>
          <w:color w:val="auto"/>
        </w:rPr>
        <w:t>‑</w:t>
      </w:r>
      <w:r>
        <w:rPr>
          <w:rFonts w:ascii="Arial" w:cs="Arial" w:eastAsia="Arial" w:hAnsi="Arial"/>
          <w:sz w:val="18"/>
          <w:szCs w:val="18"/>
          <w:color w:val="auto"/>
        </w:rPr>
        <w:t>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65"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w:t>
      </w:r>
      <w:r>
        <w:rPr>
          <w:rFonts w:ascii="MS PGothic" w:cs="MS PGothic" w:eastAsia="MS PGothic" w:hAnsi="MS PGothic"/>
          <w:sz w:val="16"/>
          <w:szCs w:val="16"/>
          <w:color w:val="auto"/>
        </w:rPr>
        <w:t>‑</w:t>
      </w:r>
      <w:r>
        <w:rPr>
          <w:rFonts w:ascii="Arial" w:cs="Arial" w:eastAsia="Arial" w:hAnsi="Arial"/>
          <w:sz w:val="16"/>
          <w:szCs w:val="16"/>
          <w:color w:val="auto"/>
        </w:rPr>
        <w:t>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60"/>
        <w:spacing w:after="0" w:line="184" w:lineRule="exact"/>
        <w:rPr>
          <w:sz w:val="20"/>
          <w:szCs w:val="20"/>
          <w:color w:val="auto"/>
        </w:rPr>
      </w:pPr>
      <w:r>
        <w:rPr>
          <w:rFonts w:ascii="Arial" w:cs="Arial" w:eastAsia="Arial" w:hAnsi="Arial"/>
          <w:sz w:val="16"/>
          <w:szCs w:val="16"/>
          <w:b w:val="1"/>
          <w:bCs w:val="1"/>
          <w:i w:val="1"/>
          <w:iCs w:val="1"/>
          <w:color w:val="auto"/>
        </w:rPr>
        <w:t>Some of our in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licensed patents are subject to priority and validity disputes. In addition, our owned and in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licensed patents and other intellectual property may be subject to further priority and validity disputes, and other similar intellectual property proceedings including inventorship disputes.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166"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On January 11, 2016, the Patent Trial and Appeal Board of the USPTO (“PTAB”) declared an interference between a pending U.S. patent application (U.S. Serial No. 13/842,859) that is owned by the University of California, the University of Vienna, and Emmanuelle Charpentier and 12 U.S. patents (U.S. Patent Nos. 8,697,359; 8,771,945; 8,795,965; 8,865,406; 8,871,445; 8,889,356; 8,895,308; 8,906,616; 8,932,814; 8,945,839; 8,993,233; and 8,999,641) that are co</w:t>
      </w:r>
      <w:r>
        <w:rPr>
          <w:rFonts w:ascii="MS PGothic" w:cs="MS PGothic" w:eastAsia="MS PGothic" w:hAnsi="MS PGothic"/>
          <w:sz w:val="17"/>
          <w:szCs w:val="17"/>
          <w:color w:val="auto"/>
        </w:rPr>
        <w:t>‑</w:t>
      </w:r>
      <w:r>
        <w:rPr>
          <w:rFonts w:ascii="Arial" w:cs="Arial" w:eastAsia="Arial" w:hAnsi="Arial"/>
          <w:sz w:val="17"/>
          <w:szCs w:val="17"/>
          <w:color w:val="auto"/>
        </w:rPr>
        <w:t>owned by Broad and the Massachusetts Institute of Technology (“MIT”), and in some cases Harvard, and in</w:t>
      </w:r>
      <w:r>
        <w:rPr>
          <w:rFonts w:ascii="MS PGothic" w:cs="MS PGothic" w:eastAsia="MS PGothic" w:hAnsi="MS PGothic"/>
          <w:sz w:val="17"/>
          <w:szCs w:val="17"/>
          <w:color w:val="auto"/>
        </w:rPr>
        <w:t>‑</w:t>
      </w:r>
      <w:r>
        <w:rPr>
          <w:rFonts w:ascii="Arial" w:cs="Arial" w:eastAsia="Arial" w:hAnsi="Arial"/>
          <w:sz w:val="17"/>
          <w:szCs w:val="17"/>
          <w:color w:val="auto"/>
        </w:rPr>
        <w:t>licensed by us. On March 17, 2016, the PTAB re</w:t>
      </w:r>
      <w:r>
        <w:rPr>
          <w:rFonts w:ascii="MS PGothic" w:cs="MS PGothic" w:eastAsia="MS PGothic" w:hAnsi="MS PGothic"/>
          <w:sz w:val="17"/>
          <w:szCs w:val="17"/>
          <w:color w:val="auto"/>
        </w:rPr>
        <w:t>‑</w:t>
      </w:r>
      <w:r>
        <w:rPr>
          <w:rFonts w:ascii="Arial" w:cs="Arial" w:eastAsia="Arial" w:hAnsi="Arial"/>
          <w:sz w:val="17"/>
          <w:szCs w:val="17"/>
          <w:color w:val="auto"/>
        </w:rPr>
        <w:t>declared the interference to add a pending U.S. patent application (U.S. Serial No. 14/704,551) that is co</w:t>
      </w:r>
      <w:r>
        <w:rPr>
          <w:rFonts w:ascii="MS PGothic" w:cs="MS PGothic" w:eastAsia="MS PGothic" w:hAnsi="MS PGothic"/>
          <w:sz w:val="17"/>
          <w:szCs w:val="17"/>
          <w:color w:val="auto"/>
        </w:rPr>
        <w:t>‑</w:t>
      </w:r>
      <w:r>
        <w:rPr>
          <w:rFonts w:ascii="Arial" w:cs="Arial" w:eastAsia="Arial" w:hAnsi="Arial"/>
          <w:sz w:val="17"/>
          <w:szCs w:val="17"/>
          <w:color w:val="auto"/>
        </w:rPr>
        <w:t>owned by Broad, MIT, and Harvard, and in</w:t>
      </w:r>
      <w:r>
        <w:rPr>
          <w:rFonts w:ascii="MS PGothic" w:cs="MS PGothic" w:eastAsia="MS PGothic" w:hAnsi="MS PGothic"/>
          <w:sz w:val="17"/>
          <w:szCs w:val="17"/>
          <w:color w:val="auto"/>
        </w:rPr>
        <w:t>‑</w:t>
      </w:r>
      <w:r>
        <w:rPr>
          <w:rFonts w:ascii="Arial" w:cs="Arial" w:eastAsia="Arial" w:hAnsi="Arial"/>
          <w:sz w:val="17"/>
          <w:szCs w:val="17"/>
          <w:color w:val="auto"/>
        </w:rPr>
        <w:t>licensed by us. An interference is a proceeding within the USPTO to determine priority of invention of the subject matter of patent claims filed by different parties. This proceeding is only potentially available for patent applications filed in the United States on or before March 15, 2013 and related continuing patent applications. In the interference, the University of California, the University of Vienna and Emmanuelle Charpentier asserted that inventors from the University of California and the University of Vienna, and Emmanuelle Charpentier made certain inventions claimed in the Broad, MIT and Harvard patents before the inventors from Broad, MIT and, in certain cases, Harvard.</w:t>
      </w:r>
    </w:p>
    <w:p>
      <w:pPr>
        <w:spacing w:after="0" w:line="169" w:lineRule="exact"/>
        <w:rPr>
          <w:sz w:val="20"/>
          <w:szCs w:val="20"/>
          <w:color w:val="auto"/>
        </w:rPr>
      </w:pPr>
    </w:p>
    <w:p>
      <w:pPr>
        <w:ind w:right="20" w:firstLine="648"/>
        <w:spacing w:after="0" w:line="178" w:lineRule="exact"/>
        <w:rPr>
          <w:sz w:val="20"/>
          <w:szCs w:val="20"/>
          <w:color w:val="auto"/>
        </w:rPr>
      </w:pPr>
      <w:r>
        <w:rPr>
          <w:rFonts w:ascii="Arial" w:cs="Arial" w:eastAsia="Arial" w:hAnsi="Arial"/>
          <w:sz w:val="16"/>
          <w:szCs w:val="16"/>
          <w:color w:val="auto"/>
        </w:rPr>
        <w:t>In the declared interference, the University of California, acting on behalf of itself and the University of Vienna, and Emmanuelle Charpentier were designated as the senior party and Broad was designated as the junior party. In an interference proceeding, the junior party has the burden of proof and presents its priority evidence first. The declaration of interference defined the invention that is subject to the declaration of interference, also referred to as “the count,” as relating to a method that involves contacting a target DNA in a eukaryotic cell with certain defined CRISPR/Cas9 components for the purpose of cleaving or editing a target DNA molecule or modulating transcription of at least one gene encoded thereon. All of the claims in the pending U.S. patent application that is owned by the University of California, the University of Vienna, and Emmanuelle Charpentier and all of the claims in the 12 U.S. patents and one pending U.S. patent application that are co</w:t>
      </w:r>
      <w:r>
        <w:rPr>
          <w:rFonts w:ascii="MS PGothic" w:cs="MS PGothic" w:eastAsia="MS PGothic" w:hAnsi="MS PGothic"/>
          <w:sz w:val="16"/>
          <w:szCs w:val="16"/>
          <w:color w:val="auto"/>
        </w:rPr>
        <w:t>‑</w:t>
      </w:r>
      <w:r>
        <w:rPr>
          <w:rFonts w:ascii="Arial" w:cs="Arial" w:eastAsia="Arial" w:hAnsi="Arial"/>
          <w:sz w:val="16"/>
          <w:szCs w:val="16"/>
          <w:color w:val="auto"/>
        </w:rPr>
        <w:t>owned by Broad and MIT, and in some cases Harvard, and in</w:t>
      </w:r>
      <w:r>
        <w:rPr>
          <w:rFonts w:ascii="MS PGothic" w:cs="MS PGothic" w:eastAsia="MS PGothic" w:hAnsi="MS PGothic"/>
          <w:sz w:val="16"/>
          <w:szCs w:val="16"/>
          <w:color w:val="auto"/>
        </w:rPr>
        <w:t>‑</w:t>
      </w:r>
      <w:r>
        <w:rPr>
          <w:rFonts w:ascii="Arial" w:cs="Arial" w:eastAsia="Arial" w:hAnsi="Arial"/>
          <w:sz w:val="16"/>
          <w:szCs w:val="16"/>
          <w:color w:val="auto"/>
        </w:rPr>
        <w:t>licensed by us were implicated in the interference. The University of California, the University of Vienna, and Emmanuelle Charpentier are listed as applicants on U.S. Serial</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No. 13/842,859. The University of California derives rights in U.S. Serial No. 13/842,859 from an assignment by Dr. Jennifer Doudna and certain other inventors listed on such application. Caribou Biosciences has reported that it has an exclusive license to patent rights from the University of California and the University of Vienna. Intellia Therapeutics has reported that it has an exclusive license to such rights from Caribou Biosciences in certain fields. CRISPR Therapeutics, ERS Genomics, and TRACR Hematology, also our competitors, have reported that they have exclusively licensed such patent rights from Emmanuelle Charpentier. Further, Dr. Doudna was a founder of our company and entered into a consulting agreement with us at the time of our founding. However, Dr. Doudna gave notice of termination of that agreement in May 2014 after less than seven months of service, and she has had no further engagement in our business since that time. Dr. Doudna is also a founder of Caribou Biosciences and has been publicly identified as an advisor to Intellia Therapeutics, each of which is one of our competitors.</w:t>
      </w:r>
    </w:p>
    <w:p>
      <w:pPr>
        <w:spacing w:after="0" w:line="164"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As a result of the declaration of interference, an adversarial proceeding in the USPTO before the PTAB was initiated. An interference is declared to ultimately determine priority, specifically which party was first to invent the commonly claimed invention. An interference is typically divided into two phases. The first phase is typically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w:t>
      </w:r>
    </w:p>
    <w:p>
      <w:pPr>
        <w:spacing w:after="0" w:line="168" w:lineRule="exact"/>
        <w:rPr>
          <w:sz w:val="20"/>
          <w:szCs w:val="20"/>
          <w:color w:val="auto"/>
        </w:rPr>
      </w:pPr>
    </w:p>
    <w:p>
      <w:pPr>
        <w:ind w:right="20" w:firstLine="648"/>
        <w:spacing w:after="0" w:line="189" w:lineRule="exact"/>
        <w:rPr>
          <w:sz w:val="20"/>
          <w:szCs w:val="20"/>
          <w:color w:val="auto"/>
        </w:rPr>
      </w:pPr>
      <w:r>
        <w:rPr>
          <w:rFonts w:ascii="Arial" w:cs="Arial" w:eastAsia="Arial" w:hAnsi="Arial"/>
          <w:sz w:val="17"/>
          <w:szCs w:val="17"/>
          <w:color w:val="auto"/>
        </w:rPr>
        <w:t>On February 15, 2017, the PTAB held that there is no interference</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between the parties for the subject matter of the count. A judgment of no interference</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means that no interference is needed to resolve priority between the parties because the PTAB determined that our in-licensed claims are directed to subject matter that is patentably distinct from those of the University of California, the University of Vienna, and Emmanuelle Charpentier.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spacing w:after="0" w:line="187" w:lineRule="exact"/>
        <w:rPr>
          <w:sz w:val="20"/>
          <w:szCs w:val="20"/>
          <w:color w:val="auto"/>
        </w:rPr>
      </w:pPr>
      <w:r>
        <w:rPr>
          <w:rFonts w:ascii="Arial" w:cs="Arial" w:eastAsia="Arial" w:hAnsi="Arial"/>
          <w:sz w:val="18"/>
          <w:szCs w:val="18"/>
          <w:color w:val="auto"/>
        </w:rPr>
        <w:t>The interference proceeding has therefore ended without reaching the second priority phase. Therefore, the 12 U.S. patents and one U.S. patent application that we have in</w:t>
      </w:r>
      <w:r>
        <w:rPr>
          <w:rFonts w:ascii="MS PGothic" w:cs="MS PGothic" w:eastAsia="MS PGothic" w:hAnsi="MS PGothic"/>
          <w:sz w:val="18"/>
          <w:szCs w:val="18"/>
          <w:color w:val="auto"/>
        </w:rPr>
        <w:t>‑</w:t>
      </w:r>
      <w:r>
        <w:rPr>
          <w:rFonts w:ascii="Arial" w:cs="Arial" w:eastAsia="Arial" w:hAnsi="Arial"/>
          <w:sz w:val="18"/>
          <w:szCs w:val="18"/>
          <w:color w:val="auto"/>
        </w:rPr>
        <w:t>licensed from Broad, acting on behalf of itself, MIT, and Harvard, as well as the U.S. patent application owned by the University of California, the University of Vienna, and Emmanuelle Charpentier, with respect to which the PTAB had declared an interference were not modified or revoked as a result of this interference proceeding.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Having filed a notice of appeal on April 12, 2017, the University of California, the University of Vienna, and</w:t>
      </w:r>
    </w:p>
    <w:p>
      <w:pPr>
        <w:spacing w:after="0" w:line="229" w:lineRule="auto"/>
        <w:rPr>
          <w:sz w:val="20"/>
          <w:szCs w:val="20"/>
          <w:color w:val="auto"/>
        </w:rPr>
      </w:pPr>
      <w:r>
        <w:rPr>
          <w:rFonts w:ascii="Arial" w:cs="Arial" w:eastAsia="Arial" w:hAnsi="Arial"/>
          <w:sz w:val="16"/>
          <w:szCs w:val="16"/>
          <w:color w:val="auto"/>
        </w:rPr>
        <w:t>Emmanuelle Charpentier filed an appeal brief to the Court of Appeals for the Federal Circuit on July 25, 2017 for review of</w:t>
      </w:r>
    </w:p>
    <w:p>
      <w:pPr>
        <w:spacing w:after="0" w:line="215" w:lineRule="auto"/>
        <w:rPr>
          <w:sz w:val="20"/>
          <w:szCs w:val="20"/>
          <w:color w:val="auto"/>
        </w:rPr>
      </w:pPr>
      <w:r>
        <w:rPr>
          <w:rFonts w:ascii="Arial" w:cs="Arial" w:eastAsia="Arial" w:hAnsi="Arial"/>
          <w:sz w:val="17"/>
          <w:szCs w:val="17"/>
          <w:color w:val="auto"/>
        </w:rPr>
        <w:t>the no interference-in-fact holding made by the PTAB in the interference proceeding. Broad filed its responsive brief on</w:t>
      </w:r>
    </w:p>
    <w:p>
      <w:pPr>
        <w:spacing w:after="0" w:line="229" w:lineRule="auto"/>
        <w:rPr>
          <w:sz w:val="20"/>
          <w:szCs w:val="20"/>
          <w:color w:val="auto"/>
        </w:rPr>
      </w:pPr>
      <w:r>
        <w:rPr>
          <w:rFonts w:ascii="Arial" w:cs="Arial" w:eastAsia="Arial" w:hAnsi="Arial"/>
          <w:sz w:val="16"/>
          <w:szCs w:val="16"/>
          <w:color w:val="auto"/>
        </w:rPr>
        <w:t>October 25, 2017. The University of California, the University of Vienna and Emmanuelle Charpentier filed a reply brief on</w:t>
      </w:r>
    </w:p>
    <w:p>
      <w:pPr>
        <w:spacing w:after="0" w:line="204" w:lineRule="auto"/>
        <w:rPr>
          <w:sz w:val="20"/>
          <w:szCs w:val="20"/>
          <w:color w:val="auto"/>
        </w:rPr>
      </w:pPr>
      <w:r>
        <w:rPr>
          <w:rFonts w:ascii="Arial" w:cs="Arial" w:eastAsia="Arial" w:hAnsi="Arial"/>
          <w:sz w:val="18"/>
          <w:szCs w:val="18"/>
          <w:color w:val="auto"/>
        </w:rPr>
        <w:t>November 22, 2017. It is uncertain when or in what manner the Federal Circuit will act on this appeal. A final,</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appealable judgment of no interference</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bars any further interference between the same parties for claims to the</w:t>
      </w:r>
    </w:p>
    <w:p>
      <w:pPr>
        <w:spacing w:after="0" w:line="229" w:lineRule="auto"/>
        <w:rPr>
          <w:sz w:val="20"/>
          <w:szCs w:val="20"/>
          <w:color w:val="auto"/>
        </w:rPr>
      </w:pPr>
      <w:r>
        <w:rPr>
          <w:rFonts w:ascii="Arial" w:cs="Arial" w:eastAsia="Arial" w:hAnsi="Arial"/>
          <w:sz w:val="16"/>
          <w:szCs w:val="16"/>
          <w:color w:val="auto"/>
        </w:rPr>
        <w:t>same invention as the count of the interference. However, as discussed below, certain of these 12 U.S. patents and one U.S.</w:t>
      </w:r>
    </w:p>
    <w:p>
      <w:pPr>
        <w:spacing w:after="0" w:line="215" w:lineRule="auto"/>
        <w:rPr>
          <w:sz w:val="20"/>
          <w:szCs w:val="20"/>
          <w:color w:val="auto"/>
        </w:rPr>
      </w:pPr>
      <w:r>
        <w:rPr>
          <w:rFonts w:ascii="Arial" w:cs="Arial" w:eastAsia="Arial" w:hAnsi="Arial"/>
          <w:sz w:val="17"/>
          <w:szCs w:val="17"/>
          <w:color w:val="auto"/>
        </w:rPr>
        <w:t>patent application are, or may in the future be, subject to further intellectual property proceedings and disputes, including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interference proceedings.</w:t>
      </w:r>
    </w:p>
    <w:p>
      <w:pPr>
        <w:spacing w:after="0" w:line="16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 University of California, the University of Vienna, and Emmanuelle Charpentier or other third parties may file a separate Suggestion of Interference against the Broad patents that were subject to the interference or other U.S. patents and patent applications that we own or in</w:t>
      </w:r>
      <w:r>
        <w:rPr>
          <w:rFonts w:ascii="MS PGothic" w:cs="MS PGothic" w:eastAsia="MS PGothic" w:hAnsi="MS PGothic"/>
          <w:sz w:val="16"/>
          <w:szCs w:val="16"/>
          <w:color w:val="auto"/>
        </w:rPr>
        <w:t>‑</w:t>
      </w:r>
      <w:r>
        <w:rPr>
          <w:rFonts w:ascii="Arial" w:cs="Arial" w:eastAsia="Arial" w:hAnsi="Arial"/>
          <w:sz w:val="16"/>
          <w:szCs w:val="16"/>
          <w:color w:val="auto"/>
        </w:rPr>
        <w:t>license. For example, ToolGen Inc. (“ToolGen”) filed Suggestions of Interference in the USPTO on April 13, 2015 suggesting that they believe some of the claims in pending U.S. applications owned by ToolGen (U.S. Serial No. 14/685,568 and U.S. Serial No. 14/685,510) interfere with certain claims in five U.S. patents, which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These five U.S. patents are among the 12 U.S. patents with respect to which the PTAB had declared an interference with the pending U.S. patent application (U.S. Serial</w:t>
      </w:r>
    </w:p>
    <w:p>
      <w:pPr>
        <w:ind w:right="180"/>
        <w:spacing w:after="0" w:line="218" w:lineRule="auto"/>
        <w:rPr>
          <w:sz w:val="20"/>
          <w:szCs w:val="20"/>
          <w:color w:val="auto"/>
        </w:rPr>
      </w:pPr>
      <w:r>
        <w:rPr>
          <w:rFonts w:ascii="Arial" w:cs="Arial" w:eastAsia="Arial" w:hAnsi="Arial"/>
          <w:sz w:val="18"/>
          <w:szCs w:val="18"/>
          <w:color w:val="auto"/>
        </w:rPr>
        <w:t>No. 13/842,859) that is owned by the University of California, the University of Vienna, and Emmanuelle Charpentier. The Suggestions of Interference that were filed by ToolGen are still pending and it is uncertain when and in what manner the USPTO will act on them.</w:t>
      </w:r>
    </w:p>
    <w:p>
      <w:pPr>
        <w:spacing w:after="0" w:line="163"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patents and patent applications are, and may in the future become, subject to validity</w:t>
      </w:r>
    </w:p>
    <w:p>
      <w:pPr>
        <w:spacing w:after="0" w:line="184" w:lineRule="exact"/>
        <w:rPr>
          <w:sz w:val="20"/>
          <w:szCs w:val="20"/>
          <w:color w:val="auto"/>
        </w:rPr>
      </w:pPr>
      <w:r>
        <w:rPr>
          <w:rFonts w:ascii="Arial" w:cs="Arial" w:eastAsia="Arial" w:hAnsi="Arial"/>
          <w:sz w:val="16"/>
          <w:szCs w:val="16"/>
          <w:color w:val="auto"/>
        </w:rPr>
        <w:t xml:space="preserve">disputes in the USPTO and other foreign patent offices. A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w:t>
      </w:r>
      <w:r>
        <w:rPr>
          <w:rFonts w:ascii="MS PGothic" w:cs="MS PGothic" w:eastAsia="MS PGothic" w:hAnsi="MS PGothic"/>
          <w:sz w:val="16"/>
          <w:szCs w:val="16"/>
          <w:color w:val="auto"/>
        </w:rPr>
        <w:t>‑</w:t>
      </w:r>
      <w:r>
        <w:rPr>
          <w:rFonts w:ascii="Arial" w:cs="Arial" w:eastAsia="Arial" w:hAnsi="Arial"/>
          <w:sz w:val="16"/>
          <w:szCs w:val="16"/>
          <w:color w:val="auto"/>
        </w:rPr>
        <w:t>examination was filed with the USPTO on</w:t>
      </w:r>
    </w:p>
    <w:p>
      <w:pPr>
        <w:spacing w:after="0" w:line="176" w:lineRule="exact"/>
        <w:rPr>
          <w:sz w:val="20"/>
          <w:szCs w:val="20"/>
          <w:color w:val="auto"/>
        </w:rPr>
      </w:pPr>
      <w:r>
        <w:rPr>
          <w:rFonts w:ascii="Arial" w:cs="Arial" w:eastAsia="Arial" w:hAnsi="Arial"/>
          <w:sz w:val="16"/>
          <w:szCs w:val="16"/>
          <w:color w:val="auto"/>
        </w:rPr>
        <w:t>February 16, 2016 against one patent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and MIT (U.S. Patent</w:t>
      </w:r>
    </w:p>
    <w:p>
      <w:pPr>
        <w:spacing w:after="0" w:line="215" w:lineRule="auto"/>
        <w:rPr>
          <w:sz w:val="20"/>
          <w:szCs w:val="20"/>
          <w:color w:val="auto"/>
        </w:rPr>
      </w:pPr>
      <w:r>
        <w:rPr>
          <w:rFonts w:ascii="Arial" w:cs="Arial" w:eastAsia="Arial" w:hAnsi="Arial"/>
          <w:sz w:val="17"/>
          <w:szCs w:val="17"/>
          <w:color w:val="auto"/>
        </w:rPr>
        <w:t>No. 8,771,945), which was subject to the interference proceeding involving the University of California, the University of</w:t>
      </w:r>
    </w:p>
    <w:p>
      <w:pPr>
        <w:spacing w:after="0" w:line="216" w:lineRule="auto"/>
        <w:rPr>
          <w:sz w:val="20"/>
          <w:szCs w:val="20"/>
          <w:color w:val="auto"/>
        </w:rPr>
      </w:pPr>
      <w:r>
        <w:rPr>
          <w:rFonts w:ascii="Arial" w:cs="Arial" w:eastAsia="Arial" w:hAnsi="Arial"/>
          <w:sz w:val="17"/>
          <w:szCs w:val="17"/>
          <w:color w:val="auto"/>
        </w:rPr>
        <w:t xml:space="preserve">Vienna, and Emmanuelle Charpentier and referenced in the Suggestions of Interference filed by ToolGen. </w:t>
      </w:r>
      <w:r>
        <w:rPr>
          <w:rFonts w:ascii="Arial" w:cs="Arial" w:eastAsia="Arial" w:hAnsi="Arial"/>
          <w:sz w:val="17"/>
          <w:szCs w:val="17"/>
          <w:i w:val="1"/>
          <w:iCs w:val="1"/>
          <w:color w:val="auto"/>
        </w:rPr>
        <w:t>Ex parte</w:t>
      </w:r>
    </w:p>
    <w:p>
      <w:pPr>
        <w:spacing w:after="0" w:line="176" w:lineRule="exact"/>
        <w:rPr>
          <w:sz w:val="20"/>
          <w:szCs w:val="20"/>
          <w:color w:val="auto"/>
        </w:rPr>
      </w:pPr>
      <w:r>
        <w:rPr>
          <w:rFonts w:ascii="Arial" w:cs="Arial" w:eastAsia="Arial" w:hAnsi="Arial"/>
          <w:sz w:val="17"/>
          <w:szCs w:val="17"/>
          <w:color w:val="auto"/>
        </w:rPr>
        <w:t>re</w:t>
      </w:r>
      <w:r>
        <w:rPr>
          <w:rFonts w:ascii="MS PGothic" w:cs="MS PGothic" w:eastAsia="MS PGothic" w:hAnsi="MS PGothic"/>
          <w:sz w:val="17"/>
          <w:szCs w:val="17"/>
          <w:color w:val="auto"/>
        </w:rPr>
        <w:t>‑</w:t>
      </w:r>
      <w:r>
        <w:rPr>
          <w:rFonts w:ascii="Arial" w:cs="Arial" w:eastAsia="Arial" w:hAnsi="Arial"/>
          <w:sz w:val="17"/>
          <w:szCs w:val="17"/>
          <w:color w:val="auto"/>
        </w:rPr>
        <w:t>examination is a procedure through which a third party can anonymously request the USPTO to re</w:t>
      </w:r>
      <w:r>
        <w:rPr>
          <w:rFonts w:ascii="MS PGothic" w:cs="MS PGothic" w:eastAsia="MS PGothic" w:hAnsi="MS PGothic"/>
          <w:sz w:val="17"/>
          <w:szCs w:val="17"/>
          <w:color w:val="auto"/>
        </w:rPr>
        <w:t>‑</w:t>
      </w:r>
      <w:r>
        <w:rPr>
          <w:rFonts w:ascii="Arial" w:cs="Arial" w:eastAsia="Arial" w:hAnsi="Arial"/>
          <w:sz w:val="17"/>
          <w:szCs w:val="17"/>
          <w:color w:val="auto"/>
        </w:rPr>
        <w:t>examine a granted</w:t>
      </w:r>
    </w:p>
    <w:p>
      <w:pPr>
        <w:spacing w:after="0" w:line="216" w:lineRule="auto"/>
        <w:rPr>
          <w:sz w:val="20"/>
          <w:szCs w:val="20"/>
          <w:color w:val="auto"/>
        </w:rPr>
      </w:pPr>
      <w:r>
        <w:rPr>
          <w:rFonts w:ascii="Arial" w:cs="Arial" w:eastAsia="Arial" w:hAnsi="Arial"/>
          <w:sz w:val="17"/>
          <w:szCs w:val="17"/>
          <w:color w:val="auto"/>
        </w:rPr>
        <w:t>patent because the third party believes the granted patent may not be patentable over prior art in the form of a printed</w:t>
      </w:r>
    </w:p>
    <w:p>
      <w:pPr>
        <w:spacing w:after="0" w:line="176" w:lineRule="exact"/>
        <w:rPr>
          <w:sz w:val="20"/>
          <w:szCs w:val="20"/>
          <w:color w:val="auto"/>
        </w:rPr>
      </w:pPr>
      <w:r>
        <w:rPr>
          <w:rFonts w:ascii="Arial" w:cs="Arial" w:eastAsia="Arial" w:hAnsi="Arial"/>
          <w:sz w:val="16"/>
          <w:szCs w:val="16"/>
          <w:color w:val="auto"/>
        </w:rPr>
        <w:t>publication or another patent. Before the USPTO will re</w:t>
      </w:r>
      <w:r>
        <w:rPr>
          <w:rFonts w:ascii="MS PGothic" w:cs="MS PGothic" w:eastAsia="MS PGothic" w:hAnsi="MS PGothic"/>
          <w:sz w:val="16"/>
          <w:szCs w:val="16"/>
          <w:color w:val="auto"/>
        </w:rPr>
        <w:t>‑</w:t>
      </w:r>
      <w:r>
        <w:rPr>
          <w:rFonts w:ascii="Arial" w:cs="Arial" w:eastAsia="Arial" w:hAnsi="Arial"/>
          <w:sz w:val="16"/>
          <w:szCs w:val="16"/>
          <w:color w:val="auto"/>
        </w:rPr>
        <w:t>examine a granted patent, the third party requestor must establish</w:t>
      </w:r>
    </w:p>
    <w:p>
      <w:pPr>
        <w:spacing w:after="0" w:line="229" w:lineRule="auto"/>
        <w:rPr>
          <w:sz w:val="20"/>
          <w:szCs w:val="20"/>
          <w:color w:val="auto"/>
        </w:rPr>
      </w:pPr>
      <w:r>
        <w:rPr>
          <w:rFonts w:ascii="Arial" w:cs="Arial" w:eastAsia="Arial" w:hAnsi="Arial"/>
          <w:sz w:val="16"/>
          <w:szCs w:val="16"/>
          <w:color w:val="auto"/>
        </w:rPr>
        <w:t>that the submitted prior art establishes a substantial and new question of patentability. If the USPTO determines there is a</w:t>
      </w:r>
    </w:p>
    <w:p>
      <w:pPr>
        <w:spacing w:after="0" w:line="176" w:lineRule="exact"/>
        <w:rPr>
          <w:sz w:val="20"/>
          <w:szCs w:val="20"/>
          <w:color w:val="auto"/>
        </w:rPr>
      </w:pPr>
      <w:r>
        <w:rPr>
          <w:rFonts w:ascii="Arial" w:cs="Arial" w:eastAsia="Arial" w:hAnsi="Arial"/>
          <w:sz w:val="16"/>
          <w:szCs w:val="16"/>
          <w:color w:val="auto"/>
        </w:rPr>
        <w:t>substantial and new question of patentability, it grants the re</w:t>
      </w:r>
      <w:r>
        <w:rPr>
          <w:rFonts w:ascii="MS PGothic" w:cs="MS PGothic" w:eastAsia="MS PGothic" w:hAnsi="MS PGothic"/>
          <w:sz w:val="16"/>
          <w:szCs w:val="16"/>
          <w:color w:val="auto"/>
        </w:rPr>
        <w:t>‑</w:t>
      </w:r>
      <w:r>
        <w:rPr>
          <w:rFonts w:ascii="Arial" w:cs="Arial" w:eastAsia="Arial" w:hAnsi="Arial"/>
          <w:sz w:val="16"/>
          <w:szCs w:val="16"/>
          <w:color w:val="auto"/>
        </w:rPr>
        <w:t>examination request and re</w:t>
      </w:r>
      <w:r>
        <w:rPr>
          <w:rFonts w:ascii="MS PGothic" w:cs="MS PGothic" w:eastAsia="MS PGothic" w:hAnsi="MS PGothic"/>
          <w:sz w:val="16"/>
          <w:szCs w:val="16"/>
          <w:color w:val="auto"/>
        </w:rPr>
        <w:t>‑</w:t>
      </w:r>
      <w:r>
        <w:rPr>
          <w:rFonts w:ascii="Arial" w:cs="Arial" w:eastAsia="Arial" w:hAnsi="Arial"/>
          <w:sz w:val="16"/>
          <w:szCs w:val="16"/>
          <w:color w:val="auto"/>
        </w:rPr>
        <w:t>examines the patent after giving the</w:t>
      </w:r>
    </w:p>
    <w:p>
      <w:pPr>
        <w:spacing w:after="0" w:line="176" w:lineRule="exact"/>
        <w:rPr>
          <w:sz w:val="20"/>
          <w:szCs w:val="20"/>
          <w:color w:val="auto"/>
        </w:rPr>
      </w:pPr>
      <w:r>
        <w:rPr>
          <w:rFonts w:ascii="Arial" w:cs="Arial" w:eastAsia="Arial" w:hAnsi="Arial"/>
          <w:sz w:val="16"/>
          <w:szCs w:val="16"/>
          <w:color w:val="auto"/>
        </w:rPr>
        <w:t xml:space="preserve">patent owner the option of filing an initial statement. The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w:t>
      </w:r>
      <w:r>
        <w:rPr>
          <w:rFonts w:ascii="MS PGothic" w:cs="MS PGothic" w:eastAsia="MS PGothic" w:hAnsi="MS PGothic"/>
          <w:sz w:val="16"/>
          <w:szCs w:val="16"/>
          <w:color w:val="auto"/>
        </w:rPr>
        <w:t>‑</w:t>
      </w:r>
      <w:r>
        <w:rPr>
          <w:rFonts w:ascii="Arial" w:cs="Arial" w:eastAsia="Arial" w:hAnsi="Arial"/>
          <w:sz w:val="16"/>
          <w:szCs w:val="16"/>
          <w:color w:val="auto"/>
        </w:rPr>
        <w:t>examination of U.S. Patent No. 8,771,945</w:t>
      </w:r>
    </w:p>
    <w:p>
      <w:pPr>
        <w:spacing w:after="0" w:line="176" w:lineRule="exact"/>
        <w:rPr>
          <w:sz w:val="20"/>
          <w:szCs w:val="20"/>
          <w:color w:val="auto"/>
        </w:rPr>
      </w:pPr>
      <w:r>
        <w:rPr>
          <w:rFonts w:ascii="Arial" w:cs="Arial" w:eastAsia="Arial" w:hAnsi="Arial"/>
          <w:sz w:val="16"/>
          <w:szCs w:val="16"/>
          <w:color w:val="auto"/>
        </w:rPr>
        <w:t>was granted on May 9, 2016 thereby initiating a re</w:t>
      </w:r>
      <w:r>
        <w:rPr>
          <w:rFonts w:ascii="MS PGothic" w:cs="MS PGothic" w:eastAsia="MS PGothic" w:hAnsi="MS PGothic"/>
          <w:sz w:val="16"/>
          <w:szCs w:val="16"/>
          <w:color w:val="auto"/>
        </w:rPr>
        <w:t>‑</w:t>
      </w:r>
      <w:r>
        <w:rPr>
          <w:rFonts w:ascii="Arial" w:cs="Arial" w:eastAsia="Arial" w:hAnsi="Arial"/>
          <w:sz w:val="16"/>
          <w:szCs w:val="16"/>
          <w:color w:val="auto"/>
        </w:rPr>
        <w:t>examination procedure between the USPTO and Broad, acting on behalf</w:t>
      </w:r>
    </w:p>
    <w:p>
      <w:pPr>
        <w:spacing w:after="0" w:line="176" w:lineRule="exact"/>
        <w:rPr>
          <w:sz w:val="20"/>
          <w:szCs w:val="20"/>
          <w:color w:val="auto"/>
        </w:rPr>
      </w:pPr>
      <w:r>
        <w:rPr>
          <w:rFonts w:ascii="Arial" w:cs="Arial" w:eastAsia="Arial" w:hAnsi="Arial"/>
          <w:sz w:val="17"/>
          <w:szCs w:val="17"/>
          <w:color w:val="auto"/>
        </w:rPr>
        <w:t>of itself and MIT. The third party requestor does not participate in the re</w:t>
      </w:r>
      <w:r>
        <w:rPr>
          <w:rFonts w:ascii="MS PGothic" w:cs="MS PGothic" w:eastAsia="MS PGothic" w:hAnsi="MS PGothic"/>
          <w:sz w:val="17"/>
          <w:szCs w:val="17"/>
          <w:color w:val="auto"/>
        </w:rPr>
        <w:t>‑</w:t>
      </w:r>
      <w:r>
        <w:rPr>
          <w:rFonts w:ascii="Arial" w:cs="Arial" w:eastAsia="Arial" w:hAnsi="Arial"/>
          <w:sz w:val="17"/>
          <w:szCs w:val="17"/>
          <w:color w:val="auto"/>
        </w:rPr>
        <w:t>examination procedure after filing the request</w:t>
      </w:r>
    </w:p>
    <w:p>
      <w:pPr>
        <w:spacing w:after="0" w:line="216" w:lineRule="auto"/>
        <w:rPr>
          <w:sz w:val="20"/>
          <w:szCs w:val="20"/>
          <w:color w:val="auto"/>
        </w:rPr>
      </w:pPr>
      <w:r>
        <w:rPr>
          <w:rFonts w:ascii="Arial" w:cs="Arial" w:eastAsia="Arial" w:hAnsi="Arial"/>
          <w:sz w:val="17"/>
          <w:szCs w:val="17"/>
          <w:color w:val="auto"/>
        </w:rPr>
        <w:t>except that it has the option of responding if the patent owner chooses to file an initial statement. On May 12, 2016, the</w:t>
      </w:r>
    </w:p>
    <w:p>
      <w:pPr>
        <w:spacing w:after="0" w:line="176" w:lineRule="exact"/>
        <w:rPr>
          <w:sz w:val="20"/>
          <w:szCs w:val="20"/>
          <w:color w:val="auto"/>
        </w:rPr>
      </w:pPr>
      <w:r>
        <w:rPr>
          <w:rFonts w:ascii="Arial" w:cs="Arial" w:eastAsia="Arial" w:hAnsi="Arial"/>
          <w:sz w:val="16"/>
          <w:szCs w:val="16"/>
          <w:color w:val="auto"/>
        </w:rPr>
        <w:t>PTAB suspended the re</w:t>
      </w:r>
      <w:r>
        <w:rPr>
          <w:rFonts w:ascii="MS PGothic" w:cs="MS PGothic" w:eastAsia="MS PGothic" w:hAnsi="MS PGothic"/>
          <w:sz w:val="16"/>
          <w:szCs w:val="16"/>
          <w:color w:val="auto"/>
        </w:rPr>
        <w:t>‑</w:t>
      </w:r>
      <w:r>
        <w:rPr>
          <w:rFonts w:ascii="Arial" w:cs="Arial" w:eastAsia="Arial" w:hAnsi="Arial"/>
          <w:sz w:val="16"/>
          <w:szCs w:val="16"/>
          <w:color w:val="auto"/>
        </w:rPr>
        <w:t>examination of U.S. Patent No. 8,771,945 noting that it has jurisdiction over any file that involves a</w:t>
      </w:r>
    </w:p>
    <w:p>
      <w:pPr>
        <w:spacing w:after="0" w:line="229" w:lineRule="auto"/>
        <w:rPr>
          <w:sz w:val="20"/>
          <w:szCs w:val="20"/>
          <w:color w:val="auto"/>
        </w:rPr>
      </w:pPr>
      <w:r>
        <w:rPr>
          <w:rFonts w:ascii="Arial" w:cs="Arial" w:eastAsia="Arial" w:hAnsi="Arial"/>
          <w:sz w:val="16"/>
          <w:szCs w:val="16"/>
          <w:color w:val="auto"/>
        </w:rPr>
        <w:t>patent involved in the interference. It is uncertain when the PTAB will lift the suspension, however the PTAB may do so in</w:t>
      </w:r>
    </w:p>
    <w:p>
      <w:pPr>
        <w:spacing w:after="0" w:line="176" w:lineRule="exact"/>
        <w:rPr>
          <w:sz w:val="20"/>
          <w:szCs w:val="20"/>
          <w:color w:val="auto"/>
        </w:rPr>
      </w:pPr>
      <w:r>
        <w:rPr>
          <w:rFonts w:ascii="Arial" w:cs="Arial" w:eastAsia="Arial" w:hAnsi="Arial"/>
          <w:sz w:val="18"/>
          <w:szCs w:val="18"/>
          <w:color w:val="auto"/>
        </w:rPr>
        <w:t>light of the PTAB’s no interference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holding. If Broad is unsuccessful during the re</w:t>
      </w:r>
      <w:r>
        <w:rPr>
          <w:rFonts w:ascii="MS PGothic" w:cs="MS PGothic" w:eastAsia="MS PGothic" w:hAnsi="MS PGothic"/>
          <w:sz w:val="18"/>
          <w:szCs w:val="18"/>
          <w:color w:val="auto"/>
        </w:rPr>
        <w:t>‑</w:t>
      </w:r>
      <w:r>
        <w:rPr>
          <w:rFonts w:ascii="Arial" w:cs="Arial" w:eastAsia="Arial" w:hAnsi="Arial"/>
          <w:sz w:val="18"/>
          <w:szCs w:val="18"/>
          <w:color w:val="auto"/>
        </w:rPr>
        <w:t>examination, U.S. Patent</w:t>
      </w:r>
    </w:p>
    <w:p>
      <w:pPr>
        <w:ind w:right="40"/>
        <w:spacing w:after="0" w:line="226" w:lineRule="auto"/>
        <w:rPr>
          <w:sz w:val="20"/>
          <w:szCs w:val="20"/>
          <w:color w:val="auto"/>
        </w:rPr>
      </w:pPr>
      <w:r>
        <w:rPr>
          <w:rFonts w:ascii="Arial" w:cs="Arial" w:eastAsia="Arial" w:hAnsi="Arial"/>
          <w:sz w:val="18"/>
          <w:szCs w:val="18"/>
          <w:color w:val="auto"/>
        </w:rPr>
        <w:t>No. 8,771,945 may be revoked or narrowed, which could have a material adverse effect on the scope of our rights under such patent.</w:t>
      </w:r>
    </w:p>
    <w:p>
      <w:pPr>
        <w:spacing w:after="0" w:line="161"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The 12 in</w:t>
      </w:r>
      <w:r>
        <w:rPr>
          <w:rFonts w:ascii="MS PGothic" w:cs="MS PGothic" w:eastAsia="MS PGothic" w:hAnsi="MS PGothic"/>
          <w:sz w:val="16"/>
          <w:szCs w:val="16"/>
          <w:color w:val="auto"/>
        </w:rPr>
        <w:t>‑</w:t>
      </w:r>
      <w:r>
        <w:rPr>
          <w:rFonts w:ascii="Arial" w:cs="Arial" w:eastAsia="Arial" w:hAnsi="Arial"/>
          <w:sz w:val="16"/>
          <w:szCs w:val="16"/>
          <w:color w:val="auto"/>
        </w:rPr>
        <w:t>licensed U.S. patents and one in</w:t>
      </w:r>
      <w:r>
        <w:rPr>
          <w:rFonts w:ascii="MS PGothic" w:cs="MS PGothic" w:eastAsia="MS PGothic" w:hAnsi="MS PGothic"/>
          <w:sz w:val="16"/>
          <w:szCs w:val="16"/>
          <w:color w:val="auto"/>
        </w:rPr>
        <w:t>‑</w:t>
      </w:r>
      <w:r>
        <w:rPr>
          <w:rFonts w:ascii="Arial" w:cs="Arial" w:eastAsia="Arial" w:hAnsi="Arial"/>
          <w:sz w:val="16"/>
          <w:szCs w:val="16"/>
          <w:color w:val="auto"/>
        </w:rPr>
        <w:t>licensed U.S. patent application that were the subject of the interference with the pending U.S. patent application (U.S. Serial No. 13/842,859) that is owned by the University of California, the University of Vienna, and Emmanuelle Charpentier (which includes the five in</w:t>
      </w:r>
      <w:r>
        <w:rPr>
          <w:rFonts w:ascii="MS PGothic" w:cs="MS PGothic" w:eastAsia="MS PGothic" w:hAnsi="MS PGothic"/>
          <w:sz w:val="16"/>
          <w:szCs w:val="16"/>
          <w:color w:val="auto"/>
        </w:rPr>
        <w:t>‑</w:t>
      </w:r>
      <w:r>
        <w:rPr>
          <w:rFonts w:ascii="Arial" w:cs="Arial" w:eastAsia="Arial" w:hAnsi="Arial"/>
          <w:sz w:val="16"/>
          <w:szCs w:val="16"/>
          <w:color w:val="auto"/>
        </w:rPr>
        <w:t>licensed U.S. patents that are the subject of the Suggestions of Interference filed by ToolGen and the one in</w:t>
      </w:r>
      <w:r>
        <w:rPr>
          <w:rFonts w:ascii="MS PGothic" w:cs="MS PGothic" w:eastAsia="MS PGothic" w:hAnsi="MS PGothic"/>
          <w:sz w:val="16"/>
          <w:szCs w:val="16"/>
          <w:color w:val="auto"/>
        </w:rPr>
        <w:t>‑</w:t>
      </w:r>
      <w:r>
        <w:rPr>
          <w:rFonts w:ascii="Arial" w:cs="Arial" w:eastAsia="Arial" w:hAnsi="Arial"/>
          <w:sz w:val="16"/>
          <w:szCs w:val="16"/>
          <w:color w:val="auto"/>
        </w:rPr>
        <w:t>licensed U.S. patent that is the subject of the re</w:t>
      </w:r>
      <w:r>
        <w:rPr>
          <w:rFonts w:ascii="MS PGothic" w:cs="MS PGothic" w:eastAsia="MS PGothic" w:hAnsi="MS PGothic"/>
          <w:sz w:val="16"/>
          <w:szCs w:val="16"/>
          <w:color w:val="auto"/>
        </w:rPr>
        <w:t>‑</w:t>
      </w:r>
      <w:r>
        <w:rPr>
          <w:rFonts w:ascii="Arial" w:cs="Arial" w:eastAsia="Arial" w:hAnsi="Arial"/>
          <w:sz w:val="16"/>
          <w:szCs w:val="16"/>
          <w:color w:val="auto"/>
        </w:rPr>
        <w:t>examination) relate generally to the CRISPR/Cas9 system and its use in eukaryotic cells. The claims of the 12 in</w:t>
      </w:r>
      <w:r>
        <w:rPr>
          <w:rFonts w:ascii="MS PGothic" w:cs="MS PGothic" w:eastAsia="MS PGothic" w:hAnsi="MS PGothic"/>
          <w:sz w:val="16"/>
          <w:szCs w:val="16"/>
          <w:color w:val="auto"/>
        </w:rPr>
        <w:t>‑</w:t>
      </w:r>
      <w:r>
        <w:rPr>
          <w:rFonts w:ascii="Arial" w:cs="Arial" w:eastAsia="Arial" w:hAnsi="Arial"/>
          <w:sz w:val="16"/>
          <w:szCs w:val="16"/>
          <w:color w:val="auto"/>
        </w:rPr>
        <w:t>licensed U.S. patents and one in</w:t>
      </w:r>
      <w:r>
        <w:rPr>
          <w:rFonts w:ascii="MS PGothic" w:cs="MS PGothic" w:eastAsia="MS PGothic" w:hAnsi="MS PGothic"/>
          <w:sz w:val="16"/>
          <w:szCs w:val="16"/>
          <w:color w:val="auto"/>
        </w:rPr>
        <w:t>‑</w:t>
      </w:r>
      <w:r>
        <w:rPr>
          <w:rFonts w:ascii="Arial" w:cs="Arial" w:eastAsia="Arial" w:hAnsi="Arial"/>
          <w:sz w:val="16"/>
          <w:szCs w:val="16"/>
          <w:color w:val="auto"/>
        </w:rPr>
        <w:t xml:space="preserve">licensed U.S. patent application vary in scope and coverage and include claims that are directed to CRISPR/Cas9 systems that employ viral vectors for delivery, single guide RNAs, modified guide RNAs,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Cas9, or a Cas9 nickase and are relevant to our genome editing platform technology. The loss or narrowing in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0"/>
        <w:spacing w:after="0" w:line="194" w:lineRule="exact"/>
        <w:rPr>
          <w:sz w:val="20"/>
          <w:szCs w:val="20"/>
          <w:color w:val="auto"/>
        </w:rPr>
      </w:pPr>
      <w:r>
        <w:rPr>
          <w:rFonts w:ascii="Arial" w:cs="Arial" w:eastAsia="Arial" w:hAnsi="Arial"/>
          <w:sz w:val="18"/>
          <w:szCs w:val="18"/>
          <w:color w:val="auto"/>
        </w:rPr>
        <w:t>scope of one or more of these in</w:t>
      </w:r>
      <w:r>
        <w:rPr>
          <w:rFonts w:ascii="MS PGothic" w:cs="MS PGothic" w:eastAsia="MS PGothic" w:hAnsi="MS PGothic"/>
          <w:sz w:val="18"/>
          <w:szCs w:val="18"/>
          <w:color w:val="auto"/>
        </w:rPr>
        <w:t>‑</w:t>
      </w:r>
      <w:r>
        <w:rPr>
          <w:rFonts w:ascii="Arial" w:cs="Arial" w:eastAsia="Arial" w:hAnsi="Arial"/>
          <w:sz w:val="18"/>
          <w:szCs w:val="18"/>
          <w:color w:val="auto"/>
        </w:rPr>
        <w:t>licensed patents could have a material adverse effect on the conduct of our business, financial condition, results of operations, and prospects. The loss or narrowing in scope of one or more of these in-licensed patents could have a material adverse effect on the conduct of our business.</w:t>
      </w:r>
    </w:p>
    <w:p>
      <w:pPr>
        <w:spacing w:after="0" w:line="163"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In addition, we or our licensors may be subject to claims that former employees, collaborators, or other third parties have an interest in our owned or in</w:t>
      </w:r>
      <w:r>
        <w:rPr>
          <w:rFonts w:ascii="MS PGothic" w:cs="MS PGothic" w:eastAsia="MS PGothic" w:hAnsi="MS PGothic"/>
          <w:sz w:val="16"/>
          <w:szCs w:val="16"/>
          <w:color w:val="auto"/>
        </w:rPr>
        <w:t>‑</w:t>
      </w:r>
      <w:r>
        <w:rPr>
          <w:rFonts w:ascii="Arial" w:cs="Arial" w:eastAsia="Arial" w:hAnsi="Arial"/>
          <w:sz w:val="16"/>
          <w:szCs w:val="16"/>
          <w:color w:val="auto"/>
        </w:rPr>
        <w:t>licensed patents or patent applications, or other intellectual property as an inventor or co</w:t>
      </w:r>
      <w:r>
        <w:rPr>
          <w:rFonts w:ascii="MS PGothic" w:cs="MS PGothic" w:eastAsia="MS PGothic" w:hAnsi="MS PGothic"/>
          <w:sz w:val="16"/>
          <w:szCs w:val="16"/>
          <w:color w:val="auto"/>
        </w:rPr>
        <w:t>‑</w:t>
      </w:r>
      <w:r>
        <w:rPr>
          <w:rFonts w:ascii="Arial" w:cs="Arial" w:eastAsia="Arial" w:hAnsi="Arial"/>
          <w:sz w:val="16"/>
          <w:szCs w:val="16"/>
          <w:color w:val="auto"/>
        </w:rPr>
        <w:t>inventor. If we are unable to obtain an exclusive license to any such third party co</w:t>
      </w:r>
      <w:r>
        <w:rPr>
          <w:rFonts w:ascii="MS PGothic" w:cs="MS PGothic" w:eastAsia="MS PGothic" w:hAnsi="MS PGothic"/>
          <w:sz w:val="16"/>
          <w:szCs w:val="16"/>
          <w:color w:val="auto"/>
        </w:rPr>
        <w:t>‑</w:t>
      </w:r>
      <w:r>
        <w:rPr>
          <w:rFonts w:ascii="Arial" w:cs="Arial" w:eastAsia="Arial" w:hAnsi="Arial"/>
          <w:sz w:val="16"/>
          <w:szCs w:val="16"/>
          <w:color w:val="auto"/>
        </w:rPr>
        <w:t>owners’ interest in such patents or patent applications, such co</w:t>
      </w:r>
      <w:r>
        <w:rPr>
          <w:rFonts w:ascii="MS PGothic" w:cs="MS PGothic" w:eastAsia="MS PGothic" w:hAnsi="MS PGothic"/>
          <w:sz w:val="16"/>
          <w:szCs w:val="16"/>
          <w:color w:val="auto"/>
        </w:rPr>
        <w:t>‑</w:t>
      </w:r>
      <w:r>
        <w:rPr>
          <w:rFonts w:ascii="Arial" w:cs="Arial" w:eastAsia="Arial" w:hAnsi="Arial"/>
          <w:sz w:val="16"/>
          <w:szCs w:val="16"/>
          <w:color w:val="auto"/>
        </w:rPr>
        <w:t>owners may be able to license their rights to other third parties, including our competitors. In addition, we may need the cooperation of any such co</w:t>
      </w:r>
      <w:r>
        <w:rPr>
          <w:rFonts w:ascii="MS PGothic" w:cs="MS PGothic" w:eastAsia="MS PGothic" w:hAnsi="MS PGothic"/>
          <w:sz w:val="16"/>
          <w:szCs w:val="16"/>
          <w:color w:val="auto"/>
        </w:rPr>
        <w:t>‑</w:t>
      </w:r>
      <w:r>
        <w:rPr>
          <w:rFonts w:ascii="Arial" w:cs="Arial" w:eastAsia="Arial" w:hAnsi="Arial"/>
          <w:sz w:val="16"/>
          <w:szCs w:val="16"/>
          <w:color w:val="auto"/>
        </w:rPr>
        <w:t>owners to enforce any patents, including any patents that issue from such patent applications, against third parties, and such cooperation may not be provided to us. Any of the foregoing could have a material adverse effect on the conduct of our business, financial condition, results of operations, and prospects.</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We or our licensors are subject to and may in the future become a party to similar proceedings or priority disputes in Europe or other foreign jurisdictions. On January 17, 2018, the European Patent Office Opposition Division (the “Opposition Division”) revoked in the European Patent Office (“EPO”) a European patent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(European Patent No. EP 2,771,468 B1). On January 18, 2018, Broad, acting on behalf of itself, MIT and Harvard filed a notice of appeal to the Boards of Appeal of the EPO for review of the Opposition Division’s decision to revoke this patent. It is uncertain when or in what manner the Boards of Appeal will act on this appeal. The Opposition Division has also initiated opposition proceedings against six other European patents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(European Patent Nos. EP 2,784,162 B1, EP 2,896,697 B1, EP 2,898,075 B1, EP 2,921,557 B1,EP 2,931,898 B1, and EP 3,009,511 B1), one European patent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and MIT (European Patent No. EP 2,764,103 B1), and two European patents that we have in-licensed from Broad, acting on behalf of itself, MIT, Harvard and The Rockefeller University (“Rockefeller”) (European Patent Nos. EP 2,825,654 B1 and EP 2,840,140 B1). The EPO opposition proceedings may involve issues including, but not limited to, procedural formalities related to filing the European patent application, priority, and the patentability of the involved claims. One or more of the third parties that have filed oppositions against European Patent Nos. EP 2,771,468 B1, EP 2,784,162 B1, EP 2,764,103 B1, EP 2,825,654 B1, EP 2,840,140 B1, EP 2,896,697 B1, EP 2,898,075 B1, EP 2,921,557 B1, EP 2,931,898 B1, and/or EP 3,009,511 B1 or other third parties may file future oppositions against other European patents that we in</w:t>
      </w:r>
      <w:r>
        <w:rPr>
          <w:rFonts w:ascii="MS PGothic" w:cs="MS PGothic" w:eastAsia="MS PGothic" w:hAnsi="MS PGothic"/>
          <w:sz w:val="16"/>
          <w:szCs w:val="16"/>
          <w:color w:val="auto"/>
        </w:rPr>
        <w:t>‑</w:t>
      </w:r>
      <w:r>
        <w:rPr>
          <w:rFonts w:ascii="Arial" w:cs="Arial" w:eastAsia="Arial" w:hAnsi="Arial"/>
          <w:sz w:val="16"/>
          <w:szCs w:val="16"/>
          <w:color w:val="auto"/>
        </w:rPr>
        <w:t>license or own. For example, we are aware that notices of opposition have been filed against one other European patent that we in-license from Broad, acting on behalf of itself, MIT and Harvard (European Patent No. EP 2,931,897 B1). The deadline for filing oppositions against this European patent is August 1, 2018. There may be other oppositions against this European patent that have not yet been filed or that have not yet been made available to the public. In addition, we are aware that Intellia Therapeutics filed petitions in two actions in United States District Court seeking discovery of information, including inventorship information, related to issues in these pending EPO opposition proceedings. Both of these petitions were denied by the respective District Court and, in one of these two actions, Intellia Therapeutics has filed a notice of appeal to the United States Court of Appeals. Disclosure of any such information may result in additional validity challenges to our in</w:t>
      </w:r>
      <w:r>
        <w:rPr>
          <w:rFonts w:ascii="MS PGothic" w:cs="MS PGothic" w:eastAsia="MS PGothic" w:hAnsi="MS PGothic"/>
          <w:sz w:val="16"/>
          <w:szCs w:val="16"/>
          <w:color w:val="auto"/>
        </w:rPr>
        <w:t>‑</w:t>
      </w:r>
      <w:r>
        <w:rPr>
          <w:rFonts w:ascii="Arial" w:cs="Arial" w:eastAsia="Arial" w:hAnsi="Arial"/>
          <w:sz w:val="16"/>
          <w:szCs w:val="16"/>
          <w:color w:val="auto"/>
        </w:rPr>
        <w:t>licensed European patents and patent applications. The loss of priority for, or the loss of, these European patents could have a material adverse effect on the conduct of our business.</w:t>
      </w:r>
    </w:p>
    <w:p>
      <w:pPr>
        <w:spacing w:after="0" w:line="177"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6"/>
          <w:szCs w:val="16"/>
          <w:color w:val="auto"/>
        </w:rPr>
        <w:t>If we or our licensors are unsuccessful in any patent related disputes, including interference proceedings, patent oppositions, re-examinations, or other priority, inventorship, or validity disputes to which we or they are subject (including any of the proceedings discussed above), we may lose valuable intellectual property rights through the loss of one or more patents owned or licensed or our owned or licensed patent claims may be narrowed, invalidated, or held unenforceable. In addition, if we or our licensors are unsuccessful in any inventorship disputes to which we or they are subject, we may lose valuable intellectual property rights, such as exclusive ownership of, or the exclusive right to use, our owned or in</w:t>
      </w:r>
      <w:r>
        <w:rPr>
          <w:rFonts w:ascii="MS PGothic" w:cs="MS PGothic" w:eastAsia="MS PGothic" w:hAnsi="MS PGothic"/>
          <w:sz w:val="16"/>
          <w:szCs w:val="16"/>
          <w:color w:val="auto"/>
        </w:rPr>
        <w:t>‑</w:t>
      </w:r>
      <w:r>
        <w:rPr>
          <w:rFonts w:ascii="Arial" w:cs="Arial" w:eastAsia="Arial" w:hAnsi="Arial"/>
          <w:sz w:val="16"/>
          <w:szCs w:val="16"/>
          <w:color w:val="auto"/>
        </w:rPr>
        <w:t>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w:t>
      </w:r>
      <w:r>
        <w:rPr>
          <w:rFonts w:ascii="MS PGothic" w:cs="MS PGothic" w:eastAsia="MS PGothic" w:hAnsi="MS PGothic"/>
          <w:sz w:val="16"/>
          <w:szCs w:val="16"/>
          <w:color w:val="auto"/>
        </w:rPr>
        <w:t>‑</w:t>
      </w:r>
      <w:r>
        <w:rPr>
          <w:rFonts w:ascii="Arial" w:cs="Arial" w:eastAsia="Arial" w:hAnsi="Arial"/>
          <w:sz w:val="16"/>
          <w:szCs w:val="16"/>
          <w:color w:val="auto"/>
        </w:rPr>
        <w:t>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successful in any interference proceeding or other priority, inventorship, or validity disputes, it could result in substantial costs and be a distraction to our management and other employees.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85"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our intellectual property license agreements may not always include worldwide rights. For example, certain U.S. patent applications licensed to us by Broad include The University of Tokyo (“Tokyo”) and NIH as joint applicants. Broad has only granted a license to us with respect to its interests and to Tokyo’s interests in these U.S. patent applications but not to any foreign equivalents thereof.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63" w:lineRule="exact"/>
        <w:rPr>
          <w:sz w:val="20"/>
          <w:szCs w:val="20"/>
          <w:color w:val="auto"/>
        </w:rPr>
      </w:pPr>
    </w:p>
    <w:p>
      <w:pPr>
        <w:ind w:right="160" w:firstLine="648"/>
        <w:spacing w:after="0" w:line="235"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6"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2" w:lineRule="exact"/>
        <w:rPr>
          <w:sz w:val="20"/>
          <w:szCs w:val="20"/>
          <w:color w:val="auto"/>
        </w:rPr>
      </w:pPr>
    </w:p>
    <w:p>
      <w:pPr>
        <w:jc w:val="both"/>
        <w:ind w:right="40"/>
        <w:spacing w:after="0" w:line="194" w:lineRule="exact"/>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these requirements.</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w:t>
      </w:r>
      <w:r>
        <w:rPr>
          <w:rFonts w:ascii="MS PGothic" w:cs="MS PGothic" w:eastAsia="MS PGothic" w:hAnsi="MS PGothic"/>
          <w:sz w:val="17"/>
          <w:szCs w:val="17"/>
          <w:color w:val="auto"/>
        </w:rPr>
        <w:t>‑</w:t>
      </w:r>
      <w:r>
        <w:rPr>
          <w:rFonts w:ascii="Arial" w:cs="Arial" w:eastAsia="Arial" w:hAnsi="Arial"/>
          <w:sz w:val="17"/>
          <w:szCs w:val="17"/>
          <w:color w:val="auto"/>
        </w:rPr>
        <w:t>U.S. patent agencies. The USPTO and various non</w:t>
      </w:r>
      <w:r>
        <w:rPr>
          <w:rFonts w:ascii="MS PGothic" w:cs="MS PGothic" w:eastAsia="MS PGothic" w:hAnsi="MS PGothic"/>
          <w:sz w:val="17"/>
          <w:szCs w:val="17"/>
          <w:color w:val="auto"/>
        </w:rPr>
        <w:t>‑</w:t>
      </w:r>
      <w:r>
        <w:rPr>
          <w:rFonts w:ascii="Arial" w:cs="Arial" w:eastAsia="Arial" w:hAnsi="Arial"/>
          <w:sz w:val="17"/>
          <w:szCs w:val="17"/>
          <w:color w:val="auto"/>
        </w:rPr>
        <w:t>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w:t>
      </w:r>
      <w:r>
        <w:rPr>
          <w:rFonts w:ascii="MS PGothic" w:cs="MS PGothic" w:eastAsia="MS PGothic" w:hAnsi="MS PGothic"/>
          <w:sz w:val="17"/>
          <w:szCs w:val="17"/>
          <w:color w:val="auto"/>
        </w:rPr>
        <w:t>‑</w:t>
      </w:r>
      <w:r>
        <w:rPr>
          <w:rFonts w:ascii="Arial" w:cs="Arial" w:eastAsia="Arial" w:hAnsi="Arial"/>
          <w:sz w:val="17"/>
          <w:szCs w:val="17"/>
          <w:color w:val="auto"/>
        </w:rPr>
        <w:t>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3"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including CRISPR genome editing technology, manufacturing methods, product candidates, or future methods or products resulting in either an injunction prohibiting our manufacture or sales, or, with respect to our sales, an obligation on our part to pay royalties and/or other forms of compensation to third parties, which could be significant.</w:t>
      </w:r>
    </w:p>
    <w:p>
      <w:pPr>
        <w:spacing w:after="0" w:line="166"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In each of our license agreements, and we expect in our future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Disputes may arise regarding intellectual property subject to a licensing agreement, including:</w:t>
      </w:r>
    </w:p>
    <w:p>
      <w:pPr>
        <w:spacing w:after="0" w:line="155" w:lineRule="exact"/>
        <w:rPr>
          <w:sz w:val="20"/>
          <w:szCs w:val="20"/>
          <w:color w:val="auto"/>
        </w:rPr>
      </w:pPr>
    </w:p>
    <w:p>
      <w:pPr>
        <w:ind w:left="980" w:hanging="329"/>
        <w:spacing w:after="0" w:line="207" w:lineRule="exact"/>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w:t>
      </w:r>
      <w:r>
        <w:rPr>
          <w:rFonts w:ascii="MS PGothic" w:cs="MS PGothic" w:eastAsia="MS PGothic" w:hAnsi="MS PGothic"/>
          <w:sz w:val="18"/>
          <w:szCs w:val="18"/>
          <w:color w:val="auto"/>
        </w:rPr>
        <w:t>‑</w:t>
      </w:r>
      <w:r>
        <w:rPr>
          <w:rFonts w:ascii="Arial" w:cs="Arial" w:eastAsia="Arial" w:hAnsi="Arial"/>
          <w:sz w:val="18"/>
          <w:szCs w:val="18"/>
          <w:color w:val="auto"/>
        </w:rPr>
        <w:t>related issues;</w:t>
      </w:r>
    </w:p>
    <w:p>
      <w:pPr>
        <w:spacing w:after="0" w:line="184" w:lineRule="exact"/>
        <w:rPr>
          <w:rFonts w:ascii="Arial" w:cs="Arial" w:eastAsia="Arial" w:hAnsi="Arial"/>
          <w:sz w:val="18"/>
          <w:szCs w:val="18"/>
          <w:color w:val="auto"/>
        </w:rPr>
      </w:pPr>
    </w:p>
    <w:p>
      <w:pPr>
        <w:ind w:left="980" w:right="380" w:hanging="329"/>
        <w:spacing w:after="0" w:line="235"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96" w:lineRule="exact"/>
        <w:rPr>
          <w:rFonts w:ascii="Arial" w:cs="Arial" w:eastAsia="Arial" w:hAnsi="Arial"/>
          <w:sz w:val="17"/>
          <w:szCs w:val="17"/>
          <w:color w:val="auto"/>
        </w:rPr>
      </w:pPr>
    </w:p>
    <w:p>
      <w:pPr>
        <w:ind w:left="980" w:right="700" w:hanging="329"/>
        <w:spacing w:after="0" w:line="203" w:lineRule="exact"/>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w:t>
      </w:r>
      <w:r>
        <w:rPr>
          <w:rFonts w:ascii="MS PGothic" w:cs="MS PGothic" w:eastAsia="MS PGothic" w:hAnsi="MS PGothic"/>
          <w:sz w:val="18"/>
          <w:szCs w:val="18"/>
          <w:color w:val="auto"/>
        </w:rPr>
        <w:t>‑</w:t>
      </w:r>
      <w:r>
        <w:rPr>
          <w:rFonts w:ascii="Arial" w:cs="Arial" w:eastAsia="Arial" w:hAnsi="Arial"/>
          <w:sz w:val="18"/>
          <w:szCs w:val="18"/>
          <w:color w:val="auto"/>
        </w:rPr>
        <w:t>how resulting from the joint creation or use of intellectual property by our licensors and us and our partners; and</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5"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including the amount, if any, that may become due and payable to our licensors in connection with sublicense income. If these events were to occur, they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63" w:lineRule="exact"/>
        <w:rPr>
          <w:sz w:val="20"/>
          <w:szCs w:val="20"/>
          <w:color w:val="auto"/>
        </w:rPr>
      </w:pPr>
    </w:p>
    <w:p>
      <w:pPr>
        <w:ind w:right="240"/>
        <w:spacing w:after="0" w:line="203" w:lineRule="exact"/>
        <w:rPr>
          <w:sz w:val="20"/>
          <w:szCs w:val="20"/>
          <w:color w:val="auto"/>
        </w:rPr>
      </w:pPr>
      <w:r>
        <w:rPr>
          <w:rFonts w:ascii="Arial" w:cs="Arial" w:eastAsia="Arial" w:hAnsi="Arial"/>
          <w:sz w:val="18"/>
          <w:szCs w:val="18"/>
          <w:b w:val="1"/>
          <w:bCs w:val="1"/>
          <w:i w:val="1"/>
          <w:iCs w:val="1"/>
          <w:color w:val="auto"/>
        </w:rPr>
        <w:t>We may not be successful in obtaining necessary rights to any product candidates we may develop through acquisitions and in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licenses.</w:t>
      </w:r>
    </w:p>
    <w:p>
      <w:pPr>
        <w:spacing w:after="0" w:line="162"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We currently have rights to intellectual property, through licenses from third parties, to identify and develop product candidates. Many pharmaceutical companies, biotechnology companies, and academic institutions are competing with us in the field of genome editing technology and filing patent applications potentially relevant to our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178" w:lineRule="exact"/>
        <w:rPr>
          <w:sz w:val="20"/>
          <w:szCs w:val="20"/>
          <w:color w:val="auto"/>
        </w:rPr>
      </w:pPr>
      <w:r>
        <w:rPr>
          <w:rFonts w:ascii="Arial" w:cs="Arial" w:eastAsia="Arial" w:hAnsi="Arial"/>
          <w:sz w:val="16"/>
          <w:szCs w:val="16"/>
          <w:color w:val="auto"/>
        </w:rPr>
        <w:t>business. For example, we are aware of third party patents and patent applications that may be construed to cover our CRISPR technology and product candidates. In order to avoid infringing these third party patents, or patents that issue from these third party patent applications, we may find it necessary or prudent to obtain licenses from such third party intellectual property holders. We may also require licenses from third parties for certain non</w:t>
      </w:r>
      <w:r>
        <w:rPr>
          <w:rFonts w:ascii="MS PGothic" w:cs="MS PGothic" w:eastAsia="MS PGothic" w:hAnsi="MS PGothic"/>
          <w:sz w:val="16"/>
          <w:szCs w:val="16"/>
          <w:color w:val="auto"/>
        </w:rPr>
        <w:t>‑</w:t>
      </w:r>
      <w:r>
        <w:rPr>
          <w:rFonts w:ascii="Arial" w:cs="Arial" w:eastAsia="Arial" w:hAnsi="Arial"/>
          <w:sz w:val="16"/>
          <w:szCs w:val="16"/>
          <w:color w:val="auto"/>
        </w:rPr>
        <w:t>CRISPR technologies including certain delivery methods that we are evaluating for use with product candidates we may develop. In addition, with respect to any patents we co</w:t>
      </w:r>
      <w:r>
        <w:rPr>
          <w:rFonts w:ascii="MS PGothic" w:cs="MS PGothic" w:eastAsia="MS PGothic" w:hAnsi="MS PGothic"/>
          <w:sz w:val="16"/>
          <w:szCs w:val="16"/>
          <w:color w:val="auto"/>
        </w:rPr>
        <w:t>‑</w:t>
      </w:r>
      <w:r>
        <w:rPr>
          <w:rFonts w:ascii="Arial" w:cs="Arial" w:eastAsia="Arial" w:hAnsi="Arial"/>
          <w:sz w:val="16"/>
          <w:szCs w:val="16"/>
          <w:color w:val="auto"/>
        </w:rPr>
        <w:t>own with third parties, we may require licenses to such co</w:t>
      </w:r>
      <w:r>
        <w:rPr>
          <w:rFonts w:ascii="MS PGothic" w:cs="MS PGothic" w:eastAsia="MS PGothic" w:hAnsi="MS PGothic"/>
          <w:sz w:val="16"/>
          <w:szCs w:val="16"/>
          <w:color w:val="auto"/>
        </w:rPr>
        <w:t>‑</w:t>
      </w:r>
      <w:r>
        <w:rPr>
          <w:rFonts w:ascii="Arial" w:cs="Arial" w:eastAsia="Arial" w:hAnsi="Arial"/>
          <w:sz w:val="16"/>
          <w:szCs w:val="16"/>
          <w:color w:val="auto"/>
        </w:rPr>
        <w:t>owners’ interest in such patents. However, we may be unable to secure such licenses or otherwise acquire or in</w:t>
      </w:r>
      <w:r>
        <w:rPr>
          <w:rFonts w:ascii="MS PGothic" w:cs="MS PGothic" w:eastAsia="MS PGothic" w:hAnsi="MS PGothic"/>
          <w:sz w:val="16"/>
          <w:szCs w:val="16"/>
          <w:color w:val="auto"/>
        </w:rPr>
        <w:t>‑</w:t>
      </w:r>
      <w:r>
        <w:rPr>
          <w:rFonts w:ascii="Arial" w:cs="Arial" w:eastAsia="Arial" w:hAnsi="Arial"/>
          <w:sz w:val="16"/>
          <w:szCs w:val="16"/>
          <w:color w:val="auto"/>
        </w:rPr>
        <w:t>license any compositions, methods of use, processes, or other intellectual property rights from third parties that we identify as necessary for our CRISPR technology and product candidates we may develop.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For example, certain delivery modes, including certain adeno</w:t>
      </w:r>
      <w:r>
        <w:rPr>
          <w:rFonts w:ascii="MS PGothic" w:cs="MS PGothic" w:eastAsia="MS PGothic" w:hAnsi="MS PGothic"/>
          <w:sz w:val="16"/>
          <w:szCs w:val="16"/>
          <w:color w:val="auto"/>
        </w:rPr>
        <w:t>‑</w:t>
      </w:r>
      <w:r>
        <w:rPr>
          <w:rFonts w:ascii="Arial" w:cs="Arial" w:eastAsia="Arial" w:hAnsi="Arial"/>
          <w:sz w:val="16"/>
          <w:szCs w:val="16"/>
          <w:color w:val="auto"/>
        </w:rPr>
        <w:t>associated virus vectors and lipid nanoparticle technologies, we are evaluating for use are covered by patents held by third parties.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73"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62"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w:t>
      </w:r>
      <w:r>
        <w:rPr>
          <w:rFonts w:ascii="MS PGothic" w:cs="MS PGothic" w:eastAsia="MS PGothic" w:hAnsi="MS PGothic"/>
          <w:sz w:val="16"/>
          <w:szCs w:val="16"/>
          <w:color w:val="auto"/>
        </w:rPr>
        <w:t>‑</w:t>
      </w:r>
      <w:r>
        <w:rPr>
          <w:rFonts w:ascii="Arial" w:cs="Arial" w:eastAsia="Arial" w:hAnsi="Arial"/>
          <w:sz w:val="16"/>
          <w:szCs w:val="16"/>
          <w:color w:val="auto"/>
        </w:rPr>
        <w:t>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w:t>
      </w:r>
      <w:r>
        <w:rPr>
          <w:rFonts w:ascii="MS PGothic" w:cs="MS PGothic" w:eastAsia="MS PGothic" w:hAnsi="MS PGothic"/>
          <w:sz w:val="16"/>
          <w:szCs w:val="16"/>
          <w:color w:val="auto"/>
        </w:rPr>
        <w:t>‑</w:t>
      </w:r>
      <w:r>
        <w:rPr>
          <w:rFonts w:ascii="Arial" w:cs="Arial" w:eastAsia="Arial" w:hAnsi="Arial"/>
          <w:sz w:val="16"/>
          <w:szCs w:val="16"/>
          <w:color w:val="auto"/>
        </w:rPr>
        <w:t>grant proceedings, including post</w:t>
      </w:r>
      <w:r>
        <w:rPr>
          <w:rFonts w:ascii="MS PGothic" w:cs="MS PGothic" w:eastAsia="MS PGothic" w:hAnsi="MS PGothic"/>
          <w:sz w:val="16"/>
          <w:szCs w:val="16"/>
          <w:color w:val="auto"/>
        </w:rPr>
        <w:t>‑</w:t>
      </w:r>
      <w:r>
        <w:rPr>
          <w:rFonts w:ascii="Arial" w:cs="Arial" w:eastAsia="Arial" w:hAnsi="Arial"/>
          <w:sz w:val="16"/>
          <w:szCs w:val="16"/>
          <w:color w:val="auto"/>
        </w:rPr>
        <w:t xml:space="preserve">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3"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6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Issued patents covering our technology and product candidates could be found invalid or unenforceable if challenged in court or before administrative bodies in the United States or abroad.</w:t>
      </w:r>
    </w:p>
    <w:p>
      <w:pPr>
        <w:spacing w:after="0" w:line="162"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color w:val="auto"/>
        </w:rPr>
        <w:t>If we or one of our licensors were to initiate legal proceedings against a third party to enforce a patent covering a product candidate we may develop or our technology, including CRISPR genome editing technology, the defendant could counterclaim that such patent is invalid or unenforceable. In patent litigation in the United States, defendant counterclaims alleging invalidity or unenforceability are commonplace. Grounds for a validity challenge could be an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99"/>
        <w:spacing w:after="0" w:line="178" w:lineRule="exact"/>
        <w:rPr>
          <w:sz w:val="20"/>
          <w:szCs w:val="20"/>
          <w:color w:val="auto"/>
        </w:rPr>
      </w:pPr>
      <w:r>
        <w:rPr>
          <w:rFonts w:ascii="Arial" w:cs="Arial" w:eastAsia="Arial" w:hAnsi="Arial"/>
          <w:sz w:val="16"/>
          <w:szCs w:val="16"/>
          <w:color w:val="auto"/>
        </w:rPr>
        <w:t>alleged failure to meet any 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Grounds for an unenforceability assertion could be an allegation that someone connected with prosecution of the patent withheld relevant information from the USPTO, or made a misleading statement, during prosecution. Third parties have raised challenges to the validity of certain of our in</w:t>
      </w:r>
      <w:r>
        <w:rPr>
          <w:rFonts w:ascii="MS PGothic" w:cs="MS PGothic" w:eastAsia="MS PGothic" w:hAnsi="MS PGothic"/>
          <w:sz w:val="16"/>
          <w:szCs w:val="16"/>
          <w:color w:val="auto"/>
        </w:rPr>
        <w:t>‑</w:t>
      </w:r>
      <w:r>
        <w:rPr>
          <w:rFonts w:ascii="Arial" w:cs="Arial" w:eastAsia="Arial" w:hAnsi="Arial"/>
          <w:sz w:val="16"/>
          <w:szCs w:val="16"/>
          <w:color w:val="auto"/>
        </w:rPr>
        <w:t>licensed patent claims and may in the future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 xml:space="preserve">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For example, as discussed above, an interference was declared, and multiple Suggestions of Interference have been filed against certain of our in</w:t>
      </w:r>
      <w:r>
        <w:rPr>
          <w:rFonts w:ascii="MS PGothic" w:cs="MS PGothic" w:eastAsia="MS PGothic" w:hAnsi="MS PGothic"/>
          <w:sz w:val="16"/>
          <w:szCs w:val="16"/>
          <w:color w:val="auto"/>
        </w:rPr>
        <w:t>‑</w:t>
      </w:r>
      <w:r>
        <w:rPr>
          <w:rFonts w:ascii="Arial" w:cs="Arial" w:eastAsia="Arial" w:hAnsi="Arial"/>
          <w:sz w:val="16"/>
          <w:szCs w:val="16"/>
          <w:color w:val="auto"/>
        </w:rPr>
        <w:t>licensed U.S. patents and patent applications, one of these U.S. patents is subject to a re</w:t>
      </w:r>
      <w:r>
        <w:rPr>
          <w:rFonts w:ascii="MS PGothic" w:cs="MS PGothic" w:eastAsia="MS PGothic" w:hAnsi="MS PGothic"/>
          <w:sz w:val="16"/>
          <w:szCs w:val="16"/>
          <w:color w:val="auto"/>
        </w:rPr>
        <w:t>‑</w:t>
      </w:r>
      <w:r>
        <w:rPr>
          <w:rFonts w:ascii="Arial" w:cs="Arial" w:eastAsia="Arial" w:hAnsi="Arial"/>
          <w:sz w:val="16"/>
          <w:szCs w:val="16"/>
          <w:color w:val="auto"/>
        </w:rPr>
        <w:t>examination proceeding, opposition proceedings have been initiated against nine of our in</w:t>
      </w:r>
      <w:r>
        <w:rPr>
          <w:rFonts w:ascii="MS PGothic" w:cs="MS PGothic" w:eastAsia="MS PGothic" w:hAnsi="MS PGothic"/>
          <w:sz w:val="16"/>
          <w:szCs w:val="16"/>
          <w:color w:val="auto"/>
        </w:rPr>
        <w:t>‑</w:t>
      </w:r>
      <w:r>
        <w:rPr>
          <w:rFonts w:ascii="Arial" w:cs="Arial" w:eastAsia="Arial" w:hAnsi="Arial"/>
          <w:sz w:val="16"/>
          <w:szCs w:val="16"/>
          <w:color w:val="auto"/>
        </w:rPr>
        <w:t>licensed European patents and additional interference, re</w:t>
      </w:r>
      <w:r>
        <w:rPr>
          <w:rFonts w:ascii="MS PGothic" w:cs="MS PGothic" w:eastAsia="MS PGothic" w:hAnsi="MS PGothic"/>
          <w:sz w:val="16"/>
          <w:szCs w:val="16"/>
          <w:color w:val="auto"/>
        </w:rPr>
        <w:t>‑</w:t>
      </w:r>
      <w:r>
        <w:rPr>
          <w:rFonts w:ascii="Arial" w:cs="Arial" w:eastAsia="Arial" w:hAnsi="Arial"/>
          <w:sz w:val="16"/>
          <w:szCs w:val="16"/>
          <w:color w:val="auto"/>
        </w:rPr>
        <w:t>examination, opposition, and other intellectual property proceedings may be initiated in the future. For more information regarding these proceedings, see “Legal Proceedings” in Part I, Item 3 of this Annual Report on Form 10-K. The opposition proceedings have so far resulted in the revocation of one of our in-licensed European patents. In view of certain arguments made by the third parties against this revoked patent and similar arguments made by the third parties against additional other in-licensed European patents under opposition, the opposition proceedings could potentially lead to the revocation of additional in-licensed European patents. These and other proceedings could result in the revocation or cancellation of, or amendment to our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123" w:lineRule="exact"/>
        <w:rPr>
          <w:sz w:val="20"/>
          <w:szCs w:val="20"/>
          <w:color w:val="auto"/>
        </w:rPr>
      </w:pPr>
    </w:p>
    <w:p>
      <w:pPr>
        <w:ind w:right="139"/>
        <w:spacing w:after="0" w:line="219" w:lineRule="auto"/>
        <w:rPr>
          <w:sz w:val="20"/>
          <w:szCs w:val="20"/>
          <w:color w:val="auto"/>
        </w:rPr>
      </w:pPr>
      <w:r>
        <w:rPr>
          <w:rFonts w:ascii="Arial" w:cs="Arial" w:eastAsia="Arial" w:hAnsi="Arial"/>
          <w:sz w:val="18"/>
          <w:szCs w:val="18"/>
          <w:b w:val="1"/>
          <w:bCs w:val="1"/>
          <w:i w:val="1"/>
          <w:iCs w:val="1"/>
          <w:color w:val="auto"/>
        </w:rPr>
        <w:t>The intellectual property landscape around genome editing technology, including CRISPR, is highly dynamic, and 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63" w:lineRule="exact"/>
        <w:rPr>
          <w:sz w:val="20"/>
          <w:szCs w:val="20"/>
          <w:color w:val="auto"/>
        </w:rPr>
      </w:pPr>
    </w:p>
    <w:p>
      <w:pPr>
        <w:ind w:right="79" w:firstLine="648"/>
        <w:spacing w:after="0" w:line="187" w:lineRule="exact"/>
        <w:rPr>
          <w:sz w:val="20"/>
          <w:szCs w:val="20"/>
          <w:color w:val="auto"/>
        </w:rPr>
      </w:pPr>
      <w:r>
        <w:rPr>
          <w:rFonts w:ascii="Arial" w:cs="Arial" w:eastAsia="Arial" w:hAnsi="Arial"/>
          <w:sz w:val="17"/>
          <w:szCs w:val="17"/>
          <w:color w:val="auto"/>
        </w:rPr>
        <w:t>The field of genome editing, especially in the area of CRISPR technology, is still in its infancy, and no such products have reached the market.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our owned and in</w:t>
      </w:r>
      <w:r>
        <w:rPr>
          <w:rFonts w:ascii="MS PGothic" w:cs="MS PGothic" w:eastAsia="MS PGothic" w:hAnsi="MS PGothic"/>
          <w:sz w:val="17"/>
          <w:szCs w:val="17"/>
          <w:color w:val="auto"/>
        </w:rPr>
        <w:t>‑</w:t>
      </w:r>
      <w:r>
        <w:rPr>
          <w:rFonts w:ascii="Arial" w:cs="Arial" w:eastAsia="Arial" w:hAnsi="Arial"/>
          <w:sz w:val="17"/>
          <w:szCs w:val="17"/>
          <w:color w:val="auto"/>
        </w:rPr>
        <w:t>licensed, and other third party, intellectual property and proprietary rights in the future.</w:t>
      </w:r>
    </w:p>
    <w:p>
      <w:pPr>
        <w:spacing w:after="0" w:line="161" w:lineRule="exact"/>
        <w:rPr>
          <w:sz w:val="20"/>
          <w:szCs w:val="20"/>
          <w:color w:val="auto"/>
        </w:rPr>
      </w:pPr>
    </w:p>
    <w:p>
      <w:pPr>
        <w:ind w:right="19" w:firstLine="648"/>
        <w:spacing w:after="0" w:line="179" w:lineRule="exact"/>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are subject to and may in the future become party to, or threatened with, adversarial proceedings or litigation regarding intellectual property rights with respect to our technology and any product candidates we may develop, including interference proceedings, post</w:t>
      </w:r>
      <w:r>
        <w:rPr>
          <w:rFonts w:ascii="MS PGothic" w:cs="MS PGothic" w:eastAsia="MS PGothic" w:hAnsi="MS PGothic"/>
          <w:sz w:val="17"/>
          <w:szCs w:val="17"/>
          <w:color w:val="auto"/>
        </w:rPr>
        <w:t>‑</w:t>
      </w:r>
      <w:r>
        <w:rPr>
          <w:rFonts w:ascii="Arial" w:cs="Arial" w:eastAsia="Arial" w:hAnsi="Arial"/>
          <w:sz w:val="17"/>
          <w:szCs w:val="17"/>
          <w:color w:val="auto"/>
        </w:rPr>
        <w:t xml:space="preserve">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EPO. Third parties may assert infringement claims against us based on existing patents or patents that may be granted in the future, regardless of their merit. We are aware of certain third party patents and patent applications in this landscape that may be asserted to encompass our CRISPR/Cas9 technology. In particular, we are aware of several separate families of U.S. patent applications and foreign counterparts which relate to CRISPR/Cas9 technology, where the earliest priority dates of each family pre</w:t>
      </w:r>
      <w:r>
        <w:rPr>
          <w:rFonts w:ascii="MS PGothic" w:cs="MS PGothic" w:eastAsia="MS PGothic" w:hAnsi="MS PGothic"/>
          <w:sz w:val="17"/>
          <w:szCs w:val="17"/>
          <w:color w:val="auto"/>
        </w:rPr>
        <w:t>‑</w:t>
      </w:r>
      <w:r>
        <w:rPr>
          <w:rFonts w:ascii="Arial" w:cs="Arial" w:eastAsia="Arial" w:hAnsi="Arial"/>
          <w:sz w:val="17"/>
          <w:szCs w:val="17"/>
          <w:color w:val="auto"/>
        </w:rPr>
        <w:t>date the priority dates of our in</w:t>
      </w:r>
      <w:r>
        <w:rPr>
          <w:rFonts w:ascii="MS PGothic" w:cs="MS PGothic" w:eastAsia="MS PGothic" w:hAnsi="MS PGothic"/>
          <w:sz w:val="17"/>
          <w:szCs w:val="17"/>
          <w:color w:val="auto"/>
        </w:rPr>
        <w:t>‑</w:t>
      </w:r>
      <w:r>
        <w:rPr>
          <w:rFonts w:ascii="Arial" w:cs="Arial" w:eastAsia="Arial" w:hAnsi="Arial"/>
          <w:sz w:val="17"/>
          <w:szCs w:val="17"/>
          <w:color w:val="auto"/>
        </w:rPr>
        <w:t>licensed patents and patent applications, including PCT Publication No. WO 2013/141680 (and its related U.S. Patent No. 9,637,739 and other related U.S. patent applications and foreign counterparts) filed by Vilnius University (which is reported to have exclusively licensed its rights to DuPont Pioneer, which is reported to have licensed certain rights to Caribou Biosciences, which is reported to have non-exclusively licensed certain rights to Intellia Therapeutics and CRISPR Therapeutics), WO 2013/176772 (and its related U.S. patent applications and foreign counterparts including European Patent No. EP 2,800,811 B1, which is being opposed by several parties) filed by the University of California, the University of Vienna (both of which are reported to have</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40"/>
        <w:spacing w:after="0" w:line="180" w:lineRule="exact"/>
        <w:rPr>
          <w:sz w:val="20"/>
          <w:szCs w:val="20"/>
          <w:color w:val="auto"/>
        </w:rPr>
      </w:pPr>
      <w:r>
        <w:rPr>
          <w:rFonts w:ascii="Arial" w:cs="Arial" w:eastAsia="Arial" w:hAnsi="Arial"/>
          <w:sz w:val="17"/>
          <w:szCs w:val="17"/>
          <w:color w:val="auto"/>
        </w:rPr>
        <w:t>exclusively licensed their rights to Caribou Biosciences, which is reported to have exclusively licensed certain rights to Intellia Therapeutics), and Emmanuelle Charpentier (who is reported to have exclusively licensed her rights to CRISPR Therapeutics, ERS Genomics and TRACR Hematology), WO 2014/065596 (and its related U.S. patent applications and foreign counterparts) filed by ToolGen, and WO 2014/089290 (and its related U.S. patent applications and foreign counterparts including European Patent No. EP 3,138,910 B1, which is being opposed by several parties) filed by Sigma-Aldrich Co. LLC. We are also aware of U.S. Patent No. 9,738,908 filed by System Biosciences, LLC which is currently under re-examination. Each of these patent families are owned by a different third party and contain claims that may be construed to cover components and uses of CRISPR/Cas9 technology. If we are not able to obtain or maintain a license on commercially reasonable terms to any third</w:t>
      </w:r>
      <w:r>
        <w:rPr>
          <w:rFonts w:ascii="MS PGothic" w:cs="MS PGothic" w:eastAsia="MS PGothic" w:hAnsi="MS PGothic"/>
          <w:sz w:val="17"/>
          <w:szCs w:val="17"/>
          <w:color w:val="auto"/>
        </w:rPr>
        <w:t>‑</w:t>
      </w:r>
      <w:r>
        <w:rPr>
          <w:rFonts w:ascii="Arial" w:cs="Arial" w:eastAsia="Arial" w:hAnsi="Arial"/>
          <w:sz w:val="17"/>
          <w:szCs w:val="17"/>
          <w:color w:val="auto"/>
        </w:rPr>
        <w:t>party patents that cover our product candidates or activities, such third parties could potentially assert infringement claims against us, which could have a material adverse effect on the conduct of our business.</w:t>
      </w:r>
    </w:p>
    <w:p>
      <w:pPr>
        <w:spacing w:after="0" w:line="167"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Even if we believe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claims are without merit,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17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63"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Many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w:t>
      </w:r>
      <w:r>
        <w:rPr>
          <w:rFonts w:ascii="MS PGothic" w:cs="MS PGothic" w:eastAsia="MS PGothic" w:hAnsi="MS PGothic"/>
          <w:sz w:val="17"/>
          <w:szCs w:val="17"/>
          <w:color w:val="auto"/>
        </w:rPr>
        <w:t>‑</w:t>
      </w:r>
      <w:r>
        <w:rPr>
          <w:rFonts w:ascii="Arial" w:cs="Arial" w:eastAsia="Arial" w:hAnsi="Arial"/>
          <w:sz w:val="17"/>
          <w:szCs w:val="17"/>
          <w:color w:val="auto"/>
        </w:rPr>
        <w:t>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8"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w:t>
      </w:r>
      <w:r>
        <w:rPr>
          <w:rFonts w:ascii="MS PGothic" w:cs="MS PGothic" w:eastAsia="MS PGothic" w:hAnsi="MS PGothic"/>
          <w:sz w:val="17"/>
          <w:szCs w:val="17"/>
          <w:color w:val="auto"/>
        </w:rPr>
        <w:t>‑</w:t>
      </w:r>
      <w:r>
        <w:rPr>
          <w:rFonts w:ascii="Arial" w:cs="Arial" w:eastAsia="Arial" w:hAnsi="Arial"/>
          <w:sz w:val="17"/>
          <w:szCs w:val="17"/>
          <w:color w:val="auto"/>
        </w:rPr>
        <w:t>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62"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Competitors may infringe our patents or the patents of our licensing partners, or we may be required to defend against claims of infringement. In addition, our patents or the patents of our licensing partners also are, and may in the future become, involved in inventorship, priority, or validity disputes. To counter or defend against such claims can be expensive and time consuming. In an infringement proceeding, a court may decide that a patent owned or in</w:t>
      </w:r>
      <w:r>
        <w:rPr>
          <w:rFonts w:ascii="MS PGothic" w:cs="MS PGothic" w:eastAsia="MS PGothic" w:hAnsi="MS PGothic"/>
          <w:sz w:val="16"/>
          <w:szCs w:val="16"/>
          <w:color w:val="auto"/>
        </w:rPr>
        <w:t>‑</w:t>
      </w:r>
      <w:r>
        <w:rPr>
          <w:rFonts w:ascii="Arial" w:cs="Arial" w:eastAsia="Arial" w:hAnsi="Arial"/>
          <w:sz w:val="16"/>
          <w:szCs w:val="16"/>
          <w:color w:val="auto"/>
        </w:rPr>
        <w:t>licensed by us is invalid or unenforceable, or may refuse to stop the other party from using the technology at issue on the grounds that our owned and in</w:t>
      </w:r>
      <w:r>
        <w:rPr>
          <w:rFonts w:ascii="MS PGothic" w:cs="MS PGothic" w:eastAsia="MS PGothic" w:hAnsi="MS PGothic"/>
          <w:sz w:val="16"/>
          <w:szCs w:val="16"/>
          <w:color w:val="auto"/>
        </w:rPr>
        <w:t>‑</w:t>
      </w:r>
      <w:r>
        <w:rPr>
          <w:rFonts w:ascii="Arial" w:cs="Arial" w:eastAsia="Arial" w:hAnsi="Arial"/>
          <w:sz w:val="16"/>
          <w:szCs w:val="16"/>
          <w:color w:val="auto"/>
        </w:rPr>
        <w:t>licensed patents do not cover the technology in question. An adverse result in any litigation proceeding could put one or more of our owned or in</w:t>
      </w:r>
      <w:r>
        <w:rPr>
          <w:rFonts w:ascii="MS PGothic" w:cs="MS PGothic" w:eastAsia="MS PGothic" w:hAnsi="MS PGothic"/>
          <w:sz w:val="16"/>
          <w:szCs w:val="16"/>
          <w:color w:val="auto"/>
        </w:rPr>
        <w:t>‑</w:t>
      </w:r>
      <w:r>
        <w:rPr>
          <w:rFonts w:ascii="Arial" w:cs="Arial" w:eastAsia="Arial" w:hAnsi="Arial"/>
          <w:sz w:val="16"/>
          <w:szCs w:val="16"/>
          <w:color w:val="auto"/>
        </w:rPr>
        <w:t>licensed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would be harmed.</w:t>
      </w:r>
    </w:p>
    <w:p>
      <w:pPr>
        <w:spacing w:after="0" w:line="219"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In addition to seeking patents for some of our technology and product candidates, we also rely on trade secrets and confidentiality agreements to protect our unpatented know</w:t>
      </w:r>
      <w:r>
        <w:rPr>
          <w:rFonts w:ascii="MS PGothic" w:cs="MS PGothic" w:eastAsia="MS PGothic" w:hAnsi="MS PGothic"/>
          <w:sz w:val="17"/>
          <w:szCs w:val="17"/>
          <w:color w:val="auto"/>
        </w:rPr>
        <w:t>‑</w:t>
      </w:r>
      <w:r>
        <w:rPr>
          <w:rFonts w:ascii="Arial" w:cs="Arial" w:eastAsia="Arial" w:hAnsi="Arial"/>
          <w:sz w:val="17"/>
          <w:szCs w:val="17"/>
          <w:color w:val="auto"/>
        </w:rPr>
        <w:t>how, technology, and other proprietary information and to maintain our competitive position. With respect to our technology platform, we consider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to be one of our primary sources of intellectual property.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can be difficult to protect. In particular, we anticipate that with respect to our technology platform, these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will over time be disseminated within the industry through independent development, the publication of journal articles describing the methodology, and the movement of personnel from academic to industry scientific positions.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We seek to protect these trade secrets and other proprietary technology, in part, by entering into non</w:t>
      </w:r>
      <w:r>
        <w:rPr>
          <w:rFonts w:ascii="MS PGothic" w:cs="MS PGothic" w:eastAsia="MS PGothic" w:hAnsi="MS PGothic"/>
          <w:sz w:val="16"/>
          <w:szCs w:val="16"/>
          <w:color w:val="auto"/>
        </w:rPr>
        <w:t>‑</w:t>
      </w:r>
      <w:r>
        <w:rPr>
          <w:rFonts w:ascii="Arial" w:cs="Arial" w:eastAsia="Arial" w:hAnsi="Arial"/>
          <w:sz w:val="16"/>
          <w:szCs w:val="16"/>
          <w:color w:val="auto"/>
        </w:rPr>
        <w:t>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19"/>
        <w:spacing w:after="0" w:line="235"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product candidates we may develop, our business may be materially harmed.</w:t>
      </w:r>
    </w:p>
    <w:p>
      <w:pPr>
        <w:spacing w:after="0" w:line="162" w:lineRule="exact"/>
        <w:rPr>
          <w:sz w:val="20"/>
          <w:szCs w:val="20"/>
          <w:color w:val="auto"/>
        </w:rPr>
      </w:pPr>
    </w:p>
    <w:p>
      <w:pPr>
        <w:ind w:right="179" w:firstLine="648"/>
        <w:spacing w:after="0" w:line="180" w:lineRule="exact"/>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85" w:lineRule="exact"/>
        <w:rPr>
          <w:sz w:val="20"/>
          <w:szCs w:val="20"/>
          <w:color w:val="auto"/>
        </w:rPr>
      </w:pPr>
    </w:p>
    <w:p>
      <w:pPr>
        <w:jc w:val="both"/>
        <w:ind w:right="39" w:firstLine="648"/>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3" w:lineRule="exact"/>
        <w:rPr>
          <w:sz w:val="20"/>
          <w:szCs w:val="20"/>
          <w:color w:val="auto"/>
        </w:rPr>
      </w:pPr>
    </w:p>
    <w:p>
      <w:pPr>
        <w:ind w:left="980" w:right="19" w:hanging="329"/>
        <w:spacing w:after="0" w:line="22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any product candidates we may develop or utilize similar gene therapy technology but that are not covered by the claims of the patents that we license or may own in the future;</w:t>
      </w:r>
    </w:p>
    <w:p>
      <w:pPr>
        <w:spacing w:after="0" w:line="163" w:lineRule="exact"/>
        <w:rPr>
          <w:rFonts w:ascii="Arial" w:cs="Arial" w:eastAsia="Arial" w:hAnsi="Arial"/>
          <w:sz w:val="18"/>
          <w:szCs w:val="18"/>
          <w:color w:val="auto"/>
        </w:rPr>
      </w:pPr>
    </w:p>
    <w:p>
      <w:pPr>
        <w:ind w:left="980" w:right="79" w:hanging="329"/>
        <w:spacing w:after="0" w:line="289"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or pending patent application that we license or may own in the future;</w:t>
      </w:r>
    </w:p>
    <w:p>
      <w:pPr>
        <w:spacing w:after="0" w:line="124" w:lineRule="exact"/>
        <w:rPr>
          <w:rFonts w:ascii="Arial" w:cs="Arial" w:eastAsia="Arial" w:hAnsi="Arial"/>
          <w:sz w:val="16"/>
          <w:szCs w:val="16"/>
          <w:color w:val="auto"/>
        </w:rPr>
      </w:pPr>
    </w:p>
    <w:p>
      <w:pPr>
        <w:ind w:left="980" w:right="639" w:hanging="329"/>
        <w:spacing w:after="0" w:line="235"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61" w:lineRule="exact"/>
        <w:rPr>
          <w:rFonts w:ascii="Arial" w:cs="Arial" w:eastAsia="Arial" w:hAnsi="Arial"/>
          <w:sz w:val="18"/>
          <w:szCs w:val="18"/>
          <w:color w:val="auto"/>
        </w:rPr>
      </w:pPr>
    </w:p>
    <w:p>
      <w:pPr>
        <w:ind w:left="980" w:right="459" w:hanging="329"/>
        <w:spacing w:after="0" w:line="235"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61" w:lineRule="exact"/>
        <w:rPr>
          <w:rFonts w:ascii="Arial" w:cs="Arial" w:eastAsia="Arial" w:hAnsi="Arial"/>
          <w:sz w:val="18"/>
          <w:szCs w:val="18"/>
          <w:color w:val="auto"/>
        </w:rPr>
      </w:pPr>
    </w:p>
    <w:p>
      <w:pPr>
        <w:ind w:left="980" w:right="139" w:hanging="329"/>
        <w:spacing w:after="0" w:line="235"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61" w:lineRule="exact"/>
        <w:rPr>
          <w:rFonts w:ascii="Arial" w:cs="Arial" w:eastAsia="Arial" w:hAnsi="Arial"/>
          <w:sz w:val="18"/>
          <w:szCs w:val="18"/>
          <w:color w:val="auto"/>
        </w:rPr>
      </w:pPr>
    </w:p>
    <w:p>
      <w:pPr>
        <w:ind w:left="980" w:right="639" w:hanging="329"/>
        <w:spacing w:after="0" w:line="235"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61" w:lineRule="exact"/>
        <w:rPr>
          <w:rFonts w:ascii="Arial" w:cs="Arial" w:eastAsia="Arial" w:hAnsi="Arial"/>
          <w:sz w:val="18"/>
          <w:szCs w:val="18"/>
          <w:color w:val="auto"/>
        </w:rPr>
      </w:pPr>
    </w:p>
    <w:p>
      <w:pPr>
        <w:ind w:left="980" w:right="99" w:hanging="329"/>
        <w:spacing w:after="0" w:line="22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3"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84" w:lineRule="exact"/>
        <w:rPr>
          <w:rFonts w:ascii="Arial" w:cs="Arial" w:eastAsia="Arial" w:hAnsi="Arial"/>
          <w:sz w:val="18"/>
          <w:szCs w:val="18"/>
          <w:color w:val="auto"/>
        </w:rPr>
      </w:pPr>
    </w:p>
    <w:p>
      <w:pPr>
        <w:ind w:left="980" w:right="19" w:hanging="329"/>
        <w:spacing w:after="0" w:line="203" w:lineRule="exact"/>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and a third party may subsequently file a patent covering such intellectual property.</w:t>
      </w: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89" w:lineRule="exact"/>
        <w:rPr>
          <w:sz w:val="20"/>
          <w:szCs w:val="20"/>
          <w:color w:val="auto"/>
        </w:rPr>
      </w:pPr>
    </w:p>
    <w:p>
      <w:pPr>
        <w:ind w:right="60"/>
        <w:spacing w:after="0" w:line="187" w:lineRule="exact"/>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marketing approval process is expensive, time</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party CROs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65"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w:t>
      </w:r>
      <w:r>
        <w:rPr>
          <w:rFonts w:ascii="MS PGothic" w:cs="MS PGothic" w:eastAsia="MS PGothic" w:hAnsi="MS PGothic"/>
          <w:sz w:val="16"/>
          <w:szCs w:val="16"/>
          <w:color w:val="auto"/>
        </w:rPr>
        <w:t>‑</w:t>
      </w:r>
      <w:r>
        <w:rPr>
          <w:rFonts w:ascii="Arial" w:cs="Arial" w:eastAsia="Arial" w:hAnsi="Arial"/>
          <w:sz w:val="16"/>
          <w:szCs w:val="16"/>
          <w:color w:val="auto"/>
        </w:rPr>
        <w:t>approval commitments that render the approved medicine not commercially viable.</w:t>
      </w:r>
    </w:p>
    <w:p>
      <w:pPr>
        <w:spacing w:after="0" w:line="163"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6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124"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In order to market and sell any product candidates we may develop in the European Union and many other foreign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19"/>
        <w:spacing w:after="0" w:line="289" w:lineRule="auto"/>
        <w:rPr>
          <w:sz w:val="20"/>
          <w:szCs w:val="20"/>
          <w:color w:val="auto"/>
        </w:rPr>
      </w:pPr>
      <w:r>
        <w:rPr>
          <w:rFonts w:ascii="Arial" w:cs="Arial" w:eastAsia="Arial" w:hAnsi="Arial"/>
          <w:sz w:val="16"/>
          <w:szCs w:val="16"/>
          <w:color w:val="auto"/>
        </w:rPr>
        <w:t>jurisdictions or by the FDA. We may not be able to file for marketing approvals and may not receive necessary approvals to commercialize our medicines in any jurisdiction, which would materially impair our ability to generate revenue.</w:t>
      </w:r>
    </w:p>
    <w:p>
      <w:pPr>
        <w:spacing w:after="0" w:line="124" w:lineRule="exact"/>
        <w:rPr>
          <w:sz w:val="20"/>
          <w:szCs w:val="20"/>
          <w:color w:val="auto"/>
        </w:rPr>
      </w:pPr>
    </w:p>
    <w:p>
      <w:pPr>
        <w:ind w:right="19" w:firstLine="648"/>
        <w:spacing w:after="0" w:line="222"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64" w:lineRule="exact"/>
        <w:rPr>
          <w:sz w:val="20"/>
          <w:szCs w:val="20"/>
          <w:color w:val="auto"/>
        </w:rPr>
      </w:pPr>
    </w:p>
    <w:p>
      <w:pPr>
        <w:ind w:right="199"/>
        <w:spacing w:after="0" w:line="219" w:lineRule="auto"/>
        <w:rPr>
          <w:sz w:val="20"/>
          <w:szCs w:val="20"/>
          <w:color w:val="auto"/>
        </w:rPr>
      </w:pPr>
      <w:r>
        <w:rPr>
          <w:rFonts w:ascii="Arial" w:cs="Arial" w:eastAsia="Arial" w:hAnsi="Arial"/>
          <w:sz w:val="18"/>
          <w:szCs w:val="18"/>
          <w:b w:val="1"/>
          <w:bCs w:val="1"/>
          <w:i w:val="1"/>
          <w:iCs w:val="1"/>
          <w:color w:val="auto"/>
        </w:rPr>
        <w:t>Even if we, or any collaborators we may have, obtain marketing approvals for any product candidates we develop, the terms of approvals and ongoing regulation of our products could require the substantial expenditure of resources and may limit how we, or they, manufacture and market our products, which could materially impair our ability to generate revenue.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product candidate for which we obtain marketing approval, along with the manufacturing processes,</w:t>
      </w:r>
    </w:p>
    <w:p>
      <w:pPr>
        <w:spacing w:after="0" w:line="176" w:lineRule="exact"/>
        <w:rPr>
          <w:sz w:val="20"/>
          <w:szCs w:val="20"/>
          <w:color w:val="auto"/>
        </w:rPr>
      </w:pPr>
      <w:r>
        <w:rPr>
          <w:rFonts w:ascii="Arial" w:cs="Arial" w:eastAsia="Arial" w:hAnsi="Arial"/>
          <w:sz w:val="17"/>
          <w:szCs w:val="17"/>
          <w:color w:val="auto"/>
        </w:rPr>
        <w:t>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medicine, will be subject to continual</w:t>
      </w:r>
    </w:p>
    <w:p>
      <w:pPr>
        <w:spacing w:after="0" w:line="229" w:lineRule="auto"/>
        <w:rPr>
          <w:sz w:val="20"/>
          <w:szCs w:val="20"/>
          <w:color w:val="auto"/>
        </w:rPr>
      </w:pPr>
      <w:r>
        <w:rPr>
          <w:rFonts w:ascii="Arial" w:cs="Arial" w:eastAsia="Arial" w:hAnsi="Arial"/>
          <w:sz w:val="16"/>
          <w:szCs w:val="16"/>
          <w:color w:val="auto"/>
        </w:rPr>
        <w:t>requirements of and review by the FDA and other regulatory authorities. These requirements include submissions of safety</w:t>
      </w:r>
    </w:p>
    <w:p>
      <w:pPr>
        <w:spacing w:after="0" w:line="176" w:lineRule="exact"/>
        <w:rPr>
          <w:sz w:val="20"/>
          <w:szCs w:val="20"/>
          <w:color w:val="auto"/>
        </w:rPr>
      </w:pPr>
      <w:r>
        <w:rPr>
          <w:rFonts w:ascii="Arial" w:cs="Arial" w:eastAsia="Arial" w:hAnsi="Arial"/>
          <w:sz w:val="17"/>
          <w:szCs w:val="17"/>
          <w:color w:val="auto"/>
        </w:rPr>
        <w:t>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w:t>
      </w:r>
    </w:p>
    <w:p>
      <w:pPr>
        <w:spacing w:after="0" w:line="229" w:lineRule="auto"/>
        <w:rPr>
          <w:sz w:val="20"/>
          <w:szCs w:val="20"/>
          <w:color w:val="auto"/>
        </w:rPr>
      </w:pPr>
      <w:r>
        <w:rPr>
          <w:rFonts w:ascii="Arial" w:cs="Arial" w:eastAsia="Arial" w:hAnsi="Arial"/>
          <w:sz w:val="16"/>
          <w:szCs w:val="16"/>
          <w:color w:val="auto"/>
        </w:rPr>
        <w:t>quality control, quality assurance and corresponding maintenance of records and documents, and requirements regarding the</w:t>
      </w:r>
    </w:p>
    <w:p>
      <w:pPr>
        <w:spacing w:after="0" w:line="229" w:lineRule="auto"/>
        <w:rPr>
          <w:sz w:val="20"/>
          <w:szCs w:val="20"/>
          <w:color w:val="auto"/>
        </w:rPr>
      </w:pPr>
      <w:r>
        <w:rPr>
          <w:rFonts w:ascii="Arial" w:cs="Arial" w:eastAsia="Arial" w:hAnsi="Arial"/>
          <w:sz w:val="16"/>
          <w:szCs w:val="16"/>
          <w:color w:val="auto"/>
        </w:rPr>
        <w:t>distribution of samples to physicians and recordkeeping. Even if marketing approval of a product candidate is granted, the</w:t>
      </w:r>
    </w:p>
    <w:p>
      <w:pPr>
        <w:spacing w:after="0" w:line="229" w:lineRule="auto"/>
        <w:rPr>
          <w:sz w:val="20"/>
          <w:szCs w:val="20"/>
          <w:color w:val="auto"/>
        </w:rPr>
      </w:pPr>
      <w:r>
        <w:rPr>
          <w:rFonts w:ascii="Arial" w:cs="Arial" w:eastAsia="Arial" w:hAnsi="Arial"/>
          <w:sz w:val="16"/>
          <w:szCs w:val="16"/>
          <w:color w:val="auto"/>
        </w:rPr>
        <w:t>approval may be subject to limitations on the indicated uses for which the medicine may be marketed or to the conditions of</w:t>
      </w:r>
    </w:p>
    <w:p>
      <w:pPr>
        <w:spacing w:after="0" w:line="176" w:lineRule="exact"/>
        <w:rPr>
          <w:sz w:val="20"/>
          <w:szCs w:val="20"/>
          <w:color w:val="auto"/>
        </w:rPr>
      </w:pPr>
      <w:r>
        <w:rPr>
          <w:rFonts w:ascii="Arial" w:cs="Arial" w:eastAsia="Arial" w:hAnsi="Arial"/>
          <w:sz w:val="16"/>
          <w:szCs w:val="16"/>
          <w:color w:val="auto"/>
        </w:rPr>
        <w:t>approval, or contain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to monitor the safety or efficacy of the</w:t>
      </w:r>
    </w:p>
    <w:p>
      <w:pPr>
        <w:spacing w:after="0"/>
        <w:rPr>
          <w:sz w:val="20"/>
          <w:szCs w:val="20"/>
          <w:color w:val="auto"/>
        </w:rPr>
      </w:pPr>
      <w:r>
        <w:rPr>
          <w:rFonts w:ascii="Arial" w:cs="Arial" w:eastAsia="Arial" w:hAnsi="Arial"/>
          <w:sz w:val="18"/>
          <w:szCs w:val="18"/>
          <w:color w:val="auto"/>
        </w:rPr>
        <w:t>medicine.</w:t>
      </w:r>
    </w:p>
    <w:p>
      <w:pPr>
        <w:spacing w:after="0" w:line="169"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Accordingly, assuming we, or any collaborators we may have, receive marketing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w:t>
      </w:r>
      <w:r>
        <w:rPr>
          <w:rFonts w:ascii="MS PGothic" w:cs="MS PGothic" w:eastAsia="MS PGothic" w:hAnsi="MS PGothic"/>
          <w:sz w:val="17"/>
          <w:szCs w:val="17"/>
          <w:color w:val="auto"/>
        </w:rPr>
        <w:t>‑</w:t>
      </w:r>
      <w:r>
        <w:rPr>
          <w:rFonts w:ascii="Arial" w:cs="Arial" w:eastAsia="Arial" w:hAnsi="Arial"/>
          <w:sz w:val="17"/>
          <w:szCs w:val="17"/>
          <w:color w:val="auto"/>
        </w:rPr>
        <w: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w:t>
      </w:r>
      <w:r>
        <w:rPr>
          <w:rFonts w:ascii="MS PGothic" w:cs="MS PGothic" w:eastAsia="MS PGothic" w:hAnsi="MS PGothic"/>
          <w:sz w:val="17"/>
          <w:szCs w:val="17"/>
          <w:color w:val="auto"/>
        </w:rPr>
        <w:t>‑</w:t>
      </w:r>
      <w:r>
        <w:rPr>
          <w:rFonts w:ascii="Arial" w:cs="Arial" w:eastAsia="Arial" w:hAnsi="Arial"/>
          <w:sz w:val="17"/>
          <w:szCs w:val="17"/>
          <w:color w:val="auto"/>
        </w:rPr>
        <w:t>approval regulations may have a negative effect on our business, operating results, financial condition, and prospects.</w:t>
      </w:r>
    </w:p>
    <w:p>
      <w:pPr>
        <w:spacing w:after="0" w:line="168" w:lineRule="exact"/>
        <w:rPr>
          <w:sz w:val="20"/>
          <w:szCs w:val="20"/>
          <w:color w:val="auto"/>
        </w:rPr>
      </w:pPr>
    </w:p>
    <w:p>
      <w:pPr>
        <w:ind w:right="279"/>
        <w:spacing w:after="0" w:line="259"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147" w:lineRule="exact"/>
        <w:rPr>
          <w:sz w:val="20"/>
          <w:szCs w:val="20"/>
          <w:color w:val="auto"/>
        </w:rPr>
      </w:pPr>
    </w:p>
    <w:p>
      <w:pPr>
        <w:ind w:right="19" w:firstLine="648"/>
        <w:spacing w:after="0" w:line="182" w:lineRule="exact"/>
        <w:rPr>
          <w:sz w:val="20"/>
          <w:szCs w:val="20"/>
          <w:color w:val="auto"/>
        </w:rPr>
      </w:pPr>
      <w:r>
        <w:rPr>
          <w:rFonts w:ascii="Arial" w:cs="Arial" w:eastAsia="Arial" w:hAnsi="Arial"/>
          <w:sz w:val="16"/>
          <w:szCs w:val="16"/>
          <w:color w:val="auto"/>
        </w:rPr>
        <w:t>The FDA and other regulatory agencies closely regulate the post</w:t>
      </w:r>
      <w:r>
        <w:rPr>
          <w:rFonts w:ascii="MS PGothic" w:cs="MS PGothic" w:eastAsia="MS PGothic" w:hAnsi="MS PGothic"/>
          <w:sz w:val="16"/>
          <w:szCs w:val="16"/>
          <w:color w:val="auto"/>
        </w:rPr>
        <w:t>‑</w:t>
      </w:r>
      <w:r>
        <w:rPr>
          <w:rFonts w:ascii="Arial" w:cs="Arial" w:eastAsia="Arial" w:hAnsi="Arial"/>
          <w:sz w:val="16"/>
          <w:szCs w:val="16"/>
          <w:color w:val="auto"/>
        </w:rPr>
        <w: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w:t>
      </w:r>
      <w:r>
        <w:rPr>
          <w:rFonts w:ascii="MS PGothic" w:cs="MS PGothic" w:eastAsia="MS PGothic" w:hAnsi="MS PGothic"/>
          <w:sz w:val="16"/>
          <w:szCs w:val="16"/>
          <w:color w:val="auto"/>
        </w:rPr>
        <w:t>‑</w:t>
      </w:r>
      <w:r>
        <w:rPr>
          <w:rFonts w:ascii="Arial" w:cs="Arial" w:eastAsia="Arial" w:hAnsi="Arial"/>
          <w:sz w:val="16"/>
          <w:szCs w:val="16"/>
          <w:color w:val="auto"/>
        </w:rPr>
        <w:t>label use, and if we do not market our medicines for their approved indications, we may be subject to enforcement action for off</w:t>
      </w:r>
      <w:r>
        <w:rPr>
          <w:rFonts w:ascii="MS PGothic" w:cs="MS PGothic" w:eastAsia="MS PGothic" w:hAnsi="MS PGothic"/>
          <w:sz w:val="16"/>
          <w:szCs w:val="16"/>
          <w:color w:val="auto"/>
        </w:rPr>
        <w:t>‑</w:t>
      </w:r>
      <w:r>
        <w:rPr>
          <w:rFonts w:ascii="Arial" w:cs="Arial" w:eastAsia="Arial" w:hAnsi="Arial"/>
          <w:sz w:val="16"/>
          <w:szCs w:val="16"/>
          <w:color w:val="auto"/>
        </w:rPr>
        <w:t>label marketing by the FDA and other federal and state enforcement agencies, including the Department of Justice. Violation of the Federal Food, Product, and Cosmetic Act and other statutes, including the False Claims Act, relating to the promotion and advertising of prescription products may also lead to investigations or allegations of violations of federal and state health care fraud and abuse laws and state consumer protection laws.</w:t>
      </w:r>
    </w:p>
    <w:p>
      <w:pPr>
        <w:spacing w:after="0" w:line="167"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In addition, later discovery of previously unknown problems with our medicines, manufacturers, or manufacturing processes, or failure to comply with regulatory requirements, may yield various results, including:</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medicines, manufacturers, or manufacturing processes;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a medicine;</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distribution or use of a medicine;</w:t>
      </w:r>
    </w:p>
    <w:p>
      <w:pPr>
        <w:spacing w:after="0" w:line="18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medicines from the market;</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medicines;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our medicines;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adversely affect our business, financial condition, results of operations, and prospects.</w:t>
      </w:r>
    </w:p>
    <w:p>
      <w:pPr>
        <w:spacing w:after="0" w:line="163" w:lineRule="exact"/>
        <w:rPr>
          <w:sz w:val="20"/>
          <w:szCs w:val="20"/>
          <w:color w:val="auto"/>
        </w:rPr>
      </w:pPr>
    </w:p>
    <w:p>
      <w:pPr>
        <w:spacing w:after="0" w:line="194" w:lineRule="exact"/>
        <w:rPr>
          <w:sz w:val="20"/>
          <w:szCs w:val="20"/>
          <w:color w:val="auto"/>
        </w:rPr>
      </w:pPr>
      <w:r>
        <w:rPr>
          <w:rFonts w:ascii="Arial" w:cs="Arial" w:eastAsia="Arial" w:hAnsi="Arial"/>
          <w:sz w:val="17"/>
          <w:szCs w:val="17"/>
          <w:b w:val="1"/>
          <w:bCs w:val="1"/>
          <w:i w:val="1"/>
          <w:iCs w:val="1"/>
          <w:color w:val="auto"/>
        </w:rPr>
        <w:t>Our relationships with healthcare providers, physicians, and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payors will be subject to applicable anti</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kickback, fraud and abuse, and other healthcare laws and regulations, which could expose us to criminal sanctions, civil penalties, contractual damages, reputational harm, and diminished profits and future earnings.</w:t>
      </w:r>
    </w:p>
    <w:p>
      <w:pPr>
        <w:spacing w:after="0" w:line="161"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Healthcare providers, physicians, and third</w:t>
      </w:r>
      <w:r>
        <w:rPr>
          <w:rFonts w:ascii="MS PGothic" w:cs="MS PGothic" w:eastAsia="MS PGothic" w:hAnsi="MS PGothic"/>
          <w:sz w:val="18"/>
          <w:szCs w:val="18"/>
          <w:color w:val="auto"/>
        </w:rPr>
        <w:t>‑</w:t>
      </w:r>
      <w:r>
        <w:rPr>
          <w:rFonts w:ascii="Arial" w:cs="Arial" w:eastAsia="Arial" w:hAnsi="Arial"/>
          <w:sz w:val="18"/>
          <w:szCs w:val="18"/>
          <w:color w:val="auto"/>
        </w:rPr>
        <w:t>party payors play a primary role in the recommendation and prescription of any product candidates that we may develop for which we obtain marketing approval. Our future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include the following:</w:t>
      </w:r>
    </w:p>
    <w:p>
      <w:pPr>
        <w:spacing w:after="0" w:line="162" w:lineRule="exact"/>
        <w:rPr>
          <w:sz w:val="20"/>
          <w:szCs w:val="20"/>
          <w:color w:val="auto"/>
        </w:rPr>
      </w:pPr>
    </w:p>
    <w:p>
      <w:pPr>
        <w:ind w:left="980" w:hanging="329"/>
        <w:spacing w:after="0" w:line="187" w:lineRule="exact"/>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healthcare anti</w:t>
      </w:r>
      <w:r>
        <w:rPr>
          <w:rFonts w:ascii="MS PGothic" w:cs="MS PGothic" w:eastAsia="MS PGothic" w:hAnsi="MS PGothic"/>
          <w:sz w:val="18"/>
          <w:szCs w:val="18"/>
          <w:color w:val="auto"/>
        </w:rPr>
        <w:t>‑</w:t>
      </w:r>
      <w:r>
        <w:rPr>
          <w:rFonts w:ascii="Arial" w:cs="Arial" w:eastAsia="Arial" w:hAnsi="Arial"/>
          <w:sz w:val="18"/>
          <w:szCs w:val="18"/>
          <w:color w:val="auto"/>
        </w:rPr>
        <w:t>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62" w:lineRule="exact"/>
        <w:rPr>
          <w:rFonts w:ascii="Arial" w:cs="Arial" w:eastAsia="Arial" w:hAnsi="Arial"/>
          <w:sz w:val="18"/>
          <w:szCs w:val="18"/>
          <w:color w:val="auto"/>
        </w:rPr>
      </w:pPr>
    </w:p>
    <w:p>
      <w:pPr>
        <w:ind w:left="980" w:right="300" w:hanging="329"/>
        <w:spacing w:after="0" w:line="249"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federal False Claims Act imposes criminal and civil penalties, including civil whistleblower or qui tam actions,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money to</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220"/>
        <w:spacing w:after="0" w:line="203" w:lineRule="exact"/>
        <w:rPr>
          <w:sz w:val="20"/>
          <w:szCs w:val="20"/>
          <w:color w:val="auto"/>
        </w:rPr>
      </w:pPr>
      <w:r>
        <w:rPr>
          <w:rFonts w:ascii="Arial" w:cs="Arial" w:eastAsia="Arial" w:hAnsi="Arial"/>
          <w:sz w:val="18"/>
          <w:szCs w:val="18"/>
          <w:color w:val="auto"/>
        </w:rPr>
        <w:t>the federal government, with potential liability including mandatory treble damages and significant per</w:t>
      </w:r>
      <w:r>
        <w:rPr>
          <w:rFonts w:ascii="MS PGothic" w:cs="MS PGothic" w:eastAsia="MS PGothic" w:hAnsi="MS PGothic"/>
          <w:sz w:val="18"/>
          <w:szCs w:val="18"/>
          <w:color w:val="auto"/>
        </w:rPr>
        <w:t>‑</w:t>
      </w:r>
      <w:r>
        <w:rPr>
          <w:rFonts w:ascii="Arial" w:cs="Arial" w:eastAsia="Arial" w:hAnsi="Arial"/>
          <w:sz w:val="18"/>
          <w:szCs w:val="18"/>
          <w:color w:val="auto"/>
        </w:rPr>
        <w:t>claim penalties, currently set at $5,500 to $11,000 per false claim;</w:t>
      </w:r>
    </w:p>
    <w:p>
      <w:pPr>
        <w:spacing w:after="0" w:line="162" w:lineRule="exact"/>
        <w:rPr>
          <w:sz w:val="20"/>
          <w:szCs w:val="20"/>
          <w:color w:val="auto"/>
        </w:rPr>
      </w:pPr>
    </w:p>
    <w:p>
      <w:pPr>
        <w:ind w:left="980" w:hanging="329"/>
        <w:spacing w:after="0" w:line="229"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as further amended by the Health Information Technology for Economic and Clinical Health Act, which imposes certain requirements, including mandatory contractual terms, with respect to safeguarding the privacy, security, and transmission of individually identifiable health information without appropriate authorization by entities subject to the rule, such as health plans, health care clearinghouses, and health care providers;</w:t>
      </w:r>
    </w:p>
    <w:p>
      <w:pPr>
        <w:spacing w:after="0" w:line="161" w:lineRule="exact"/>
        <w:rPr>
          <w:rFonts w:ascii="Arial" w:cs="Arial" w:eastAsia="Arial" w:hAnsi="Arial"/>
          <w:sz w:val="17"/>
          <w:szCs w:val="17"/>
          <w:color w:val="auto"/>
        </w:rPr>
      </w:pPr>
    </w:p>
    <w:p>
      <w:pPr>
        <w:ind w:left="980" w:right="100" w:hanging="329"/>
        <w:spacing w:after="0" w:line="22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63" w:lineRule="exact"/>
        <w:rPr>
          <w:rFonts w:ascii="Arial" w:cs="Arial" w:eastAsia="Arial" w:hAnsi="Arial"/>
          <w:sz w:val="18"/>
          <w:szCs w:val="18"/>
          <w:color w:val="auto"/>
        </w:rPr>
      </w:pPr>
    </w:p>
    <w:p>
      <w:pPr>
        <w:ind w:left="980" w:right="220" w:hanging="329"/>
        <w:spacing w:after="0" w:line="229"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transparency requirements under the federal Physician Payment Sunshine Act, which requires manufacturers of drugs, devices, biologics, and medical supplies to report to the Department of Health and Human Services information related to payments and other transfers of value to physicians and teaching hospitals, and ownership and investment interests held by physicians and other healthcare providers and their immediate family members and applicable group purchasing organizations; and</w:t>
      </w:r>
    </w:p>
    <w:p>
      <w:pPr>
        <w:spacing w:after="0" w:line="161" w:lineRule="exact"/>
        <w:rPr>
          <w:rFonts w:ascii="Arial" w:cs="Arial" w:eastAsia="Arial" w:hAnsi="Arial"/>
          <w:sz w:val="17"/>
          <w:szCs w:val="17"/>
          <w:color w:val="auto"/>
        </w:rPr>
      </w:pPr>
    </w:p>
    <w:p>
      <w:pPr>
        <w:ind w:left="980" w:right="180" w:hanging="329"/>
        <w:spacing w:after="0" w:line="183" w:lineRule="exact"/>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which may apply to sales or marketing arrangements and claims involving healthcare items or services reimbursed by non</w:t>
      </w:r>
      <w:r>
        <w:rPr>
          <w:rFonts w:ascii="MS PGothic" w:cs="MS PGothic" w:eastAsia="MS PGothic" w:hAnsi="MS PGothic"/>
          <w:sz w:val="18"/>
          <w:szCs w:val="18"/>
          <w:color w:val="auto"/>
        </w:rPr>
        <w:t>‑</w:t>
      </w:r>
      <w:r>
        <w:rPr>
          <w:rFonts w:ascii="Arial" w:cs="Arial" w:eastAsia="Arial" w:hAnsi="Arial"/>
          <w:sz w:val="18"/>
          <w:szCs w:val="18"/>
          <w:color w:val="auto"/>
        </w:rPr>
        <w:t>governmental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insurers, and certain state laws that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165"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161" w:lineRule="exact"/>
        <w:rPr>
          <w:sz w:val="20"/>
          <w:szCs w:val="20"/>
          <w:color w:val="auto"/>
        </w:rPr>
      </w:pPr>
    </w:p>
    <w:p>
      <w:pPr>
        <w:jc w:val="both"/>
        <w:ind w:right="260" w:firstLine="648"/>
        <w:spacing w:after="0" w:line="189" w:lineRule="exact"/>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w:t>
      </w:r>
      <w:r>
        <w:rPr>
          <w:rFonts w:ascii="MS PGothic" w:cs="MS PGothic" w:eastAsia="MS PGothic" w:hAnsi="MS PGothic"/>
          <w:sz w:val="16"/>
          <w:szCs w:val="16"/>
          <w:color w:val="auto"/>
        </w:rPr>
        <w:t>‑</w:t>
      </w:r>
      <w:r>
        <w:rPr>
          <w:rFonts w:ascii="Arial" w:cs="Arial" w:eastAsia="Arial" w:hAnsi="Arial"/>
          <w:sz w:val="16"/>
          <w:szCs w:val="16"/>
          <w:color w:val="auto"/>
        </w:rPr>
        <w:t>bribery laws of European Union Member States, such as the UK Bribery Act 2010. Infringement of these laws could result in substantial fines and imprisonment.</w:t>
      </w:r>
    </w:p>
    <w:p>
      <w:pPr>
        <w:spacing w:after="0" w:line="164" w:lineRule="exact"/>
        <w:rPr>
          <w:sz w:val="20"/>
          <w:szCs w:val="20"/>
          <w:color w:val="auto"/>
        </w:rPr>
      </w:pPr>
    </w:p>
    <w:p>
      <w:pPr>
        <w:ind w:right="120" w:firstLine="648"/>
        <w:spacing w:after="0" w:line="226" w:lineRule="auto"/>
        <w:rPr>
          <w:sz w:val="20"/>
          <w:szCs w:val="20"/>
          <w:color w:val="auto"/>
        </w:rPr>
      </w:pPr>
      <w:r>
        <w:rPr>
          <w:rFonts w:ascii="Arial" w:cs="Arial" w:eastAsia="Arial" w:hAnsi="Arial"/>
          <w:sz w:val="17"/>
          <w:szCs w:val="17"/>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6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color w:val="auto"/>
        </w:rPr>
        <w:t>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163"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b w:val="1"/>
          <w:bCs w:val="1"/>
          <w:i w:val="1"/>
          <w:iCs w:val="1"/>
          <w:color w:val="auto"/>
        </w:rPr>
        <w:t>The efforts of the Administration to pursue regulatory reform may limit the FDA’s ability to engage in oversight and implementation activities in the normal course, and that could negatively impact our business.</w:t>
      </w:r>
    </w:p>
    <w:p>
      <w:pPr>
        <w:spacing w:after="0" w:line="84"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0" w:lineRule="exact"/>
        <w:rPr>
          <w:sz w:val="20"/>
          <w:szCs w:val="20"/>
          <w:color w:val="auto"/>
        </w:rPr>
      </w:pPr>
    </w:p>
    <w:p>
      <w:pPr>
        <w:ind w:right="140"/>
        <w:spacing w:after="0" w:line="324" w:lineRule="auto"/>
        <w:rPr>
          <w:sz w:val="20"/>
          <w:szCs w:val="20"/>
          <w:color w:val="auto"/>
        </w:rPr>
      </w:pPr>
      <w:r>
        <w:rPr>
          <w:rFonts w:ascii="Arial" w:cs="Arial" w:eastAsia="Arial" w:hAnsi="Arial"/>
          <w:sz w:val="15"/>
          <w:szCs w:val="15"/>
          <w:b w:val="1"/>
          <w:bCs w:val="1"/>
          <w:i w:val="1"/>
          <w:iCs w:val="1"/>
          <w:color w:val="auto"/>
        </w:rPr>
        <w:t>Recently enacted and future legislation may increase the difficulty and cost for us and any future collaborators to obtain marketing approval of and commercialize our product candidates and affect the prices we, or they, may obtain.</w:t>
      </w:r>
    </w:p>
    <w:p>
      <w:pPr>
        <w:spacing w:after="0" w:line="10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65"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In the United States, the Medicare Prescription Drug, Improvement, and Modernization Act of 2003 (the “Medicare Modernization Act”), changed the way Medicare covers and pays for pharmaceutical products. The legislation expanded Medicare coverage for drug purchases by the elderly and introduced a new reimbursement methodology based on average sales prices for physician 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8"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(the “PPACA”), which became law in 2010, contains provisions of importance to our business, including, without limitation, our ability to commercialize and the prices we may obtain for any of our product candidates and that are approved for sale, the following:</w:t>
      </w:r>
    </w:p>
    <w:p>
      <w:pPr>
        <w:spacing w:after="0" w:line="163" w:lineRule="exact"/>
        <w:rPr>
          <w:sz w:val="20"/>
          <w:szCs w:val="20"/>
          <w:color w:val="auto"/>
        </w:rPr>
      </w:pPr>
    </w:p>
    <w:p>
      <w:pPr>
        <w:ind w:left="1300" w:right="300" w:hanging="649"/>
        <w:spacing w:after="0" w:line="235"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1300" w:right="279" w:hanging="649"/>
        <w:spacing w:after="0" w:line="235"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61" w:lineRule="exact"/>
        <w:rPr>
          <w:rFonts w:ascii="Arial" w:cs="Arial" w:eastAsia="Arial" w:hAnsi="Arial"/>
          <w:sz w:val="18"/>
          <w:szCs w:val="18"/>
          <w:color w:val="auto"/>
        </w:rPr>
      </w:pPr>
    </w:p>
    <w:p>
      <w:pPr>
        <w:ind w:left="1300" w:right="519" w:hanging="649"/>
        <w:spacing w:after="0" w:line="289"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expansion of federal healthcare fraud and abuse laws, including the False Claims Act and the Anti-Kickback Statute, new government investigative powers and enhanced penalties for noncompliance;</w:t>
      </w:r>
    </w:p>
    <w:p>
      <w:pPr>
        <w:spacing w:after="0" w:line="124" w:lineRule="exact"/>
        <w:rPr>
          <w:rFonts w:ascii="Arial" w:cs="Arial" w:eastAsia="Arial" w:hAnsi="Arial"/>
          <w:sz w:val="16"/>
          <w:szCs w:val="16"/>
          <w:color w:val="auto"/>
        </w:rPr>
      </w:pPr>
    </w:p>
    <w:p>
      <w:pPr>
        <w:ind w:left="1300" w:right="199" w:hanging="649"/>
        <w:spacing w:after="0" w:line="235"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61" w:lineRule="exact"/>
        <w:rPr>
          <w:rFonts w:ascii="Arial" w:cs="Arial" w:eastAsia="Arial" w:hAnsi="Arial"/>
          <w:sz w:val="18"/>
          <w:szCs w:val="18"/>
          <w:color w:val="auto"/>
        </w:rPr>
      </w:pPr>
    </w:p>
    <w:p>
      <w:pPr>
        <w:ind w:left="1300" w:hanging="649"/>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1300" w:hanging="649"/>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1300" w:right="379" w:hanging="649"/>
        <w:spacing w:after="0" w:line="289"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expansion of the entities eligible for discounts under the Public Health Service pharmaceutical pricing program new requirements to report financial arrangements with physicians and teaching hospitals;</w:t>
      </w:r>
    </w:p>
    <w:p>
      <w:pPr>
        <w:spacing w:after="0" w:line="124" w:lineRule="exact"/>
        <w:rPr>
          <w:rFonts w:ascii="Arial" w:cs="Arial" w:eastAsia="Arial" w:hAnsi="Arial"/>
          <w:sz w:val="16"/>
          <w:szCs w:val="16"/>
          <w:color w:val="auto"/>
        </w:rPr>
      </w:pPr>
    </w:p>
    <w:p>
      <w:pPr>
        <w:ind w:left="1300" w:right="739" w:hanging="649"/>
        <w:spacing w:after="0" w:line="235"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61" w:lineRule="exact"/>
        <w:rPr>
          <w:rFonts w:ascii="Arial" w:cs="Arial" w:eastAsia="Arial" w:hAnsi="Arial"/>
          <w:sz w:val="18"/>
          <w:szCs w:val="18"/>
          <w:color w:val="auto"/>
        </w:rPr>
      </w:pPr>
    </w:p>
    <w:p>
      <w:pPr>
        <w:ind w:left="1300" w:right="679" w:hanging="649"/>
        <w:spacing w:after="0" w:line="258"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47" w:lineRule="exact"/>
        <w:rPr>
          <w:sz w:val="20"/>
          <w:szCs w:val="20"/>
          <w:color w:val="auto"/>
        </w:rPr>
      </w:pPr>
    </w:p>
    <w:p>
      <w:pPr>
        <w:ind w:right="19" w:firstLine="648"/>
        <w:spacing w:after="0" w:line="235" w:lineRule="auto"/>
        <w:rPr>
          <w:sz w:val="20"/>
          <w:szCs w:val="20"/>
          <w:color w:val="auto"/>
        </w:rPr>
      </w:pPr>
      <w:r>
        <w:rPr>
          <w:rFonts w:ascii="Arial" w:cs="Arial" w:eastAsia="Arial" w:hAnsi="Arial"/>
          <w:sz w:val="16"/>
          <w:szCs w:val="16"/>
          <w:color w:val="auto"/>
        </w:rPr>
        <w:t>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2024 unless additional Congressional action is taken.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6" w:lineRule="exact"/>
        <w:rPr>
          <w:sz w:val="20"/>
          <w:szCs w:val="20"/>
          <w:color w:val="auto"/>
        </w:rPr>
      </w:pPr>
    </w:p>
    <w:p>
      <w:pPr>
        <w:ind w:right="119" w:firstLine="648"/>
        <w:spacing w:after="0" w:line="225" w:lineRule="auto"/>
        <w:rPr>
          <w:sz w:val="20"/>
          <w:szCs w:val="20"/>
          <w:color w:val="auto"/>
        </w:rPr>
      </w:pPr>
      <w:r>
        <w:rPr>
          <w:rFonts w:ascii="Arial" w:cs="Arial" w:eastAsia="Arial" w:hAnsi="Arial"/>
          <w:sz w:val="17"/>
          <w:szCs w:val="17"/>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potential products are prescribed or administered. Any reduction in reimbursement from Medicare or other government programs may result in a similar reduction in payments from private payors.</w:t>
      </w:r>
    </w:p>
    <w:p>
      <w:pPr>
        <w:spacing w:after="0" w:line="162" w:lineRule="exact"/>
        <w:rPr>
          <w:sz w:val="20"/>
          <w:szCs w:val="20"/>
          <w:color w:val="auto"/>
        </w:rPr>
      </w:pPr>
    </w:p>
    <w:p>
      <w:pPr>
        <w:ind w:right="39" w:firstLine="648"/>
        <w:spacing w:after="0" w:line="222" w:lineRule="auto"/>
        <w:rPr>
          <w:sz w:val="20"/>
          <w:szCs w:val="20"/>
          <w:color w:val="auto"/>
        </w:rPr>
      </w:pPr>
      <w:r>
        <w:rPr>
          <w:rFonts w:ascii="Arial" w:cs="Arial" w:eastAsia="Arial" w:hAnsi="Arial"/>
          <w:sz w:val="17"/>
          <w:szCs w:val="17"/>
          <w:color w:val="auto"/>
        </w:rPr>
        <w:t>With the new Trump Administration and Congress, there may be additional legislative changes, including potentially repeal and replacement of certain provisions of the PPACA. For example, with enactment of the Tax Cuts and Jobs Act of 2017, which was signed by the President on December 22, 2017, Congress repealed the “individual mandate” of the PPACA.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Further, each chamber of the Congress has put forth multiple bills designed to repeal or repeal and replace portions of the PPACA. Although none of these measures has been enacted by Congress to date, Congress may consider other legislation to repeal and replace elements of the PPACA. The Congress will likely consider other legislation to replace elements of the PPACA, during the next Congressional session.</w:t>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PPACA. In January 2017, President Trump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Administration announced that it will discontinue the payment of cost-sharing reduction (“CSR”) payments to insurance companies until Congress approves the appropriation of funds for such CSR payments. The loss of the CSR payments is expected to increase premiums on certain policies issued by qualified health plans under the PPACA. A bipartisan bill to appropriate funds for CSR payments was introduced in the Senate, but the future of that bill is uncertain.</w:t>
      </w:r>
    </w:p>
    <w:p>
      <w:pPr>
        <w:spacing w:after="0" w:line="167"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To date,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w:t>
      </w:r>
    </w:p>
    <w:p>
      <w:pPr>
        <w:spacing w:after="0" w:line="16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Fast track designation by the FDA may not actually lead to a faster development or regulatory review or approval process, and does not assure FDA approval of our product candidates.</w:t>
      </w:r>
    </w:p>
    <w:p>
      <w:pPr>
        <w:spacing w:after="0" w:line="162" w:lineRule="exact"/>
        <w:rPr>
          <w:sz w:val="20"/>
          <w:szCs w:val="20"/>
          <w:color w:val="auto"/>
        </w:rPr>
      </w:pPr>
    </w:p>
    <w:p>
      <w:pPr>
        <w:ind w:right="180" w:firstLine="648"/>
        <w:spacing w:after="0" w:line="223" w:lineRule="auto"/>
        <w:rPr>
          <w:sz w:val="20"/>
          <w:szCs w:val="20"/>
          <w:color w:val="auto"/>
        </w:rPr>
      </w:pPr>
      <w:r>
        <w:rPr>
          <w:rFonts w:ascii="Arial" w:cs="Arial" w:eastAsia="Arial" w:hAnsi="Arial"/>
          <w:sz w:val="17"/>
          <w:szCs w:val="17"/>
          <w:color w:val="auto"/>
        </w:rPr>
        <w:t>If a product candidate is intended for the treatment of a serious or life threatening condition and the product candidate demonstrates the potential to address unmet medical need for this condition, the sponsor may apply for FDA fast track designation. However, a fast track designation does not ensure that the product candidate will receive marketing approval or that approval will be granted within any particular timeframe. As a result, while we may seek and receive fast track designation for our product candidates, we may not experience a faster development process, review or approval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our product candidates.</w:t>
      </w:r>
    </w:p>
    <w:p>
      <w:pPr>
        <w:spacing w:after="0" w:line="16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If the FDA determines that a product candidate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w:t>
      </w:r>
      <w:r>
        <w:rPr>
          <w:rFonts w:ascii="MS PGothic" w:cs="MS PGothic" w:eastAsia="MS PGothic" w:hAnsi="MS PGothic"/>
          <w:sz w:val="17"/>
          <w:szCs w:val="17"/>
          <w:color w:val="auto"/>
        </w:rPr>
        <w:t>‑</w:t>
      </w:r>
      <w:r>
        <w:rPr>
          <w:rFonts w:ascii="Arial" w:cs="Arial" w:eastAsia="Arial" w:hAnsi="Arial"/>
          <w:sz w:val="17"/>
          <w:szCs w:val="17"/>
          <w:color w:val="auto"/>
        </w:rPr>
        <w:t>month review cycle or thereafter.</w:t>
      </w:r>
    </w:p>
    <w:p>
      <w:pPr>
        <w:spacing w:after="0" w:line="162"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147" w:lineRule="exact"/>
        <w:rPr>
          <w:sz w:val="20"/>
          <w:szCs w:val="20"/>
          <w:color w:val="auto"/>
        </w:rPr>
      </w:pPr>
    </w:p>
    <w:p>
      <w:pPr>
        <w:ind w:right="80" w:firstLine="648"/>
        <w:spacing w:after="0" w:line="258" w:lineRule="auto"/>
        <w:rPr>
          <w:sz w:val="20"/>
          <w:szCs w:val="20"/>
          <w:color w:val="auto"/>
        </w:rPr>
      </w:pPr>
      <w:r>
        <w:rPr>
          <w:rFonts w:ascii="Arial" w:cs="Arial" w:eastAsia="Arial" w:hAnsi="Arial"/>
          <w:sz w:val="17"/>
          <w:szCs w:val="17"/>
          <w:color w:val="auto"/>
        </w:rPr>
        <w:t>Under the Orphan Drug Act, the FDA may designate a product as an orphan drug if it is a drug or biologic intended to treat a rare disease or condition. A similar regulatory scheme governs approval of orphan products by the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165"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In order for the FDA to grant orphan drug exclusivity to one of our products, the agency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we obtain orphan drug exclusivity for a product, that exclusivity may not effectively protect the product from competition because different products can be approved for the same condition.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64"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On August 3, 2017, the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2" w:lineRule="exact"/>
        <w:rPr>
          <w:sz w:val="20"/>
          <w:szCs w:val="20"/>
          <w:color w:val="auto"/>
        </w:rPr>
      </w:pPr>
    </w:p>
    <w:p>
      <w:pPr>
        <w:ind w:right="660"/>
        <w:spacing w:after="0" w:line="203" w:lineRule="exact"/>
        <w:rPr>
          <w:sz w:val="20"/>
          <w:szCs w:val="20"/>
          <w:color w:val="auto"/>
        </w:rPr>
      </w:pPr>
      <w:r>
        <w:rPr>
          <w:rFonts w:ascii="Arial" w:cs="Arial" w:eastAsia="Arial" w:hAnsi="Arial"/>
          <w:sz w:val="15"/>
          <w:szCs w:val="15"/>
          <w:b w:val="1"/>
          <w:bCs w:val="1"/>
          <w:i w:val="1"/>
          <w:iCs w:val="1"/>
          <w:color w:val="auto"/>
        </w:rPr>
        <w:t>Our employees, principal investigators, consultants, and commercial partners may engage in misconduct or other improper activities, including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compliance with regulatory standards and requirements and insider trading.</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6"/>
          <w:szCs w:val="16"/>
          <w:color w:val="auto"/>
        </w:rPr>
        <w:t>‑</w:t>
      </w:r>
      <w:r>
        <w:rPr>
          <w:rFonts w:ascii="Arial" w:cs="Arial" w:eastAsia="Arial" w:hAnsi="Arial"/>
          <w:sz w:val="16"/>
          <w:szCs w:val="16"/>
          <w:color w:val="auto"/>
        </w:rPr>
        <w:t>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63"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The Foreign Corrupt Practices Act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w:t>
      </w:r>
      <w:r>
        <w:rPr>
          <w:rFonts w:ascii="MS PGothic" w:cs="MS PGothic" w:eastAsia="MS PGothic" w:hAnsi="MS PGothic"/>
          <w:sz w:val="16"/>
          <w:szCs w:val="16"/>
          <w:color w:val="auto"/>
        </w:rPr>
        <w:t>‑</w:t>
      </w:r>
      <w:r>
        <w:rPr>
          <w:rFonts w:ascii="Arial" w:cs="Arial" w:eastAsia="Arial" w:hAnsi="Arial"/>
          <w:sz w:val="16"/>
          <w:szCs w:val="16"/>
          <w:color w:val="auto"/>
        </w:rPr>
        <w:t>bribery provisions of the FCPA are enforced primarily by the Department of Justice. The SEC is involved with enforcement of the books and records provisions of the FCPA.</w:t>
      </w:r>
    </w:p>
    <w:p>
      <w:pPr>
        <w:spacing w:after="0" w:line="167"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61"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Various laws, regulations and executive orders also restrict the use and dissemination outside of the United States, or the sharing with certain non</w:t>
      </w:r>
      <w:r>
        <w:rPr>
          <w:rFonts w:ascii="MS PGothic" w:cs="MS PGothic" w:eastAsia="MS PGothic" w:hAnsi="MS PGothic"/>
          <w:sz w:val="16"/>
          <w:szCs w:val="16"/>
          <w:color w:val="auto"/>
        </w:rPr>
        <w:t>‑</w:t>
      </w:r>
      <w:r>
        <w:rPr>
          <w:rFonts w:ascii="Arial" w:cs="Arial" w:eastAsia="Arial" w:hAnsi="Arial"/>
          <w:sz w:val="16"/>
          <w:szCs w:val="16"/>
          <w:color w:val="auto"/>
        </w:rPr>
        <w:t>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w:t>
      </w:r>
      <w:r>
        <w:rPr>
          <w:rFonts w:ascii="MS PGothic" w:cs="MS PGothic" w:eastAsia="MS PGothic" w:hAnsi="MS PGothic"/>
          <w:sz w:val="16"/>
          <w:szCs w:val="16"/>
          <w:color w:val="auto"/>
        </w:rPr>
        <w:t>‑</w:t>
      </w:r>
      <w:r>
        <w:rPr>
          <w:rFonts w:ascii="Arial" w:cs="Arial" w:eastAsia="Arial" w:hAnsi="Arial"/>
          <w:sz w:val="16"/>
          <w:szCs w:val="16"/>
          <w:color w:val="auto"/>
        </w:rPr>
        <w:t>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Information Technology</w:t>
      </w:r>
    </w:p>
    <w:p>
      <w:pPr>
        <w:spacing w:after="0" w:line="18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and other key executives and to attract, retain, and motivate qualified personnel.</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We are highly dependent on Katrine S. Bosley, our Chief Executive Officer, as well as the other principal members of our management and scientific teams. Ms. Bosley is employed “at will,” meaning we or she may terminate the employment relationship at any time. We do not maintain “key person” insurance for any of our executives or other employees. The loss of the services of any of these persons could impede the achievement of our research, development, and commercialization objectives.</w:t>
      </w:r>
    </w:p>
    <w:p>
      <w:pPr>
        <w:spacing w:after="0" w:line="162"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development and commercialization strategy. Our consultants and advisors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162" w:lineRule="exact"/>
        <w:rPr>
          <w:sz w:val="20"/>
          <w:szCs w:val="20"/>
          <w:color w:val="auto"/>
        </w:rPr>
      </w:pPr>
    </w:p>
    <w:p>
      <w:pPr>
        <w:ind w:right="20"/>
        <w:spacing w:after="0" w:line="324" w:lineRule="auto"/>
        <w:rPr>
          <w:sz w:val="20"/>
          <w:szCs w:val="20"/>
          <w:color w:val="auto"/>
        </w:rPr>
      </w:pPr>
      <w:r>
        <w:rPr>
          <w:rFonts w:ascii="Arial" w:cs="Arial" w:eastAsia="Arial" w:hAnsi="Arial"/>
          <w:sz w:val="15"/>
          <w:szCs w:val="15"/>
          <w:b w:val="1"/>
          <w:bCs w:val="1"/>
          <w:i w:val="1"/>
          <w:iCs w:val="1"/>
          <w:color w:val="auto"/>
        </w:rPr>
        <w:t>We have expanded and expect to further expand our development, regulatory, and future sales and marketing capabilities, and as a result, we may encounter difficulties in managing our growth, which could disrupt our operations.</w:t>
      </w:r>
    </w:p>
    <w:p>
      <w:pPr>
        <w:spacing w:after="0" w:line="102"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regulatory affairs, clinical development, manufacturing, and sales and marketing. For example, our total number of employees grew from 55 as of December 31, 2015 to 112 as of January 1, 2017.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164" w:lineRule="exact"/>
        <w:rPr>
          <w:sz w:val="20"/>
          <w:szCs w:val="20"/>
          <w:color w:val="auto"/>
        </w:rPr>
      </w:pPr>
    </w:p>
    <w:p>
      <w:pPr>
        <w:ind w:right="420"/>
        <w:spacing w:after="0" w:line="324" w:lineRule="auto"/>
        <w:rPr>
          <w:sz w:val="20"/>
          <w:szCs w:val="20"/>
          <w:color w:val="auto"/>
        </w:rPr>
      </w:pPr>
      <w:r>
        <w:rPr>
          <w:rFonts w:ascii="Arial" w:cs="Arial" w:eastAsia="Arial" w:hAnsi="Arial"/>
          <w:sz w:val="15"/>
          <w:szCs w:val="15"/>
          <w:b w:val="1"/>
          <w:bCs w:val="1"/>
          <w:i w:val="1"/>
          <w:iCs w:val="1"/>
          <w:color w:val="auto"/>
        </w:rPr>
        <w:t>Security breaches and other disruptions to our information technology structure could compromise our information, disrupt our business and expose us to liability, which would cause our business and reputation to suffer.</w:t>
      </w:r>
    </w:p>
    <w:p>
      <w:pPr>
        <w:spacing w:after="0" w:line="61"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the ordinary course of our business, we collect, process and store sensitive data, including intellectual property, as well as our proprietary business information and that of our suppliers and business partners, employee data, and we expect to collect personally identifiable information of clinical trial participants when we begin clinical trials. We also rely to a large extent on information technology systems to operate our business. We have outsourced elements of our confidential information processing and information technology structure, and as a result, we are managing independent vendor relationships with third parties who may or could have access to our confidential information. Similarly, our business partners and other third-party providers possess certain of our sensitive data. The secure maintenance of this information is important to our operations and business strategy. Despite our security measures, our information technology infrastructure (and those of our partners, vendors and third-party providers) may be vulnerable to attacks by hackers or breached due to employee error, malfeasance or other disruptions. We, our partners, vendors, and other third-party providers could be susceptible to third party attacks on our, and their, information security systems, which attacks are of ever-increasing levels of sophistication and are made by groups and individuals with a wide range of motives and expertise, including organized criminal groups, hacktivists, nation states and others. While we have invested in information technology security measures and the protection of confidential information, there can be no assurance that our efforts will prevent service interruptions or security breaches. Any such interruptions or breach may substantially impair our ability to operate our business and would compromise our, and their, networks and the information stored could be accessed, publicly disclosed, lost, or stolen. Any such access, disclosure, or other loss of information could result in legal claims or proceedings, liability under laws that protect the privacy of personal information, disrupt our operations, and damage our reputation, any of which could adversely affect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8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Our shares of common stock began trading on The Nasdaq Global Select Market in February 2016.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volatile, which could result in substantial losses for our stockholders.</w:t>
      </w:r>
    </w:p>
    <w:p>
      <w:pPr>
        <w:spacing w:after="0" w:line="208"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Our stock price has been, and is likely to remain, volatile. Some of the factors that may cause the market price of our common stock to fluctuate include:</w:t>
      </w:r>
    </w:p>
    <w:p>
      <w:pPr>
        <w:spacing w:after="0" w:line="162" w:lineRule="exact"/>
        <w:rPr>
          <w:sz w:val="20"/>
          <w:szCs w:val="20"/>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8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results of preclinical and clinical studies for our LCA10 program and any product candidates that we may develop;</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184" w:lineRule="exact"/>
        <w:rPr>
          <w:rFonts w:ascii="Arial" w:cs="Arial" w:eastAsia="Arial" w:hAnsi="Arial"/>
          <w:sz w:val="18"/>
          <w:szCs w:val="18"/>
          <w:color w:val="auto"/>
        </w:rPr>
      </w:pPr>
    </w:p>
    <w:p>
      <w:pPr>
        <w:ind w:left="980" w:right="60" w:hanging="329"/>
        <w:spacing w:after="0" w:line="258"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results of preclinical studies, clinical trials, or regulatory approvals of product candidates of our competitors, or announcements about new research programs or product candidates of our competitors;</w:t>
      </w:r>
    </w:p>
    <w:p>
      <w:pPr>
        <w:spacing w:after="0" w:line="146" w:lineRule="exact"/>
        <w:rPr>
          <w:rFonts w:ascii="Arial" w:cs="Arial" w:eastAsia="Arial" w:hAnsi="Arial"/>
          <w:sz w:val="17"/>
          <w:szCs w:val="17"/>
          <w:color w:val="auto"/>
        </w:rPr>
      </w:pPr>
    </w:p>
    <w:p>
      <w:pPr>
        <w:ind w:left="980" w:right="100" w:hanging="329"/>
        <w:spacing w:after="0" w:line="235"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genomic medicines, including those that involve genome editing;</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84" w:lineRule="exact"/>
        <w:rPr>
          <w:rFonts w:ascii="Arial" w:cs="Arial" w:eastAsia="Arial" w:hAnsi="Arial"/>
          <w:sz w:val="18"/>
          <w:szCs w:val="18"/>
          <w:color w:val="auto"/>
        </w:rPr>
      </w:pPr>
    </w:p>
    <w:p>
      <w:pPr>
        <w:ind w:left="980" w:right="560" w:hanging="329"/>
        <w:spacing w:after="0" w:line="235"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clinical development programs, or product candidates that we may develop;</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84" w:lineRule="exact"/>
        <w:rPr>
          <w:rFonts w:ascii="Arial" w:cs="Arial" w:eastAsia="Arial" w:hAnsi="Arial"/>
          <w:sz w:val="18"/>
          <w:szCs w:val="18"/>
          <w:color w:val="auto"/>
        </w:rPr>
      </w:pPr>
    </w:p>
    <w:p>
      <w:pPr>
        <w:ind w:left="980" w:right="20" w:hanging="329"/>
        <w:spacing w:after="0" w:line="235"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61"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80"/>
        <w:spacing w:after="0" w:line="216" w:lineRule="auto"/>
        <w:rPr>
          <w:sz w:val="20"/>
          <w:szCs w:val="20"/>
          <w:color w:val="auto"/>
        </w:rPr>
      </w:pPr>
      <w:r>
        <w:rPr>
          <w:rFonts w:ascii="Arial" w:cs="Arial" w:eastAsia="Arial" w:hAnsi="Arial"/>
          <w:sz w:val="18"/>
          <w:szCs w:val="18"/>
          <w:color w:val="auto"/>
        </w:rPr>
        <w:t>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and trading volume could decline.</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trading market for our common stock depends,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or fail to regularly publish reports on us, we could lose visibility in the market for our stock, which in turn could cause our stock price to decline.</w:t>
      </w:r>
    </w:p>
    <w:p>
      <w:pPr>
        <w:spacing w:after="0" w:line="162"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b w:val="1"/>
          <w:bCs w:val="1"/>
          <w:i w:val="1"/>
          <w:iCs w:val="1"/>
          <w:color w:val="auto"/>
        </w:rPr>
        <w:t>A portion of our total outstanding shares may be sold into the market in the near future, which could cause the market price of our common stock to decline significantly, even if our business is doing well.</w:t>
      </w:r>
    </w:p>
    <w:p>
      <w:pPr>
        <w:spacing w:after="0" w:line="147" w:lineRule="exact"/>
        <w:rPr>
          <w:sz w:val="20"/>
          <w:szCs w:val="20"/>
          <w:color w:val="auto"/>
        </w:rPr>
      </w:pPr>
    </w:p>
    <w:p>
      <w:pPr>
        <w:ind w:right="300" w:firstLine="648"/>
        <w:spacing w:after="0" w:line="224" w:lineRule="auto"/>
        <w:rPr>
          <w:sz w:val="20"/>
          <w:szCs w:val="20"/>
          <w:color w:val="auto"/>
        </w:rPr>
      </w:pPr>
      <w:r>
        <w:rPr>
          <w:rFonts w:ascii="Arial" w:cs="Arial" w:eastAsia="Arial" w:hAnsi="Arial"/>
          <w:sz w:val="18"/>
          <w:szCs w:val="18"/>
          <w:color w:val="auto"/>
        </w:rPr>
        <w:t>Sales of a significant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63"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We have registered substantially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under the terms of certain of our license agreements and certain promissory notes that we may issue in the future in connection with these license agreements, we may elect to issue shares of our common stock in satisfaction of specified payment obligations of ours, which shares may be subject to rights requiring us to register such shares under the Securities Act of 1933, as amended (the “Securities Act”). Such an election by us could result in the issuance of a substantial number of shares and upon registration under the Securities Act these shares would be able to be freely sold in the public market, subject to volume limitations applicable to affiliates. If any of the additional shares described above are sold, or if it is perceived that they will be sold, in the public market, the market price of our common stock could decline.</w:t>
      </w:r>
    </w:p>
    <w:p>
      <w:pPr>
        <w:spacing w:after="0" w:line="164"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In addition, certain of our employees, executive officers, directors, and affiliated stockholders have entered or may enter into Rule 10b5</w:t>
      </w:r>
      <w:r>
        <w:rPr>
          <w:rFonts w:ascii="MS PGothic" w:cs="MS PGothic" w:eastAsia="MS PGothic" w:hAnsi="MS PGothic"/>
          <w:sz w:val="16"/>
          <w:szCs w:val="16"/>
          <w:color w:val="auto"/>
        </w:rPr>
        <w:t>‑</w:t>
      </w:r>
      <w:r>
        <w:rPr>
          <w:rFonts w:ascii="Arial" w:cs="Arial" w:eastAsia="Arial" w:hAnsi="Arial"/>
          <w:sz w:val="16"/>
          <w:szCs w:val="16"/>
          <w:color w:val="auto"/>
        </w:rPr>
        <w:t>1 plans providing for sales of shares of our common stock from time to time. Under a Rule 10b5</w:t>
      </w:r>
      <w:r>
        <w:rPr>
          <w:rFonts w:ascii="MS PGothic" w:cs="MS PGothic" w:eastAsia="MS PGothic" w:hAnsi="MS PGothic"/>
          <w:sz w:val="16"/>
          <w:szCs w:val="16"/>
          <w:color w:val="auto"/>
        </w:rPr>
        <w:t>‑</w:t>
      </w:r>
      <w:r>
        <w:rPr>
          <w:rFonts w:ascii="Arial" w:cs="Arial" w:eastAsia="Arial" w:hAnsi="Arial"/>
          <w:sz w:val="16"/>
          <w:szCs w:val="16"/>
          <w:color w:val="auto"/>
        </w:rPr>
        <w:t>1 plan, a broker executes trades pursuant to parameters established by the employee, director or officer when entering into the plan, without further direction from the employee, officer, director, or affiliated stockholder. A Rule 10b5</w:t>
      </w:r>
      <w:r>
        <w:rPr>
          <w:rFonts w:ascii="MS PGothic" w:cs="MS PGothic" w:eastAsia="MS PGothic" w:hAnsi="MS PGothic"/>
          <w:sz w:val="16"/>
          <w:szCs w:val="16"/>
          <w:color w:val="auto"/>
        </w:rPr>
        <w:t>‑</w:t>
      </w:r>
      <w:r>
        <w:rPr>
          <w:rFonts w:ascii="Arial" w:cs="Arial" w:eastAsia="Arial" w:hAnsi="Arial"/>
          <w:sz w:val="16"/>
          <w:szCs w:val="16"/>
          <w:color w:val="auto"/>
        </w:rPr>
        <w:t>1 plan may be amended or terminated in some circumstances. Our employees, executive officers, directors, and affiliated stockholders also may buy or sell additional shares outside of a Rule 10b5</w:t>
      </w:r>
      <w:r>
        <w:rPr>
          <w:rFonts w:ascii="MS PGothic" w:cs="MS PGothic" w:eastAsia="MS PGothic" w:hAnsi="MS PGothic"/>
          <w:sz w:val="16"/>
          <w:szCs w:val="16"/>
          <w:color w:val="auto"/>
        </w:rPr>
        <w:t>‑</w:t>
      </w:r>
      <w:r>
        <w:rPr>
          <w:rFonts w:ascii="Arial" w:cs="Arial" w:eastAsia="Arial" w:hAnsi="Arial"/>
          <w:sz w:val="16"/>
          <w:szCs w:val="16"/>
          <w:color w:val="auto"/>
        </w:rPr>
        <w:t>1 plan when they are not in possession of material, nonpublic information.</w:t>
      </w:r>
    </w:p>
    <w:p>
      <w:pPr>
        <w:spacing w:after="0" w:line="166"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Certain of our executive officers, directors, and 5% stockholders, if they choose to act together, maintain the ability to significantly influence all matters submitted to stockholders for approval.</w:t>
      </w:r>
    </w:p>
    <w:p>
      <w:pPr>
        <w:spacing w:after="0" w:line="162"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As of December 31, 2017, certain of our executive officers, directors, and a small group of 5% stockholders in the aggregate beneficially owned shares representing a meaningful percentage of our outstanding common stock. As a result, these stockholders, if they act together, may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may remain an emerging growth company until December 31, 2021.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(“SOX Section 404”) not being required to comply with any requirement that may be adopted by the Public Company Accounting Oversight Board regarding mandatory audit firm rotation or a supplement to the auditor’s report providing additional information about the audit and the consolidated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our proxy statement for our 2018 Annual Meeting of Stockholders, we will not include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0"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147"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the Dodd</w:t>
      </w:r>
      <w:r>
        <w:rPr>
          <w:rFonts w:ascii="MS PGothic" w:cs="MS PGothic" w:eastAsia="MS PGothic" w:hAnsi="MS PGothic"/>
          <w:sz w:val="16"/>
          <w:szCs w:val="16"/>
          <w:color w:val="auto"/>
        </w:rPr>
        <w:t>‑</w:t>
      </w:r>
      <w:r>
        <w:rPr>
          <w:rFonts w:ascii="Arial" w:cs="Arial" w:eastAsia="Arial" w:hAnsi="Arial"/>
          <w:sz w:val="16"/>
          <w:szCs w:val="16"/>
          <w:color w:val="auto"/>
        </w:rPr>
        <w:t>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had to hire additional accounting, finance, and other personnel in connection with our becoming, and our efforts to comply with the requirements of being, a public company, and our management and other personnel devote a substantial amount of time towards maintaining compliance with these requirements. These requirements increase our legal and financial compliance costs and make some activities more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0" w:lineRule="exact"/>
        <w:rPr>
          <w:sz w:val="20"/>
          <w:szCs w:val="20"/>
          <w:color w:val="auto"/>
        </w:rPr>
      </w:pPr>
    </w:p>
    <w:p>
      <w:pPr>
        <w:ind w:right="80" w:firstLine="648"/>
        <w:spacing w:after="0" w:line="220" w:lineRule="auto"/>
        <w:rPr>
          <w:sz w:val="20"/>
          <w:szCs w:val="20"/>
          <w:color w:val="auto"/>
        </w:rPr>
      </w:pPr>
      <w:r>
        <w:rPr>
          <w:rFonts w:ascii="Arial" w:cs="Arial" w:eastAsia="Arial" w:hAnsi="Arial"/>
          <w:sz w:val="17"/>
          <w:szCs w:val="17"/>
          <w:color w:val="auto"/>
        </w:rPr>
        <w:t>Pursuant to SOX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reserves and may not use them effectively.</w:t>
      </w:r>
    </w:p>
    <w:p>
      <w:pPr>
        <w:spacing w:after="0" w:line="185"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Our management has broad discretion to use our cash reserves and could use our cash reserves in ways that do not improve our results of operations or enhance the value of our common stock. The failure by our management to</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apply these funds effectively could result in financial losses that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161"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b w:val="1"/>
          <w:bCs w:val="1"/>
          <w:i w:val="1"/>
          <w:iCs w:val="1"/>
          <w:color w:val="auto"/>
        </w:rPr>
        <w:t>We do not expect to pay any dividends for the foreseeable future. Accordingly, stockholders must rely on capital appreciation, if any, for any return on their investments.</w:t>
      </w:r>
    </w:p>
    <w:p>
      <w:pPr>
        <w:spacing w:after="0" w:line="162" w:lineRule="exact"/>
        <w:rPr>
          <w:sz w:val="20"/>
          <w:szCs w:val="20"/>
          <w:color w:val="auto"/>
        </w:rPr>
      </w:pPr>
    </w:p>
    <w:p>
      <w:pPr>
        <w:jc w:val="both"/>
        <w:ind w:right="80" w:firstLine="648"/>
        <w:spacing w:after="0" w:line="219"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stockholders’ sole source of gain for the foreseeable future.</w:t>
      </w:r>
    </w:p>
    <w:p>
      <w:pPr>
        <w:spacing w:after="0" w:line="163"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amended and restated bylaws or Delaware law might discourage, delay, or prevent a change in control of our company or changes in our management and, therefore, depress the trading price of our common stock.</w:t>
      </w:r>
    </w:p>
    <w:p>
      <w:pPr>
        <w:spacing w:after="0" w:line="163" w:lineRule="exact"/>
        <w:rPr>
          <w:sz w:val="20"/>
          <w:szCs w:val="20"/>
          <w:color w:val="auto"/>
        </w:rPr>
      </w:pPr>
    </w:p>
    <w:p>
      <w:pPr>
        <w:ind w:right="440" w:firstLine="648"/>
        <w:spacing w:after="0" w:line="216" w:lineRule="auto"/>
        <w:rPr>
          <w:sz w:val="20"/>
          <w:szCs w:val="20"/>
          <w:color w:val="auto"/>
        </w:rPr>
      </w:pPr>
      <w:r>
        <w:rPr>
          <w:rFonts w:ascii="Arial" w:cs="Arial" w:eastAsia="Arial" w:hAnsi="Arial"/>
          <w:sz w:val="18"/>
          <w:szCs w:val="18"/>
          <w:color w:val="auto"/>
        </w:rPr>
        <w:t>Provisions in our restated certificate of incorporation and amended and restated bylaws or Delaware law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These provisions include:</w:t>
      </w:r>
    </w:p>
    <w:p>
      <w:pPr>
        <w:spacing w:after="0" w:line="162" w:lineRule="exact"/>
        <w:rPr>
          <w:sz w:val="20"/>
          <w:szCs w:val="20"/>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classified board of directors so that not all members of our board of directors are elected at one time;</w:t>
      </w:r>
    </w:p>
    <w:p>
      <w:pPr>
        <w:spacing w:after="0" w:line="196" w:lineRule="exact"/>
        <w:rPr>
          <w:rFonts w:ascii="Arial" w:cs="Arial" w:eastAsia="Arial" w:hAnsi="Arial"/>
          <w:sz w:val="17"/>
          <w:szCs w:val="17"/>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w:t>
      </w:r>
    </w:p>
    <w:p>
      <w:pPr>
        <w:spacing w:after="0" w:line="184" w:lineRule="exact"/>
        <w:rPr>
          <w:rFonts w:ascii="Arial" w:cs="Arial" w:eastAsia="Arial" w:hAnsi="Arial"/>
          <w:sz w:val="18"/>
          <w:szCs w:val="18"/>
          <w:color w:val="auto"/>
        </w:rPr>
      </w:pPr>
    </w:p>
    <w:p>
      <w:pPr>
        <w:ind w:left="980" w:right="160" w:hanging="329"/>
        <w:spacing w:after="0" w:line="258"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requirement that at least 75% of the votes cast by all our stockholders approve the amendment or repeal of certain provisions of our amended and restated bylaws or restated certificate of incorporation;</w:t>
      </w:r>
    </w:p>
    <w:p>
      <w:pPr>
        <w:spacing w:after="0" w:line="146" w:lineRule="exact"/>
        <w:rPr>
          <w:rFonts w:ascii="Arial" w:cs="Arial" w:eastAsia="Arial" w:hAnsi="Arial"/>
          <w:sz w:val="17"/>
          <w:szCs w:val="17"/>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board of directors to make, alter, or repeal our amended and restated bylaws; and</w:t>
      </w:r>
    </w:p>
    <w:p>
      <w:pPr>
        <w:spacing w:after="0" w:line="184" w:lineRule="exact"/>
        <w:rPr>
          <w:rFonts w:ascii="Arial" w:cs="Arial" w:eastAsia="Arial" w:hAnsi="Arial"/>
          <w:sz w:val="18"/>
          <w:szCs w:val="18"/>
          <w:color w:val="auto"/>
        </w:rPr>
      </w:pPr>
    </w:p>
    <w:p>
      <w:pPr>
        <w:ind w:left="980" w:right="180" w:hanging="329"/>
        <w:spacing w:after="0" w:line="21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 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62" w:lineRule="exact"/>
        <w:rPr>
          <w:sz w:val="20"/>
          <w:szCs w:val="20"/>
          <w:color w:val="auto"/>
        </w:rPr>
      </w:pPr>
    </w:p>
    <w:p>
      <w:pPr>
        <w:ind w:right="440" w:firstLine="648"/>
        <w:spacing w:after="0" w:line="289" w:lineRule="auto"/>
        <w:rPr>
          <w:sz w:val="20"/>
          <w:szCs w:val="20"/>
          <w:color w:val="auto"/>
        </w:rPr>
      </w:pPr>
      <w:r>
        <w:rPr>
          <w:rFonts w:ascii="Arial" w:cs="Arial" w:eastAsia="Arial" w:hAnsi="Arial"/>
          <w:sz w:val="16"/>
          <w:szCs w:val="16"/>
          <w:color w:val="auto"/>
        </w:rPr>
        <w:t>The existence of the foregoing provisions could deter potential acquirers of our company, thereby reducing the likelihood that our stockholders could receive a premium for their shares of common stock in an acquisition.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b w:val="1"/>
          <w:bCs w:val="1"/>
          <w:i w:val="1"/>
          <w:iCs w:val="1"/>
          <w:color w:val="auto"/>
        </w:rPr>
        <w:t>Our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the company and our directors and officers.</w:t>
      </w:r>
    </w:p>
    <w:p>
      <w:pPr>
        <w:spacing w:after="0" w:line="163"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Our restated certificate of incorporation provides that, unless our board of directors otherwise determines, the state courts in the State of Delaware or, if no state court located within the State of Delaware has jurisdiction, the federal court for the District of Delaware, will be the sole and exclusive forum for any derivative action or proceeding brought on our behalf, any action asserting a claim of breach of a fiduciary duty owed by any of our directors or officers to our company or our stockholders, any action asserting a claim against us or any of our directors or officers arising pursuant to any provision of the General Corporation Law of the State of Delaware or our restated certificate of incorporation or amended and restated bylaws, or any action asserting a claim against us or any of our directors or officers governed by the internal affairs doctrine. This exclusive forum provision may limit the ability of our stockholders to bring a claim in a judicial forum that such stockholders find favorable for disputes with us or our directors or officers, which may discourage such lawsuits against us and our directors and officers.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08"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We lease 59,783 square feet of office and laboratory space in Cambridge, Massachusetts under a lease that expires in November 2023, of which we occupy approximately 50,130 square feet and sublease approximately 9,654 square feet under a sublease that expires in August 2018. We believe that our facilities are sufficient to meet our current needs and that suitable additional space will be available as and when needed.</w:t>
      </w:r>
    </w:p>
    <w:p>
      <w:pPr>
        <w:spacing w:after="0" w:line="1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From time to time, we may become involved in litigation or other legal proceedings relating to claims arising from the ordinary course of business. There can be no assurance that any proceedings that result from these third</w:t>
      </w:r>
      <w:r>
        <w:rPr>
          <w:rFonts w:ascii="MS PGothic" w:cs="MS PGothic" w:eastAsia="MS PGothic" w:hAnsi="MS PGothic"/>
          <w:sz w:val="17"/>
          <w:szCs w:val="17"/>
          <w:color w:val="auto"/>
        </w:rPr>
        <w:t>‑</w:t>
      </w:r>
      <w:r>
        <w:rPr>
          <w:rFonts w:ascii="Arial" w:cs="Arial" w:eastAsia="Arial" w:hAnsi="Arial"/>
          <w:sz w:val="17"/>
          <w:szCs w:val="17"/>
          <w:color w:val="auto"/>
        </w:rPr>
        <w:t>party actions will be resolved in our favor. In addition, if they are not resolved in our favor, there can be no assurance that the result will not have a material adverse effect on our business, financial condition, results of operations, or prospects. For additional information regarding these matters set forth in this section, see “Item 1A. Risk Factors—Risks Related to Our Intellectual Property—Some of our in</w:t>
      </w:r>
      <w:r>
        <w:rPr>
          <w:rFonts w:ascii="MS PGothic" w:cs="MS PGothic" w:eastAsia="MS PGothic" w:hAnsi="MS PGothic"/>
          <w:sz w:val="17"/>
          <w:szCs w:val="17"/>
          <w:color w:val="auto"/>
        </w:rPr>
        <w:t>‑</w:t>
      </w:r>
      <w:r>
        <w:rPr>
          <w:rFonts w:ascii="Arial" w:cs="Arial" w:eastAsia="Arial" w:hAnsi="Arial"/>
          <w:sz w:val="17"/>
          <w:szCs w:val="17"/>
          <w:color w:val="auto"/>
        </w:rPr>
        <w:t>licensed patents are subject to priority disputes” and “Business—Intellectual Property.” Regardless of outcome, litigation or other legal proceedings can have an adverse impact on us because of defense and settlement costs, diversion of management resources, and other factors.</w:t>
      </w:r>
    </w:p>
    <w:p>
      <w:pPr>
        <w:spacing w:after="0" w:line="20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On January 11, 2016 and March 17, 2016, the Patent Trial and Appeal Board (“PTAB”) of the United States Patent and Trademark Office (“USPTO”) declared an interference between a pending U.S. patent application (U.S. Serial</w:t>
      </w:r>
    </w:p>
    <w:p>
      <w:pPr>
        <w:ind w:right="20"/>
        <w:spacing w:after="0" w:line="216" w:lineRule="exact"/>
        <w:rPr>
          <w:sz w:val="20"/>
          <w:szCs w:val="20"/>
          <w:color w:val="auto"/>
        </w:rPr>
      </w:pPr>
      <w:r>
        <w:rPr>
          <w:rFonts w:ascii="Arial" w:cs="Arial" w:eastAsia="Arial" w:hAnsi="Arial"/>
          <w:sz w:val="17"/>
          <w:szCs w:val="17"/>
          <w:color w:val="auto"/>
        </w:rPr>
        <w:t>No. 13/842,859) that is owned by the University of California, the University of Vienna, and Emmanuelle Charpentier and 12 U.S. patents (U.S. Patent Nos. 8,697,359; 8,771,945; 8,795,965; 8,865,406; 8,871,445; 8,889,356; 8,895,308; 8,906,616; 8,932,814; 8,945,839; 8,993,233; and 8,999,641) and a pending U.S. patent application (U.S. Serial No. 14/704,551) that are co</w:t>
      </w:r>
      <w:r>
        <w:rPr>
          <w:rFonts w:ascii="MS PGothic" w:cs="MS PGothic" w:eastAsia="MS PGothic" w:hAnsi="MS PGothic"/>
          <w:sz w:val="17"/>
          <w:szCs w:val="17"/>
          <w:color w:val="auto"/>
        </w:rPr>
        <w:t>‑</w:t>
      </w:r>
      <w:r>
        <w:rPr>
          <w:rFonts w:ascii="Arial" w:cs="Arial" w:eastAsia="Arial" w:hAnsi="Arial"/>
          <w:sz w:val="17"/>
          <w:szCs w:val="17"/>
          <w:color w:val="auto"/>
        </w:rPr>
        <w:t>owned by The Broad Institute, Inc. (“Broad”), the Massachusetts Institute of Technology (“MIT”), and in some cases the President and Fellows of Harvard College (“Harvard”), and in</w:t>
      </w:r>
      <w:r>
        <w:rPr>
          <w:rFonts w:ascii="MS PGothic" w:cs="MS PGothic" w:eastAsia="MS PGothic" w:hAnsi="MS PGothic"/>
          <w:sz w:val="17"/>
          <w:szCs w:val="17"/>
          <w:color w:val="auto"/>
        </w:rPr>
        <w:t>‑</w:t>
      </w:r>
      <w:r>
        <w:rPr>
          <w:rFonts w:ascii="Arial" w:cs="Arial" w:eastAsia="Arial" w:hAnsi="Arial"/>
          <w:sz w:val="17"/>
          <w:szCs w:val="17"/>
          <w:color w:val="auto"/>
        </w:rPr>
        <w:t>licensed by us. An interference is a proceeding within the USPTO to determine priority of invention of the subject matter of patent claims filed by different parties. In the declared interference, the University of California, acting on behalf of itself and the University of Vienna, and Emmanuelle Charpentier were designated as the senior party and Broad was designated as the junior party.</w:t>
      </w:r>
    </w:p>
    <w:p>
      <w:pPr>
        <w:spacing w:after="0" w:line="204" w:lineRule="exact"/>
        <w:rPr>
          <w:sz w:val="20"/>
          <w:szCs w:val="20"/>
          <w:color w:val="auto"/>
        </w:rPr>
      </w:pPr>
    </w:p>
    <w:p>
      <w:pPr>
        <w:ind w:right="80" w:firstLine="648"/>
        <w:spacing w:after="0" w:line="219" w:lineRule="exact"/>
        <w:rPr>
          <w:sz w:val="20"/>
          <w:szCs w:val="20"/>
          <w:color w:val="auto"/>
        </w:rPr>
      </w:pPr>
      <w:r>
        <w:rPr>
          <w:rFonts w:ascii="Arial" w:cs="Arial" w:eastAsia="Arial" w:hAnsi="Arial"/>
          <w:sz w:val="16"/>
          <w:szCs w:val="16"/>
          <w:color w:val="auto"/>
        </w:rPr>
        <w:t>On February 15, 2017, the PTAB held that there is no interference</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which means that no interference is needed to resolve priority between the parties because the PTAB determined that the Broad claims are directed to subject matter that is patentably distinct from those of the University of California, the University of Vienna, and Emmanuelle Charpentier. The interference proceeding has therefore ended. Therefore, the 12 U.S. patents and one U.S. patent application that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as well as the U.S. patent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application owned by the University of California, the University of Vienna, and Emmanuelle Charpentier, with respect to which the PTAB had declared an interference were not modified or revoked as a result of this interference proceeding.</w:t>
      </w:r>
    </w:p>
    <w:p>
      <w:pPr>
        <w:spacing w:after="0" w:line="12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Having filed a notice of appeal on April 12, 2017, the University of California, the University of Vienna, and Emmanuelle Charpentier filed an appeal brief to the Court of Appeals for the Federal Circuit on July 25, 2017 for review of the no interference-in-fact holding made by the PTAB in the interference proceeding. Broad filed its responsive brief on October 25, 2017. The University of California, the University of Vienna and Emmanuelle Charpentier filed a reply brief on November 22, 2017. It is uncertain when or in what manner the Federal Circuit will act on this appeal.</w:t>
      </w:r>
    </w:p>
    <w:p>
      <w:pPr>
        <w:spacing w:after="0" w:line="158" w:lineRule="exact"/>
        <w:rPr>
          <w:sz w:val="20"/>
          <w:szCs w:val="20"/>
          <w:color w:val="auto"/>
        </w:rPr>
      </w:pPr>
    </w:p>
    <w:p>
      <w:pPr>
        <w:ind w:firstLine="648"/>
        <w:spacing w:after="0" w:line="220" w:lineRule="exact"/>
        <w:rPr>
          <w:sz w:val="20"/>
          <w:szCs w:val="20"/>
          <w:color w:val="auto"/>
        </w:rPr>
      </w:pPr>
      <w:r>
        <w:rPr>
          <w:rFonts w:ascii="Arial" w:cs="Arial" w:eastAsia="Arial" w:hAnsi="Arial"/>
          <w:sz w:val="16"/>
          <w:szCs w:val="16"/>
          <w:color w:val="auto"/>
        </w:rPr>
        <w:t>Separately, ToolGen Inc. (“ToolGen”) also filed Suggestions of Interference in the USPTO on April 13, 2015, against five U.S. patents, which are among the 12 U.S. patents with respect to which the PTAB had declared an interference and which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MIT, and Harvard. The Suggestions of Interference that were filed by ToolGen are still pending and it is uncertain when and in what manner the USPTO will act on them.</w:t>
      </w:r>
    </w:p>
    <w:p>
      <w:pPr>
        <w:spacing w:after="0" w:line="190" w:lineRule="exact"/>
        <w:rPr>
          <w:sz w:val="20"/>
          <w:szCs w:val="20"/>
          <w:color w:val="auto"/>
        </w:rPr>
      </w:pPr>
    </w:p>
    <w:p>
      <w:pPr>
        <w:ind w:right="80" w:firstLine="648"/>
        <w:spacing w:after="0" w:line="187" w:lineRule="exact"/>
        <w:rPr>
          <w:sz w:val="20"/>
          <w:szCs w:val="20"/>
          <w:color w:val="auto"/>
        </w:rPr>
      </w:pPr>
      <w:r>
        <w:rPr>
          <w:rFonts w:ascii="Arial" w:cs="Arial" w:eastAsia="Arial" w:hAnsi="Arial"/>
          <w:sz w:val="16"/>
          <w:szCs w:val="16"/>
          <w:color w:val="auto"/>
        </w:rPr>
        <w:t>On May 9, 2016, the USPTO granted a request for ex parte re</w:t>
      </w:r>
      <w:r>
        <w:rPr>
          <w:rFonts w:ascii="MS PGothic" w:cs="MS PGothic" w:eastAsia="MS PGothic" w:hAnsi="MS PGothic"/>
          <w:sz w:val="16"/>
          <w:szCs w:val="16"/>
          <w:color w:val="auto"/>
        </w:rPr>
        <w:t>‑</w:t>
      </w:r>
      <w:r>
        <w:rPr>
          <w:rFonts w:ascii="Arial" w:cs="Arial" w:eastAsia="Arial" w:hAnsi="Arial"/>
          <w:sz w:val="16"/>
          <w:szCs w:val="16"/>
          <w:color w:val="auto"/>
        </w:rPr>
        <w:t>examination of U.S. Patent No. 8,771,945, which is among the 12 U.S. patents with respect to which the PTAB had declared an interference and which we have in</w:t>
      </w:r>
      <w:r>
        <w:rPr>
          <w:rFonts w:ascii="MS PGothic" w:cs="MS PGothic" w:eastAsia="MS PGothic" w:hAnsi="MS PGothic"/>
          <w:sz w:val="16"/>
          <w:szCs w:val="16"/>
          <w:color w:val="auto"/>
        </w:rPr>
        <w:t>‑</w:t>
      </w:r>
      <w:r>
        <w:rPr>
          <w:rFonts w:ascii="Arial" w:cs="Arial" w:eastAsia="Arial" w:hAnsi="Arial"/>
          <w:sz w:val="16"/>
          <w:szCs w:val="16"/>
          <w:color w:val="auto"/>
        </w:rPr>
        <w:t>licensed from Broad, acting on behalf of itself and MIT. On May 12, 2016, the PTAB suspended the re</w:t>
      </w:r>
      <w:r>
        <w:rPr>
          <w:rFonts w:ascii="MS PGothic" w:cs="MS PGothic" w:eastAsia="MS PGothic" w:hAnsi="MS PGothic"/>
          <w:sz w:val="16"/>
          <w:szCs w:val="16"/>
          <w:color w:val="auto"/>
        </w:rPr>
        <w:t>‑</w:t>
      </w:r>
      <w:r>
        <w:rPr>
          <w:rFonts w:ascii="Arial" w:cs="Arial" w:eastAsia="Arial" w:hAnsi="Arial"/>
          <w:sz w:val="16"/>
          <w:szCs w:val="16"/>
          <w:color w:val="auto"/>
        </w:rPr>
        <w:t>examination of U.S. Patent No. 8,771,945 noting that it has jurisdiction over any file that involves a patent involved in the interference. It is uncertain when the PTAB will lift the suspension, however the PTAB may do so in light of the PTAB’s no interference</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holding.</w:t>
      </w:r>
    </w:p>
    <w:p>
      <w:pPr>
        <w:spacing w:after="0" w:line="176" w:lineRule="exact"/>
        <w:rPr>
          <w:sz w:val="20"/>
          <w:szCs w:val="20"/>
          <w:color w:val="auto"/>
        </w:rPr>
      </w:pPr>
    </w:p>
    <w:p>
      <w:pPr>
        <w:ind w:right="40" w:firstLine="648"/>
        <w:spacing w:after="0" w:line="218" w:lineRule="exact"/>
        <w:rPr>
          <w:sz w:val="20"/>
          <w:szCs w:val="20"/>
          <w:color w:val="auto"/>
        </w:rPr>
      </w:pPr>
      <w:r>
        <w:rPr>
          <w:rFonts w:ascii="Arial" w:cs="Arial" w:eastAsia="Arial" w:hAnsi="Arial"/>
          <w:sz w:val="17"/>
          <w:szCs w:val="17"/>
          <w:color w:val="auto"/>
        </w:rPr>
        <w:t>On January 17, 2018, the European Patent Office Opposition Division (the “Opposition Division”) revoked in the European Patent Office (“EPO”) a European patent that we have in</w:t>
      </w:r>
      <w:r>
        <w:rPr>
          <w:rFonts w:ascii="MS PGothic" w:cs="MS PGothic" w:eastAsia="MS PGothic" w:hAnsi="MS PGothic"/>
          <w:sz w:val="17"/>
          <w:szCs w:val="17"/>
          <w:color w:val="auto"/>
        </w:rPr>
        <w:t>‑</w:t>
      </w:r>
      <w:r>
        <w:rPr>
          <w:rFonts w:ascii="Arial" w:cs="Arial" w:eastAsia="Arial" w:hAnsi="Arial"/>
          <w:sz w:val="17"/>
          <w:szCs w:val="17"/>
          <w:color w:val="auto"/>
        </w:rPr>
        <w:t>licensed from Broad, acting on behalf of itself, MIT and Harvard (European Patent No. EP 2,771,468 B1). On January 18, 2018, Broad, acting on behalf of itself, MIT and Harvard filed a notice of appeal to the Boards of Appeal of the EPO for review of the Opposition Division’s decision to revoke this patent. It is uncertain when or in what manner the Boards of Appeal will act on this appeal. The Opposition Division has also initiated opposition proceedings in the EPO against six other European patents that we have in</w:t>
      </w:r>
      <w:r>
        <w:rPr>
          <w:rFonts w:ascii="MS PGothic" w:cs="MS PGothic" w:eastAsia="MS PGothic" w:hAnsi="MS PGothic"/>
          <w:sz w:val="17"/>
          <w:szCs w:val="17"/>
          <w:color w:val="auto"/>
        </w:rPr>
        <w:t>‑</w:t>
      </w:r>
      <w:r>
        <w:rPr>
          <w:rFonts w:ascii="Arial" w:cs="Arial" w:eastAsia="Arial" w:hAnsi="Arial"/>
          <w:sz w:val="17"/>
          <w:szCs w:val="17"/>
          <w:color w:val="auto"/>
        </w:rPr>
        <w:t>licensed from Broad, acting on behalf of itself, MIT and Harvard, one European patent that we have in</w:t>
      </w:r>
      <w:r>
        <w:rPr>
          <w:rFonts w:ascii="MS PGothic" w:cs="MS PGothic" w:eastAsia="MS PGothic" w:hAnsi="MS PGothic"/>
          <w:sz w:val="17"/>
          <w:szCs w:val="17"/>
          <w:color w:val="auto"/>
        </w:rPr>
        <w:t>‑</w:t>
      </w:r>
      <w:r>
        <w:rPr>
          <w:rFonts w:ascii="Arial" w:cs="Arial" w:eastAsia="Arial" w:hAnsi="Arial"/>
          <w:sz w:val="17"/>
          <w:szCs w:val="17"/>
          <w:color w:val="auto"/>
        </w:rPr>
        <w:t>licensed from Broad, acting on behalf of itself and MIT and two European patents that we have in-licensed from Broad, acting on behalf of itself, MIT, Harvard and The Rockefeller University. In addition, notices of opposition have been filed against one other European patent that we have in-licensed from Broad, acting on behalf of itself, MIT and Harvard.</w:t>
      </w:r>
    </w:p>
    <w:p>
      <w:pPr>
        <w:spacing w:after="0" w:line="1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ind w:right="439"/>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48" w:lineRule="exact"/>
        <w:rPr>
          <w:sz w:val="20"/>
          <w:szCs w:val="20"/>
          <w:color w:val="auto"/>
        </w:rPr>
      </w:pPr>
    </w:p>
    <w:p>
      <w:pPr>
        <w:ind w:right="19" w:firstLine="648"/>
        <w:spacing w:after="0" w:line="216" w:lineRule="auto"/>
        <w:rPr>
          <w:sz w:val="20"/>
          <w:szCs w:val="20"/>
          <w:color w:val="auto"/>
        </w:rPr>
      </w:pPr>
      <w:r>
        <w:rPr>
          <w:rFonts w:ascii="Arial" w:cs="Arial" w:eastAsia="Arial" w:hAnsi="Arial"/>
          <w:sz w:val="18"/>
          <w:szCs w:val="18"/>
          <w:color w:val="auto"/>
        </w:rPr>
        <w:t>Our common stock trades on the Nasdaq Global Select Market under the symbol “EDIT”. Trading of our common stock commenced on February 3, 2016 in connection with our initial public offering (the “IPO”). Prior to that time, there was no established public trading market for our common stock. The following table sets forth for the period indicated the high and low sale prices per share for our common stock as reported on the Nasdaq Global Select Market for each quarter in the years ended December 31, 2016 and 2017:</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2017</w:t>
            </w: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Market Price</w:t>
            </w:r>
          </w:p>
        </w:tc>
        <w:tc>
          <w:tcPr>
            <w:tcW w:w="0" w:type="dxa"/>
            <w:vAlign w:val="bottom"/>
          </w:tcPr>
          <w:p>
            <w:pPr>
              <w:spacing w:after="0"/>
              <w:rPr>
                <w:sz w:val="1"/>
                <w:szCs w:val="1"/>
                <w:color w:val="auto"/>
              </w:rPr>
            </w:pPr>
          </w:p>
        </w:tc>
      </w:tr>
      <w:tr>
        <w:trPr>
          <w:trHeight w:val="129"/>
        </w:trPr>
        <w:tc>
          <w:tcPr>
            <w:tcW w:w="4380" w:type="dxa"/>
            <w:vAlign w:val="bottom"/>
            <w:tcBorders>
              <w:bottom w:val="single" w:sz="8" w:color="CCEEFF"/>
            </w:tcBorders>
            <w:vMerge w:val="continue"/>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Second Quarter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Fourth Quarter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310"/>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2016</w:t>
            </w: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Market Price</w:t>
            </w:r>
          </w:p>
        </w:tc>
        <w:tc>
          <w:tcPr>
            <w:tcW w:w="0" w:type="dxa"/>
            <w:vAlign w:val="bottom"/>
          </w:tcPr>
          <w:p>
            <w:pPr>
              <w:spacing w:after="0"/>
              <w:rPr>
                <w:sz w:val="1"/>
                <w:szCs w:val="1"/>
                <w:color w:val="auto"/>
              </w:rPr>
            </w:pPr>
          </w:p>
        </w:tc>
      </w:tr>
      <w:tr>
        <w:trPr>
          <w:trHeight w:val="129"/>
        </w:trPr>
        <w:tc>
          <w:tcPr>
            <w:tcW w:w="4380" w:type="dxa"/>
            <w:vAlign w:val="bottom"/>
            <w:tcBorders>
              <w:bottom w:val="single" w:sz="8" w:color="CCEEFF"/>
            </w:tcBorders>
            <w:vMerge w:val="continue"/>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(beginning February 3, 2016)</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Second Quarter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Fourth Quarter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48" w:lineRule="exact"/>
        <w:rPr>
          <w:sz w:val="20"/>
          <w:szCs w:val="20"/>
          <w:color w:val="auto"/>
        </w:rPr>
      </w:pPr>
    </w:p>
    <w:p>
      <w:pPr>
        <w:ind w:right="379" w:firstLine="648"/>
        <w:spacing w:after="0" w:line="235" w:lineRule="auto"/>
        <w:rPr>
          <w:sz w:val="20"/>
          <w:szCs w:val="20"/>
          <w:color w:val="auto"/>
        </w:rPr>
      </w:pPr>
      <w:r>
        <w:rPr>
          <w:rFonts w:ascii="Arial" w:cs="Arial" w:eastAsia="Arial" w:hAnsi="Arial"/>
          <w:sz w:val="18"/>
          <w:szCs w:val="18"/>
          <w:color w:val="auto"/>
        </w:rPr>
        <w:t>As of January 1, 2018, we had approximately 26 holders of record of our common stock. This number does not include beneficial owners whose shares were held in street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right="79" w:firstLine="648"/>
        <w:spacing w:after="0" w:line="219"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to fund the development and growth of our business. We do not expect to pay any cash dividends in the foreseeable future. In addition, the terms of any future debt agreements that we may enter into, may preclude us from paying dividends without the lenders’ consent or at all.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48" w:lineRule="exact"/>
        <w:rPr>
          <w:sz w:val="20"/>
          <w:szCs w:val="20"/>
          <w:color w:val="auto"/>
        </w:rPr>
      </w:pPr>
    </w:p>
    <w:p>
      <w:pPr>
        <w:ind w:right="139" w:firstLine="648"/>
        <w:spacing w:after="0" w:line="229" w:lineRule="auto"/>
        <w:rPr>
          <w:sz w:val="20"/>
          <w:szCs w:val="20"/>
          <w:color w:val="auto"/>
        </w:rPr>
      </w:pPr>
      <w:r>
        <w:rPr>
          <w:rFonts w:ascii="Arial" w:cs="Arial" w:eastAsia="Arial" w:hAnsi="Arial"/>
          <w:sz w:val="17"/>
          <w:szCs w:val="17"/>
          <w:color w:val="auto"/>
        </w:rPr>
        <w:t>The following performance graph and related information shall not be deemed to be “soliciting material” or to be “filed” with the SEC for purposes of Section 18 of the Securities Exchange Act of 1934, as amended (the “Exchange Act”), or otherwise subject to the liabilities under that Section, nor shall such information be incorporated by reference into any future filing under the Exchange Act or the Securities Act of 1933, as amended (the “Securities Act”), except to the extent that we specifically incorporate it by reference into such filing.</w:t>
      </w:r>
    </w:p>
    <w:p>
      <w:pPr>
        <w:spacing w:after="0" w:line="121" w:lineRule="exact"/>
        <w:rPr>
          <w:sz w:val="20"/>
          <w:szCs w:val="20"/>
          <w:color w:val="auto"/>
        </w:rPr>
      </w:pPr>
    </w:p>
    <w:p>
      <w:pPr>
        <w:ind w:right="179" w:firstLine="648"/>
        <w:spacing w:after="0" w:line="238" w:lineRule="auto"/>
        <w:rPr>
          <w:sz w:val="20"/>
          <w:szCs w:val="20"/>
          <w:color w:val="auto"/>
        </w:rPr>
      </w:pPr>
      <w:r>
        <w:rPr>
          <w:rFonts w:ascii="Arial" w:cs="Arial" w:eastAsia="Arial" w:hAnsi="Arial"/>
          <w:sz w:val="17"/>
          <w:szCs w:val="17"/>
          <w:color w:val="auto"/>
        </w:rPr>
        <w:t>The following graph compares the performance of our common stock to The Nasdaq Composite Index and to The Nasdaq Biotechnology Index from February 3, 2016 (the first date on which shares of our common stock were publicly traded) through December 31, 2017. The comparison assumes $100 was invested after the market closed on</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February 3, 2016 in our common stock and in each of the foregoing indices, and it assumes reinvestment of dividends, if any.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99060</wp:posOffset>
            </wp:positionV>
            <wp:extent cx="5505450" cy="3198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0545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48" w:lineRule="exact"/>
        <w:rPr>
          <w:sz w:val="20"/>
          <w:szCs w:val="20"/>
          <w:color w:val="auto"/>
        </w:rPr>
      </w:pPr>
    </w:p>
    <w:p>
      <w:pPr>
        <w:ind w:right="39" w:firstLine="648"/>
        <w:spacing w:after="0" w:line="241" w:lineRule="auto"/>
        <w:rPr>
          <w:sz w:val="20"/>
          <w:szCs w:val="20"/>
          <w:color w:val="auto"/>
        </w:rPr>
      </w:pPr>
      <w:r>
        <w:rPr>
          <w:rFonts w:ascii="Arial" w:cs="Arial" w:eastAsia="Arial" w:hAnsi="Arial"/>
          <w:sz w:val="16"/>
          <w:szCs w:val="16"/>
          <w:color w:val="auto"/>
        </w:rPr>
        <w:t>In December 2017, in connection with the triggering of a success payment under our Cpf1 License Agreement and our Cas9-II License Agreement, we issued promissory notes (the “Notes”), in an aggregate principal amount of $7.5 million to the Broad Institute, Inc. The Notes were convertible, at our option, into shares of our common stock subject to certain conditions. No underwriters were involved in the foregoing issuances of securities. The securities were issued pursuant to Section 4(a)(2) under the Securities Act, relating to transactions by an issuer not involving any public offering. All recipients either received adequate information about us or had access, through other relationships, to such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48" w:lineRule="exact"/>
        <w:rPr>
          <w:sz w:val="20"/>
          <w:szCs w:val="20"/>
          <w:color w:val="auto"/>
        </w:rPr>
      </w:pPr>
    </w:p>
    <w:p>
      <w:pPr>
        <w:jc w:val="both"/>
        <w:ind w:right="59" w:firstLine="648"/>
        <w:spacing w:after="0" w:line="224" w:lineRule="auto"/>
        <w:rPr>
          <w:sz w:val="20"/>
          <w:szCs w:val="20"/>
          <w:color w:val="auto"/>
        </w:rPr>
      </w:pPr>
      <w:r>
        <w:rPr>
          <w:rFonts w:ascii="Arial" w:cs="Arial" w:eastAsia="Arial" w:hAnsi="Arial"/>
          <w:sz w:val="18"/>
          <w:szCs w:val="18"/>
          <w:color w:val="auto"/>
        </w:rPr>
        <w:t>On February 8, 2016, we closed our initial public offering of common stock under a registration statement on Form S-1 (File No. 333-208856) that was declared effective by the Securities and Exchange Commission (the “SEC”) on February 2, 2016.</w:t>
      </w:r>
    </w:p>
    <w:p>
      <w:pPr>
        <w:spacing w:after="0" w:line="82" w:lineRule="exact"/>
        <w:rPr>
          <w:sz w:val="20"/>
          <w:szCs w:val="20"/>
          <w:color w:val="auto"/>
        </w:rPr>
      </w:pPr>
    </w:p>
    <w:p>
      <w:pPr>
        <w:ind w:right="99" w:firstLine="648"/>
        <w:spacing w:after="0" w:line="219" w:lineRule="auto"/>
        <w:rPr>
          <w:sz w:val="20"/>
          <w:szCs w:val="20"/>
          <w:color w:val="auto"/>
        </w:rPr>
      </w:pPr>
      <w:r>
        <w:rPr>
          <w:rFonts w:ascii="Arial" w:cs="Arial" w:eastAsia="Arial" w:hAnsi="Arial"/>
          <w:sz w:val="18"/>
          <w:szCs w:val="18"/>
          <w:color w:val="auto"/>
        </w:rPr>
        <w:t>We received aggregate net proceeds from the offering of $97.5 million, after deducting underwriting discounts and commissions and other offering expenses payable by us. None of the underwriting discounts and commissions or other offering expenses were incurred or paid to directors or officers of ours or their associates or to persons owning 10% or more of our common stock or to any affiliates of ours.</w:t>
      </w:r>
    </w:p>
    <w:p>
      <w:pPr>
        <w:spacing w:after="0" w:line="41" w:lineRule="exact"/>
        <w:rPr>
          <w:sz w:val="20"/>
          <w:szCs w:val="20"/>
          <w:color w:val="auto"/>
        </w:rPr>
      </w:pPr>
    </w:p>
    <w:p>
      <w:pPr>
        <w:ind w:right="99" w:firstLine="648"/>
        <w:spacing w:after="0" w:line="249" w:lineRule="auto"/>
        <w:rPr>
          <w:sz w:val="20"/>
          <w:szCs w:val="20"/>
          <w:color w:val="auto"/>
        </w:rPr>
      </w:pPr>
      <w:r>
        <w:rPr>
          <w:rFonts w:ascii="Arial" w:cs="Arial" w:eastAsia="Arial" w:hAnsi="Arial"/>
          <w:sz w:val="16"/>
          <w:szCs w:val="16"/>
          <w:color w:val="auto"/>
        </w:rPr>
        <w:t>As of December 31, 2017, we had used all of the net offering proceeds, primarily to fund preclinical studies for our lead program, continued expansion of our platform technology, and preclinical studies of our research programs, as well as for working capital and general corporate purposes. There was no material change in our use of the net proceeds from the offering from that described in our final prospectus filed with the SEC pursuant to Rule 424(b) under the Securities Act.</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48" w:lineRule="exact"/>
        <w:rPr>
          <w:sz w:val="20"/>
          <w:szCs w:val="20"/>
          <w:color w:val="auto"/>
        </w:rPr>
      </w:pPr>
    </w:p>
    <w:p>
      <w:pPr>
        <w:ind w:right="60" w:firstLine="648"/>
        <w:spacing w:after="0" w:line="232"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accompanying notes appearing elsewhere in this Annual Report on Form 10-K and the “Management’s Discussion and Analysis of Financial Condition and Results of Operations” section of this Annual Report on Form 10-K. We have derived the consolidated statement of operations data for the years ended December 31, 2017, 2016 and 2015 and the consolidated balance sheet data as of December 31, 2017 and 2016 from our audited consolidated financial statements included elsewhere in this Annual Report on Form 10-K. We have derived the consolidated statements of operations data from the period ended December 31, 2014 and 2013 and consolidated balance sheet data as of December 31, 2015, 2014 and 2013 from our audited consolidated financial statements not included in this Annual Report on Form 10-K. Our historical results for any prior period are not necessarily indicative of the results that may be expected in any future period.</w:t>
      </w:r>
    </w:p>
    <w:tbl>
      <w:tblPr>
        <w:tblLayout w:type="fixed"/>
        <w:tblInd w:w="0" w:type="dxa"/>
        <w:tblCellMar>
          <w:top w:w="0" w:type="dxa"/>
          <w:left w:w="0" w:type="dxa"/>
          <w:bottom w:w="0" w:type="dxa"/>
          <w:right w:w="0" w:type="dxa"/>
        </w:tblCellMar>
      </w:tblPr>
      <w:tr>
        <w:trPr>
          <w:trHeight w:val="129"/>
        </w:trPr>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September 3, 2013</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14"/>
              <w:spacing w:after="0" w:line="135"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11"/>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1"/>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1"/>
              <w:spacing w:after="0" w:line="129"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20" w:type="dxa"/>
            <w:vAlign w:val="bottom"/>
            <w:gridSpan w:val="7"/>
          </w:tcPr>
          <w:p>
            <w:pPr>
              <w:jc w:val="right"/>
              <w:ind w:right="151"/>
              <w:spacing w:after="0" w:line="129" w:lineRule="exact"/>
              <w:rPr>
                <w:sz w:val="20"/>
                <w:szCs w:val="20"/>
                <w:color w:val="auto"/>
              </w:rPr>
            </w:pPr>
            <w:r>
              <w:rPr>
                <w:rFonts w:ascii="Arial" w:cs="Arial" w:eastAsia="Arial" w:hAnsi="Arial"/>
                <w:sz w:val="14"/>
                <w:szCs w:val="14"/>
                <w:b w:val="1"/>
                <w:bCs w:val="1"/>
                <w:color w:val="auto"/>
                <w:w w:val="93"/>
              </w:rPr>
              <w:t>(in thousands, except share and per share data)</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Consolidated Statements of</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Operations Data:</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7"/>
                <w:szCs w:val="17"/>
                <w:color w:val="auto"/>
              </w:rPr>
              <w:t>Collaboration and other research and</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13,728</w:t>
            </w:r>
          </w:p>
        </w:tc>
        <w:tc>
          <w:tcPr>
            <w:tcW w:w="3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6,053</w:t>
            </w:r>
          </w:p>
        </w:tc>
        <w:tc>
          <w:tcPr>
            <w:tcW w:w="360" w:type="dxa"/>
            <w:vAlign w:val="bottom"/>
            <w:gridSpan w:val="2"/>
            <w:vMerge w:val="restart"/>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1,629</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development revenues</w:t>
            </w:r>
          </w:p>
        </w:tc>
        <w:tc>
          <w:tcPr>
            <w:tcW w:w="38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83,159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56,979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18,846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5,073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176"/>
        </w:trPr>
        <w:tc>
          <w:tcPr>
            <w:tcW w:w="29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50,502</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46,262</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18,095</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7,650</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169"/>
        </w:trPr>
        <w:tc>
          <w:tcPr>
            <w:tcW w:w="2940" w:type="dxa"/>
            <w:vAlign w:val="bottom"/>
            <w:tcBorders>
              <w:bottom w:val="single" w:sz="8" w:color="CCEEFF"/>
            </w:tcBorders>
            <w:gridSpan w:val="2"/>
          </w:tcPr>
          <w:p>
            <w:pPr>
              <w:ind w:left="320"/>
              <w:spacing w:after="0" w:line="170" w:lineRule="exact"/>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133,661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103,241</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36,941</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12,723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(119,933)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(97,188)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(35,312)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(12,723)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176"/>
        </w:trPr>
        <w:tc>
          <w:tcPr>
            <w:tcW w:w="2940" w:type="dxa"/>
            <w:vAlign w:val="bottom"/>
            <w:gridSpan w:val="2"/>
          </w:tcPr>
          <w:p>
            <w:pPr>
              <w:spacing w:after="0" w:line="176" w:lineRule="exact"/>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587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(37,445)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(928)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2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Interest income (expense), net</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940" w:type="dxa"/>
            <w:vAlign w:val="bottom"/>
            <w:tcBorders>
              <w:bottom w:val="single" w:sz="8" w:color="CCEEFF"/>
            </w:tcBorders>
            <w:gridSpan w:val="2"/>
          </w:tcPr>
          <w:p>
            <w:pPr>
              <w:spacing w:after="0" w:line="170" w:lineRule="exact"/>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(391)</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(37,588)</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(962)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(120,324)</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(97,183)</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(72,900)</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(13,685)</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122"/>
        </w:trPr>
        <w:tc>
          <w:tcPr>
            <w:tcW w:w="2940" w:type="dxa"/>
            <w:vAlign w:val="bottom"/>
            <w:gridSpan w:val="2"/>
          </w:tcPr>
          <w:p>
            <w:pPr>
              <w:spacing w:after="0" w:line="122" w:lineRule="exact"/>
              <w:rPr>
                <w:sz w:val="20"/>
                <w:szCs w:val="20"/>
                <w:color w:val="auto"/>
              </w:rPr>
            </w:pPr>
            <w:r>
              <w:rPr>
                <w:rFonts w:ascii="Arial" w:cs="Arial" w:eastAsia="Arial" w:hAnsi="Arial"/>
                <w:sz w:val="14"/>
                <w:szCs w:val="14"/>
                <w:color w:val="auto"/>
              </w:rPr>
              <w:t>Reconciliation of net loss to net loss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attributable to common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(120,324)</w:t>
            </w:r>
          </w:p>
        </w:tc>
        <w:tc>
          <w:tcPr>
            <w:tcW w:w="32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(97,183)</w:t>
            </w:r>
          </w:p>
        </w:tc>
        <w:tc>
          <w:tcPr>
            <w:tcW w:w="36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(72,900)</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(13,685)</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7"/>
                <w:szCs w:val="17"/>
                <w:color w:val="auto"/>
              </w:rPr>
              <w:t>Accretion of redeemable convertible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8"/>
              </w:rPr>
              <w:t>preferred stock to redemption value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(394)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(309)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280" w:type="dxa"/>
            <w:vAlign w:val="bottom"/>
            <w:vMerge w:val="restart"/>
          </w:tcPr>
          <w:p>
            <w:pPr>
              <w:ind w:left="140"/>
              <w:spacing w:after="0"/>
              <w:rPr>
                <w:sz w:val="20"/>
                <w:szCs w:val="20"/>
                <w:color w:val="auto"/>
              </w:rPr>
            </w:pPr>
            <w:r>
              <w:rPr>
                <w:rFonts w:ascii="Arial" w:cs="Arial" w:eastAsia="Arial" w:hAnsi="Arial"/>
                <w:sz w:val="9"/>
                <w:szCs w:val="9"/>
                <w:color w:val="auto"/>
              </w:rPr>
              <w:t>(1)</w:t>
            </w: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2280" w:type="dxa"/>
            <w:vAlign w:val="bottom"/>
            <w:tcBorders>
              <w:bottom w:val="single" w:sz="8" w:color="CCEEFF"/>
            </w:tcBorders>
            <w:vMerge w:val="continue"/>
          </w:tcPr>
          <w:p>
            <w:pPr>
              <w:spacing w:after="0"/>
              <w:rPr>
                <w:sz w:val="7"/>
                <w:szCs w:val="7"/>
                <w:color w:val="auto"/>
              </w:rPr>
            </w:pPr>
          </w:p>
        </w:tc>
        <w:tc>
          <w:tcPr>
            <w:tcW w:w="66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9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Net loss attributable to common</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(120,324)</w:t>
            </w:r>
          </w:p>
        </w:tc>
        <w:tc>
          <w:tcPr>
            <w:tcW w:w="32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(97,230)</w:t>
            </w:r>
          </w:p>
        </w:tc>
        <w:tc>
          <w:tcPr>
            <w:tcW w:w="36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(73,294)</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(13,994)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9"/>
        </w:trPr>
        <w:tc>
          <w:tcPr>
            <w:tcW w:w="29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 xml:space="preserve">stockholders </w:t>
            </w:r>
            <w:r>
              <w:rPr>
                <w:rFonts w:ascii="Arial" w:cs="Arial" w:eastAsia="Arial" w:hAnsi="Arial"/>
                <w:sz w:val="8"/>
                <w:szCs w:val="8"/>
                <w:color w:val="auto"/>
              </w:rPr>
              <w:t>(1)</w:t>
            </w:r>
          </w:p>
        </w:tc>
        <w:tc>
          <w:tcPr>
            <w:tcW w:w="38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940" w:type="dxa"/>
            <w:vAlign w:val="bottom"/>
            <w:tcBorders>
              <w:top w:val="single" w:sz="8" w:color="CCEEFF"/>
            </w:tcBorders>
            <w:gridSpan w:val="2"/>
          </w:tcPr>
          <w:p>
            <w:pPr>
              <w:spacing w:after="0" w:line="122" w:lineRule="exact"/>
              <w:rPr>
                <w:sz w:val="20"/>
                <w:szCs w:val="20"/>
                <w:color w:val="auto"/>
              </w:rPr>
            </w:pPr>
            <w:r>
              <w:rPr>
                <w:rFonts w:ascii="Arial" w:cs="Arial" w:eastAsia="Arial" w:hAnsi="Arial"/>
                <w:sz w:val="14"/>
                <w:szCs w:val="14"/>
                <w:color w:val="auto"/>
              </w:rPr>
              <w:t>Net loss per share attributable to</w:t>
            </w: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common stockholders, basic and</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(2.98)</w:t>
            </w:r>
          </w:p>
        </w:tc>
        <w:tc>
          <w:tcPr>
            <w:tcW w:w="3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(3.02)</w:t>
            </w:r>
          </w:p>
        </w:tc>
        <w:tc>
          <w:tcPr>
            <w:tcW w:w="360" w:type="dxa"/>
            <w:vAlign w:val="bottom"/>
            <w:gridSpan w:val="2"/>
            <w:vMerge w:val="restart"/>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(28.55)</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(12.46)</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196"/>
        </w:trPr>
        <w:tc>
          <w:tcPr>
            <w:tcW w:w="29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8"/>
                <w:szCs w:val="8"/>
                <w:color w:val="auto"/>
              </w:rPr>
              <w:t>(1)</w:t>
            </w:r>
          </w:p>
        </w:tc>
        <w:tc>
          <w:tcPr>
            <w:tcW w:w="38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94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5"/>
                <w:szCs w:val="15"/>
                <w:color w:val="auto"/>
              </w:rPr>
              <w:t>Weighted-average common shares</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40,323,631</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32,219,717</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2,566,916</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1,123,098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300,480</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 xml:space="preserve">outstanding, basic and diluted </w:t>
            </w:r>
            <w:r>
              <w:rPr>
                <w:rFonts w:ascii="Arial" w:cs="Arial" w:eastAsia="Arial" w:hAnsi="Arial"/>
                <w:sz w:val="8"/>
                <w:szCs w:val="8"/>
                <w:color w:val="auto"/>
              </w:rPr>
              <w:t>(1)</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60" w:hanging="657"/>
        <w:spacing w:after="0" w:line="194" w:lineRule="exact"/>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15 to our consolidated financial statements for further details on the calculation of net loss per share, basic and diluted, attributable to common stockholders and the weighted</w:t>
      </w:r>
      <w:r>
        <w:rPr>
          <w:rFonts w:ascii="MS PGothic" w:cs="MS PGothic" w:eastAsia="MS PGothic" w:hAnsi="MS PGothic"/>
          <w:sz w:val="18"/>
          <w:szCs w:val="18"/>
          <w:color w:val="auto"/>
        </w:rPr>
        <w:t>‑</w:t>
      </w:r>
      <w:r>
        <w:rPr>
          <w:rFonts w:ascii="Arial" w:cs="Arial" w:eastAsia="Arial" w:hAnsi="Arial"/>
          <w:sz w:val="18"/>
          <w:szCs w:val="18"/>
          <w:color w:val="auto"/>
        </w:rPr>
        <w:t>average number of shares used in the computation of the per share amounts.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bottom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2016</w:t>
            </w:r>
          </w:p>
        </w:tc>
        <w:tc>
          <w:tcPr>
            <w:tcW w:w="1060" w:type="dxa"/>
            <w:vAlign w:val="bottom"/>
            <w:tcBorders>
              <w:bottom w:val="single" w:sz="8" w:color="auto"/>
            </w:tcBorders>
          </w:tcPr>
          <w:p>
            <w:pPr>
              <w:jc w:val="right"/>
              <w:ind w:right="275"/>
              <w:spacing w:after="0" w:line="129"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ind w:left="80"/>
              <w:spacing w:after="0" w:line="129" w:lineRule="exact"/>
              <w:rPr>
                <w:sz w:val="20"/>
                <w:szCs w:val="20"/>
                <w:color w:val="auto"/>
              </w:rPr>
            </w:pPr>
            <w:r>
              <w:rPr>
                <w:rFonts w:ascii="Arial" w:cs="Arial" w:eastAsia="Arial" w:hAnsi="Arial"/>
                <w:sz w:val="14"/>
                <w:szCs w:val="14"/>
                <w:b w:val="1"/>
                <w:bCs w:val="1"/>
                <w:color w:val="auto"/>
                <w:w w:val="99"/>
              </w:rPr>
              <w:t>(in thousands)</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line="176" w:lineRule="exact"/>
              <w:rPr>
                <w:sz w:val="20"/>
                <w:szCs w:val="20"/>
                <w:color w:val="auto"/>
              </w:rPr>
            </w:pPr>
            <w:r>
              <w:rPr>
                <w:rFonts w:ascii="Arial" w:cs="Arial" w:eastAsia="Arial" w:hAnsi="Arial"/>
                <w:sz w:val="18"/>
                <w:szCs w:val="18"/>
                <w:color w:val="auto"/>
              </w:rPr>
              <w:t>Cash, cash equivalents, and marketable securities</w:t>
            </w:r>
          </w:p>
        </w:tc>
        <w:tc>
          <w:tcPr>
            <w:tcW w:w="1100" w:type="dxa"/>
            <w:vAlign w:val="bottom"/>
            <w:gridSpan w:val="2"/>
          </w:tcPr>
          <w:p>
            <w:pPr>
              <w:jc w:val="right"/>
              <w:ind w:right="16"/>
              <w:spacing w:after="0" w:line="176" w:lineRule="exact"/>
              <w:rPr>
                <w:sz w:val="20"/>
                <w:szCs w:val="20"/>
                <w:color w:val="auto"/>
              </w:rPr>
            </w:pPr>
            <w:r>
              <w:rPr>
                <w:rFonts w:ascii="Arial" w:cs="Arial" w:eastAsia="Arial" w:hAnsi="Arial"/>
                <w:sz w:val="18"/>
                <w:szCs w:val="18"/>
                <w:color w:val="auto"/>
              </w:rPr>
              <w:t>$  329,139</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  185,323</w:t>
            </w:r>
          </w:p>
        </w:tc>
        <w:tc>
          <w:tcPr>
            <w:tcW w:w="1060" w:type="dxa"/>
            <w:vAlign w:val="bottom"/>
          </w:tcPr>
          <w:p>
            <w:pPr>
              <w:jc w:val="right"/>
              <w:ind w:right="55"/>
              <w:spacing w:after="0" w:line="176" w:lineRule="exact"/>
              <w:rPr>
                <w:sz w:val="20"/>
                <w:szCs w:val="20"/>
                <w:color w:val="auto"/>
              </w:rPr>
            </w:pPr>
            <w:r>
              <w:rPr>
                <w:rFonts w:ascii="Arial" w:cs="Arial" w:eastAsia="Arial" w:hAnsi="Arial"/>
                <w:sz w:val="18"/>
                <w:szCs w:val="18"/>
                <w:color w:val="auto"/>
              </w:rPr>
              <w:t>$  143,180</w:t>
            </w:r>
          </w:p>
        </w:tc>
        <w:tc>
          <w:tcPr>
            <w:tcW w:w="980" w:type="dxa"/>
            <w:vAlign w:val="bottom"/>
          </w:tcPr>
          <w:p>
            <w:pPr>
              <w:jc w:val="right"/>
              <w:ind w:right="32"/>
              <w:spacing w:after="0" w:line="176" w:lineRule="exact"/>
              <w:rPr>
                <w:sz w:val="20"/>
                <w:szCs w:val="20"/>
                <w:color w:val="auto"/>
              </w:rPr>
            </w:pPr>
            <w:r>
              <w:rPr>
                <w:rFonts w:ascii="Arial" w:cs="Arial" w:eastAsia="Arial" w:hAnsi="Arial"/>
                <w:sz w:val="18"/>
                <w:szCs w:val="18"/>
                <w:color w:val="auto"/>
              </w:rPr>
              <w:t>$  10,623</w:t>
            </w:r>
          </w:p>
        </w:tc>
        <w:tc>
          <w:tcPr>
            <w:tcW w:w="2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Working capital</w:t>
            </w:r>
          </w:p>
        </w:tc>
        <w:tc>
          <w:tcPr>
            <w:tcW w:w="1100" w:type="dxa"/>
            <w:vAlign w:val="bottom"/>
            <w:gridSpan w:val="2"/>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295,492</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154,100</w:t>
            </w:r>
          </w:p>
        </w:tc>
        <w:tc>
          <w:tcPr>
            <w:tcW w:w="1060" w:type="dxa"/>
            <w:vAlign w:val="bottom"/>
            <w:shd w:val="clear" w:color="auto" w:fill="CCEEFF"/>
          </w:tcPr>
          <w:p>
            <w:pPr>
              <w:jc w:val="right"/>
              <w:ind w:right="55"/>
              <w:spacing w:after="0" w:line="176" w:lineRule="exact"/>
              <w:rPr>
                <w:sz w:val="20"/>
                <w:szCs w:val="20"/>
                <w:color w:val="auto"/>
              </w:rPr>
            </w:pPr>
            <w:r>
              <w:rPr>
                <w:rFonts w:ascii="Arial" w:cs="Arial" w:eastAsia="Arial" w:hAnsi="Arial"/>
                <w:sz w:val="18"/>
                <w:szCs w:val="18"/>
                <w:color w:val="auto"/>
              </w:rPr>
              <w:t>138,060</w:t>
            </w:r>
          </w:p>
        </w:tc>
        <w:tc>
          <w:tcPr>
            <w:tcW w:w="980" w:type="dxa"/>
            <w:vAlign w:val="bottom"/>
            <w:shd w:val="clear" w:color="auto" w:fill="CCEEFF"/>
          </w:tcPr>
          <w:p>
            <w:pPr>
              <w:jc w:val="right"/>
              <w:ind w:right="32"/>
              <w:spacing w:after="0" w:line="176" w:lineRule="exact"/>
              <w:rPr>
                <w:sz w:val="20"/>
                <w:szCs w:val="20"/>
                <w:color w:val="auto"/>
              </w:rPr>
            </w:pPr>
            <w:r>
              <w:rPr>
                <w:rFonts w:ascii="Arial" w:cs="Arial" w:eastAsia="Arial" w:hAnsi="Arial"/>
                <w:sz w:val="18"/>
                <w:szCs w:val="18"/>
                <w:color w:val="auto"/>
              </w:rPr>
              <w:t>4,555</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6"/>
        </w:trPr>
        <w:tc>
          <w:tcPr>
            <w:tcW w:w="4100" w:type="dxa"/>
            <w:vAlign w:val="bottom"/>
          </w:tcPr>
          <w:p>
            <w:pPr>
              <w:spacing w:after="0" w:line="176" w:lineRule="exact"/>
              <w:rPr>
                <w:sz w:val="20"/>
                <w:szCs w:val="20"/>
                <w:color w:val="auto"/>
              </w:rPr>
            </w:pPr>
            <w:r>
              <w:rPr>
                <w:rFonts w:ascii="Arial" w:cs="Arial" w:eastAsia="Arial" w:hAnsi="Arial"/>
                <w:sz w:val="18"/>
                <w:szCs w:val="18"/>
                <w:color w:val="auto"/>
              </w:rPr>
              <w:t>Total assets</w:t>
            </w:r>
          </w:p>
        </w:tc>
        <w:tc>
          <w:tcPr>
            <w:tcW w:w="1100" w:type="dxa"/>
            <w:vAlign w:val="bottom"/>
            <w:gridSpan w:val="2"/>
          </w:tcPr>
          <w:p>
            <w:pPr>
              <w:jc w:val="right"/>
              <w:ind w:right="16"/>
              <w:spacing w:after="0" w:line="176" w:lineRule="exact"/>
              <w:rPr>
                <w:sz w:val="20"/>
                <w:szCs w:val="20"/>
                <w:color w:val="auto"/>
              </w:rPr>
            </w:pPr>
            <w:r>
              <w:rPr>
                <w:rFonts w:ascii="Arial" w:cs="Arial" w:eastAsia="Arial" w:hAnsi="Arial"/>
                <w:sz w:val="18"/>
                <w:szCs w:val="18"/>
                <w:color w:val="auto"/>
              </w:rPr>
              <w:t>373,260</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229,182</w:t>
            </w:r>
          </w:p>
        </w:tc>
        <w:tc>
          <w:tcPr>
            <w:tcW w:w="1060" w:type="dxa"/>
            <w:vAlign w:val="bottom"/>
          </w:tcPr>
          <w:p>
            <w:pPr>
              <w:jc w:val="right"/>
              <w:ind w:right="55"/>
              <w:spacing w:after="0" w:line="176" w:lineRule="exact"/>
              <w:rPr>
                <w:sz w:val="20"/>
                <w:szCs w:val="20"/>
                <w:color w:val="auto"/>
              </w:rPr>
            </w:pPr>
            <w:r>
              <w:rPr>
                <w:rFonts w:ascii="Arial" w:cs="Arial" w:eastAsia="Arial" w:hAnsi="Arial"/>
                <w:sz w:val="18"/>
                <w:szCs w:val="18"/>
                <w:color w:val="auto"/>
              </w:rPr>
              <w:t>149,363</w:t>
            </w:r>
          </w:p>
        </w:tc>
        <w:tc>
          <w:tcPr>
            <w:tcW w:w="980" w:type="dxa"/>
            <w:vAlign w:val="bottom"/>
          </w:tcPr>
          <w:p>
            <w:pPr>
              <w:jc w:val="right"/>
              <w:ind w:right="32"/>
              <w:spacing w:after="0" w:line="176" w:lineRule="exact"/>
              <w:rPr>
                <w:sz w:val="20"/>
                <w:szCs w:val="20"/>
                <w:color w:val="auto"/>
              </w:rPr>
            </w:pPr>
            <w:r>
              <w:rPr>
                <w:rFonts w:ascii="Arial" w:cs="Arial" w:eastAsia="Arial" w:hAnsi="Arial"/>
                <w:sz w:val="18"/>
                <w:szCs w:val="18"/>
                <w:color w:val="auto"/>
              </w:rPr>
              <w:t>12,188</w:t>
            </w:r>
          </w:p>
        </w:tc>
        <w:tc>
          <w:tcPr>
            <w:tcW w:w="24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revenue, net of current portion</w:t>
            </w:r>
          </w:p>
        </w:tc>
        <w:tc>
          <w:tcPr>
            <w:tcW w:w="1100" w:type="dxa"/>
            <w:vAlign w:val="bottom"/>
            <w:gridSpan w:val="2"/>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94,725</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26,000</w:t>
            </w:r>
          </w:p>
        </w:tc>
        <w:tc>
          <w:tcPr>
            <w:tcW w:w="1060" w:type="dxa"/>
            <w:vAlign w:val="bottom"/>
            <w:shd w:val="clear" w:color="auto" w:fill="CCEEFF"/>
          </w:tcPr>
          <w:p>
            <w:pPr>
              <w:jc w:val="right"/>
              <w:ind w:right="55"/>
              <w:spacing w:after="0" w:line="176" w:lineRule="exact"/>
              <w:rPr>
                <w:sz w:val="20"/>
                <w:szCs w:val="20"/>
                <w:color w:val="auto"/>
              </w:rPr>
            </w:pPr>
            <w:r>
              <w:rPr>
                <w:rFonts w:ascii="Arial" w:cs="Arial" w:eastAsia="Arial" w:hAnsi="Arial"/>
                <w:sz w:val="18"/>
                <w:szCs w:val="18"/>
                <w:color w:val="auto"/>
              </w:rPr>
              <w:t>25,321</w:t>
            </w:r>
          </w:p>
        </w:tc>
        <w:tc>
          <w:tcPr>
            <w:tcW w:w="980" w:type="dxa"/>
            <w:vAlign w:val="bottom"/>
            <w:shd w:val="clear" w:color="auto" w:fill="CCEEFF"/>
          </w:tcPr>
          <w:p>
            <w:pPr>
              <w:jc w:val="right"/>
              <w:ind w:right="32"/>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7"/>
                <w:szCs w:val="17"/>
                <w:color w:val="auto"/>
              </w:rPr>
              <w:t>Construction financing lease obligation, net of current</w:t>
            </w:r>
          </w:p>
        </w:tc>
        <w:tc>
          <w:tcPr>
            <w:tcW w:w="1100" w:type="dxa"/>
            <w:vAlign w:val="bottom"/>
            <w:gridSpan w:val="2"/>
            <w:vMerge w:val="restart"/>
          </w:tcPr>
          <w:p>
            <w:pPr>
              <w:jc w:val="right"/>
              <w:ind w:right="16"/>
              <w:spacing w:after="0"/>
              <w:rPr>
                <w:sz w:val="20"/>
                <w:szCs w:val="20"/>
                <w:color w:val="auto"/>
              </w:rPr>
            </w:pPr>
            <w:r>
              <w:rPr>
                <w:rFonts w:ascii="Arial" w:cs="Arial" w:eastAsia="Arial" w:hAnsi="Arial"/>
                <w:sz w:val="18"/>
                <w:szCs w:val="18"/>
                <w:color w:val="auto"/>
              </w:rPr>
              <w:t>33,431</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35,096</w:t>
            </w:r>
          </w:p>
        </w:tc>
        <w:tc>
          <w:tcPr>
            <w:tcW w:w="1060" w:type="dxa"/>
            <w:vAlign w:val="bottom"/>
            <w:vMerge w:val="restart"/>
          </w:tcPr>
          <w:p>
            <w:pPr>
              <w:jc w:val="right"/>
              <w:ind w:right="55"/>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portion</w:t>
            </w:r>
          </w:p>
        </w:tc>
        <w:tc>
          <w:tcPr>
            <w:tcW w:w="11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Equipment loan, net of current portion and discounts</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line="176" w:lineRule="exact"/>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100" w:type="dxa"/>
            <w:vAlign w:val="bottom"/>
          </w:tcPr>
          <w:p>
            <w:pPr>
              <w:spacing w:after="0" w:line="176" w:lineRule="exact"/>
              <w:rPr>
                <w:sz w:val="20"/>
                <w:szCs w:val="20"/>
                <w:color w:val="auto"/>
              </w:rPr>
            </w:pPr>
            <w:r>
              <w:rPr>
                <w:rFonts w:ascii="Arial" w:cs="Arial" w:eastAsia="Arial" w:hAnsi="Arial"/>
                <w:sz w:val="18"/>
                <w:szCs w:val="18"/>
                <w:color w:val="auto"/>
              </w:rPr>
              <w:t>Redeemable convertible preferred stock</w:t>
            </w:r>
          </w:p>
        </w:tc>
        <w:tc>
          <w:tcPr>
            <w:tcW w:w="220" w:type="dxa"/>
            <w:vAlign w:val="bottom"/>
          </w:tcPr>
          <w:p>
            <w:pPr>
              <w:spacing w:after="0"/>
              <w:rPr>
                <w:sz w:val="15"/>
                <w:szCs w:val="15"/>
                <w:color w:val="auto"/>
              </w:rPr>
            </w:pPr>
          </w:p>
        </w:tc>
        <w:tc>
          <w:tcPr>
            <w:tcW w:w="880" w:type="dxa"/>
            <w:vAlign w:val="bottom"/>
          </w:tcPr>
          <w:p>
            <w:pPr>
              <w:jc w:val="right"/>
              <w:ind w:right="16"/>
              <w:spacing w:after="0" w:line="17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5"/>
              <w:spacing w:after="0" w:line="176" w:lineRule="exact"/>
              <w:rPr>
                <w:sz w:val="20"/>
                <w:szCs w:val="20"/>
                <w:color w:val="auto"/>
              </w:rPr>
            </w:pPr>
            <w:r>
              <w:rPr>
                <w:rFonts w:ascii="Arial" w:cs="Arial" w:eastAsia="Arial" w:hAnsi="Arial"/>
                <w:sz w:val="18"/>
                <w:szCs w:val="18"/>
                <w:color w:val="auto"/>
              </w:rPr>
              <w:t>199,915</w:t>
            </w:r>
          </w:p>
        </w:tc>
        <w:tc>
          <w:tcPr>
            <w:tcW w:w="980" w:type="dxa"/>
            <w:vAlign w:val="bottom"/>
          </w:tcPr>
          <w:p>
            <w:pPr>
              <w:jc w:val="right"/>
              <w:ind w:right="32"/>
              <w:spacing w:after="0" w:line="176" w:lineRule="exact"/>
              <w:rPr>
                <w:sz w:val="20"/>
                <w:szCs w:val="20"/>
                <w:color w:val="auto"/>
              </w:rPr>
            </w:pPr>
            <w:r>
              <w:rPr>
                <w:rFonts w:ascii="Arial" w:cs="Arial" w:eastAsia="Arial" w:hAnsi="Arial"/>
                <w:sz w:val="18"/>
                <w:szCs w:val="18"/>
                <w:color w:val="auto"/>
              </w:rPr>
              <w:t>20,772</w:t>
            </w:r>
          </w:p>
        </w:tc>
        <w:tc>
          <w:tcPr>
            <w:tcW w:w="24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stockholders’ equity (deficit)</w:t>
            </w:r>
          </w:p>
        </w:tc>
        <w:tc>
          <w:tcPr>
            <w:tcW w:w="1100" w:type="dxa"/>
            <w:vAlign w:val="bottom"/>
            <w:gridSpan w:val="2"/>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208,080</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134,607</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(83,114)</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(15,292)</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consolidated financial statements and related notes appearing elsewhere in this Annual Report on Form 10-K.</w:t>
      </w:r>
    </w:p>
    <w:p>
      <w:pPr>
        <w:spacing w:after="0" w:line="84"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i w:val="1"/>
          <w:iCs w:val="1"/>
          <w:color w:val="auto"/>
        </w:rPr>
        <w:t>Some of the information contained in this discussion and analysis or set forth elsewhere in this Annual Report on Form 10-K contains forward-looking statements that involve substantial risks and uncertainties. The words “anticipate,” “believe,” “estimate,” “expect,” “intend,” “may,” “plan,” “predict,” “project,”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entitled “Risk Factors” in Part I, Item 1A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30" w:lineRule="exact"/>
        <w:rPr>
          <w:sz w:val="20"/>
          <w:szCs w:val="20"/>
          <w:color w:val="auto"/>
        </w:rPr>
      </w:pPr>
    </w:p>
    <w:p>
      <w:pPr>
        <w:jc w:val="both"/>
        <w:ind w:right="160" w:firstLine="648"/>
        <w:spacing w:after="0" w:line="244" w:lineRule="auto"/>
        <w:rPr>
          <w:sz w:val="20"/>
          <w:szCs w:val="20"/>
          <w:color w:val="auto"/>
        </w:rPr>
      </w:pPr>
      <w:r>
        <w:rPr>
          <w:rFonts w:ascii="Arial" w:cs="Arial" w:eastAsia="Arial" w:hAnsi="Arial"/>
          <w:sz w:val="16"/>
          <w:szCs w:val="16"/>
          <w:i w:val="1"/>
          <w:iCs w:val="1"/>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10-K,and we do not assume any obligation to update any forward-looking statements, whether as a result of new information, future events or otherwise, except as required by applicable law.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We are a leading genome editing company dedicated to developing transformative genomic medicines with the aim to treat a broad range of serious diseases. The promise of genomic medicines is supported by the advancing knowledge of the human genome, and harnessing the progress in technologies for cell therapy, gene therapy, and, most recently, genome editing. We believe this progress sets the stage for us to create unprecedented medicines with the potential to have a durable benefit for patients. At Editas Medicine, our core capability in genome editing uses the technology known as CRISPR (clustered, regularly interspaced, short palindromic repeats) with which we can create molecules that efficiently and specifically edit DNA. Our mission is to translate the promise of this science into a broad class of medicines to help people living with serious diseases around the world. To this end, we have developed a proprietary genome editing platform based on CRISPR technology and we continue to expand its capabilities. Our initial product development strategy is to primarily target genetically defined diseases with a focus on debilitating illnesses where there are poor or no approved treatments and where the genetic basis of disease is well understood. A genetically defined disease may be treated by correcting a disease causing gene, whereas a genetically treatable disease is a disease that does not necessarily have a single, disease causing gene, but which nonetheless may be treated by editing genes to ameliorate or eliminate the signs or symptoms of that disease. While our discovery efforts have ranged across several different diseases and therapeutic areas, the two areas where our programs are more mature are ocular diseases and engineered cell medicines. Our most advanced program is designed to address a specific genetic form of retinal degeneration called Leber Congenital Amaurosis type 10 (“LCA10”), a disease for which we are not aware of any available therapies and which we are aware of only one potential treatment in clinical trials in the United States and Europe. We aim to file an investigational new drug (“IND”) application by mid-2018 for our LCA10 program. In May 2015, we entered into a collaboration with Juno Therapeutics, Inc. (“Juno Therapeutics”), a leader in the emerging field of immuno</w:t>
      </w:r>
      <w:r>
        <w:rPr>
          <w:rFonts w:ascii="MS PGothic" w:cs="MS PGothic" w:eastAsia="MS PGothic" w:hAnsi="MS PGothic"/>
          <w:sz w:val="16"/>
          <w:szCs w:val="16"/>
          <w:color w:val="auto"/>
        </w:rPr>
        <w:t>‑</w:t>
      </w:r>
      <w:r>
        <w:rPr>
          <w:rFonts w:ascii="Arial" w:cs="Arial" w:eastAsia="Arial" w:hAnsi="Arial"/>
          <w:sz w:val="16"/>
          <w:szCs w:val="16"/>
          <w:color w:val="auto"/>
        </w:rPr>
        <w:t>oncology, to develop novel engineered T cell therapies for cancer and, in March 2017, we entered into a strategic alliance and option agreement with Allergan Pharmaceuticals International Limited (“Allergan”), a wholly-owned subsidiary of Allergan plc, a leading global pharmaceutical company, to discover, develop, and commercialize new gene editing medicines for a range of ocular disorders.</w:t>
      </w:r>
    </w:p>
    <w:p>
      <w:pPr>
        <w:spacing w:after="0" w:line="123" w:lineRule="exact"/>
        <w:rPr>
          <w:sz w:val="20"/>
          <w:szCs w:val="20"/>
          <w:color w:val="auto"/>
        </w:rPr>
      </w:pPr>
    </w:p>
    <w:p>
      <w:pPr>
        <w:ind w:right="520" w:firstLine="648"/>
        <w:spacing w:after="0" w:line="289" w:lineRule="auto"/>
        <w:rPr>
          <w:sz w:val="20"/>
          <w:szCs w:val="20"/>
          <w:color w:val="auto"/>
        </w:rPr>
      </w:pPr>
      <w:r>
        <w:rPr>
          <w:rFonts w:ascii="Arial" w:cs="Arial" w:eastAsia="Arial" w:hAnsi="Arial"/>
          <w:sz w:val="16"/>
          <w:szCs w:val="16"/>
          <w:color w:val="auto"/>
        </w:rPr>
        <w:t>Since our inception in September 2013, our operations have focused on organizing and staffing our company, business planning, raising capital, establishing our intellectual property portfolio, assembling our core capabilities in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40"/>
        <w:spacing w:after="0" w:line="223" w:lineRule="auto"/>
        <w:rPr>
          <w:sz w:val="20"/>
          <w:szCs w:val="20"/>
          <w:color w:val="auto"/>
        </w:rPr>
      </w:pPr>
      <w:r>
        <w:rPr>
          <w:rFonts w:ascii="Arial" w:cs="Arial" w:eastAsia="Arial" w:hAnsi="Arial"/>
          <w:sz w:val="17"/>
          <w:szCs w:val="17"/>
          <w:color w:val="auto"/>
        </w:rPr>
        <w:t>genome editing, seeking to identify potential product candidates, and undertaking preclinical studies. All of our research programs are still in the preclinical or research stage of development and their risk of failure is high. We have not generated any revenue from product sales. We have funded our operations primarily through the initial public offering of our common stock (the “IPO”), follow-on public offerings of our common stock including through an at-the-market offering, private placements of our preferred stock, payments received under our collaboration with Juno Therapeutics, and the upfront payment that we received under our strategic alliance with Allergan. From inception through December 31, 2017, we raised an aggregate of $545.5 million to fund our operations. We raised an additional $48.5 million in net proceeds from an at-the-market offerings of our common stock in January 2018.</w:t>
      </w:r>
    </w:p>
    <w:p>
      <w:pPr>
        <w:spacing w:after="0" w:line="127"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In February 2016, we completed our IPO and received aggregate net proceeds of approximately $97.5 million, after deducting underwriting discounts and commissions and other offering expenses payable by us. In March 2017, we completed a follow-on offering and received net proceeds of approximately $96.7 million, after deducting underwriting discounts and commissions and other offering expenses payable by us. In December 2017, we completed another follow-on offering and received net proceeds of approximately $57.2 million, after deducting underwriting discounts and other offering expenses payable by us. During January 2018, we completed at-the-market offerings and received net proceeds of approximately $48.5 million.</w:t>
      </w:r>
    </w:p>
    <w:p>
      <w:pPr>
        <w:spacing w:after="0" w:line="125"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Since inception, we have incurred significant operating losses. Our net losses were $120.3 million, $97.2 million and $72.9 million for the years ended December 31, 2017, 2016 and 2015, respectively. As of December 31, 2017, we had an accumulated deficit of $305.9 million. We expect to continue to incur significant expenses and operating losses for the foreseeable future. Our net losses may fluctuate significantly from quarter to quarter and from year to year. We anticipate that our expenses will increase substantially as we continue our current research programs and our preclinical development activities; seek to identify additional research programs and additional product candidates; initiate preclinical testing and clinical trials for any product candidates we identify and develop; maintain, expand, and protect our intellectual property portfolio, including reimbursing our licensors for such expenses related to the intellectual property that we in-license from such licensors; further develop our genome editing platform; hire additional clinical, quality control, and scientific personnel; and incur additional costs associated with operating as a public company. We do not expect to be profitable for the year ending December 31, 2018 or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To date, we have not generated any revenue from product sales and we do not expect to generate any revenue from product sales for the foreseeable future. In connection with entering into our collaboration with Juno Therapeutics in May 2015, we received an upfront payment of $25.0 million, and in each of May 2016 and July 2017, we received a milestone payment of $2.5 million. In addition, we will receive up to $22.0 million in research support over the five years of the collaboration and across the three programs under the collaboration, subject to adjustment in accordance with the terms of the agreement. Through December 31, 2017, we had recognized an aggregate of $12.2 million of research support from Juno Therapeutics since entering into the agreement, including $5.0 million recognized in connection with the achievement of development milestones under the collaboration related to technical progress in two of the three research programs under the collaboration. In connection with entering into our strategic alliance with Allergan in March 2017, we received an upfront payment of $90.0 million from Allergan (such payment, the “Allergan Upfront”). For the year ended December 31, 2017, we recognized $8.8 million in revenue in connection with the Allergan Upfront. As of December 31, 2017, we recorded $81.2 million of deferred revenue, of which $68.3 million is classified as long-term on the consolidated balance sheet. For additional information about our revenue recognition policy related to the Juno Therapeutics collaboration or the Allergan agreement, see “—Critical Accounting Policies and Estimates—Revenue Recognition.”</w:t>
      </w:r>
    </w:p>
    <w:p>
      <w:pPr>
        <w:spacing w:after="0" w:line="163" w:lineRule="exact"/>
        <w:rPr>
          <w:sz w:val="20"/>
          <w:szCs w:val="20"/>
          <w:color w:val="auto"/>
        </w:rPr>
      </w:pPr>
    </w:p>
    <w:p>
      <w:pPr>
        <w:jc w:val="both"/>
        <w:ind w:right="100" w:firstLine="648"/>
        <w:spacing w:after="0" w:line="238" w:lineRule="auto"/>
        <w:rPr>
          <w:sz w:val="20"/>
          <w:szCs w:val="20"/>
          <w:color w:val="auto"/>
        </w:rPr>
      </w:pPr>
      <w:r>
        <w:rPr>
          <w:rFonts w:ascii="Arial" w:cs="Arial" w:eastAsia="Arial" w:hAnsi="Arial"/>
          <w:sz w:val="17"/>
          <w:szCs w:val="17"/>
          <w:color w:val="auto"/>
        </w:rPr>
        <w:t>For the foreseeable future, we expect substantially all of our revenue will be generated from our collaboration with Juno Therapeutics, our strategic research alliance with Allergan to the extent Allergan exercises any of its options, any other collaborations or agreements we may enter into and anticipated interest income.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right="319" w:firstLine="648"/>
        <w:spacing w:after="0" w:line="235"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preclinical studies under our research programs, which include:</w:t>
      </w:r>
    </w:p>
    <w:p>
      <w:pPr>
        <w:spacing w:after="0" w:line="121" w:lineRule="exact"/>
        <w:rPr>
          <w:sz w:val="20"/>
          <w:szCs w:val="20"/>
          <w:color w:val="auto"/>
        </w:rPr>
      </w:pPr>
    </w:p>
    <w:p>
      <w:pPr>
        <w:ind w:left="980" w:hanging="329"/>
        <w:spacing w:after="0" w:line="207" w:lineRule="exact"/>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44" w:lineRule="exact"/>
        <w:rPr>
          <w:rFonts w:ascii="Arial" w:cs="Arial" w:eastAsia="Arial" w:hAnsi="Arial"/>
          <w:sz w:val="18"/>
          <w:szCs w:val="18"/>
          <w:color w:val="auto"/>
        </w:rPr>
      </w:pPr>
    </w:p>
    <w:p>
      <w:pPr>
        <w:ind w:left="980" w:right="359" w:hanging="329"/>
        <w:spacing w:after="0" w:line="235"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of funding research performed by third parties that conduct research and development and preclinical activities on our behalf;</w:t>
      </w:r>
    </w:p>
    <w:p>
      <w:pPr>
        <w:spacing w:after="0" w:line="121" w:lineRule="exact"/>
        <w:rPr>
          <w:rFonts w:ascii="Arial" w:cs="Arial" w:eastAsia="Arial" w:hAnsi="Arial"/>
          <w:sz w:val="18"/>
          <w:szCs w:val="18"/>
          <w:color w:val="auto"/>
        </w:rPr>
      </w:pPr>
    </w:p>
    <w:p>
      <w:pPr>
        <w:ind w:left="980" w:right="979" w:hanging="329"/>
        <w:spacing w:after="0" w:line="203" w:lineRule="exact"/>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our preclinical activities and in manufacturing preclinical study materials;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44" w:lineRule="exact"/>
        <w:rPr>
          <w:rFonts w:ascii="Arial" w:cs="Arial" w:eastAsia="Arial" w:hAnsi="Arial"/>
          <w:sz w:val="18"/>
          <w:szCs w:val="18"/>
          <w:color w:val="auto"/>
        </w:rPr>
      </w:pPr>
    </w:p>
    <w:p>
      <w:pPr>
        <w:ind w:left="980" w:right="779" w:hanging="329"/>
        <w:spacing w:after="0" w:line="203" w:lineRule="exact"/>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for acquiring and maintaining licenses under our third</w:t>
      </w:r>
      <w:r>
        <w:rPr>
          <w:rFonts w:ascii="MS PGothic" w:cs="MS PGothic" w:eastAsia="MS PGothic" w:hAnsi="MS PGothic"/>
          <w:sz w:val="18"/>
          <w:szCs w:val="18"/>
          <w:color w:val="auto"/>
        </w:rPr>
        <w:t>‑</w:t>
      </w:r>
      <w:r>
        <w:rPr>
          <w:rFonts w:ascii="Arial" w:cs="Arial" w:eastAsia="Arial" w:hAnsi="Arial"/>
          <w:sz w:val="18"/>
          <w:szCs w:val="18"/>
          <w:color w:val="auto"/>
        </w:rPr>
        <w:t>party licensing agreements, including any sublicensing or success payments made to our licensors.</w:t>
      </w:r>
    </w:p>
    <w:p>
      <w:pPr>
        <w:spacing w:after="0" w:line="121" w:lineRule="exact"/>
        <w:rPr>
          <w:sz w:val="20"/>
          <w:szCs w:val="20"/>
          <w:color w:val="auto"/>
        </w:rPr>
      </w:pPr>
    </w:p>
    <w:p>
      <w:pPr>
        <w:ind w:right="39" w:firstLine="648"/>
        <w:spacing w:after="0" w:line="219" w:lineRule="auto"/>
        <w:rPr>
          <w:sz w:val="20"/>
          <w:szCs w:val="20"/>
          <w:color w:val="auto"/>
        </w:rPr>
      </w:pPr>
      <w:r>
        <w:rPr>
          <w:rFonts w:ascii="Arial" w:cs="Arial" w:eastAsia="Arial" w:hAnsi="Arial"/>
          <w:sz w:val="18"/>
          <w:szCs w:val="18"/>
          <w:color w:val="auto"/>
        </w:rPr>
        <w:t>Research and development costs are expensed as incurred. At this time, we cannot reasonably estimate or know the nature, timing, and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spacing w:after="0" w:line="122" w:lineRule="exact"/>
        <w:rPr>
          <w:sz w:val="20"/>
          <w:szCs w:val="20"/>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successful completion of preclinical studies, IND-enabling studies and natural history studies;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44"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manufacturers;</w:t>
      </w:r>
    </w:p>
    <w:p>
      <w:pPr>
        <w:spacing w:after="0" w:line="167" w:lineRule="exact"/>
        <w:rPr>
          <w:rFonts w:ascii="Arial" w:cs="Arial" w:eastAsia="Arial" w:hAnsi="Arial"/>
          <w:sz w:val="16"/>
          <w:szCs w:val="16"/>
          <w:color w:val="auto"/>
        </w:rPr>
      </w:pPr>
    </w:p>
    <w:p>
      <w:pPr>
        <w:ind w:left="980" w:hanging="329"/>
        <w:spacing w:after="0" w:line="207" w:lineRule="exact"/>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non</w:t>
      </w:r>
      <w:r>
        <w:rPr>
          <w:rFonts w:ascii="MS PGothic" w:cs="MS PGothic" w:eastAsia="MS PGothic" w:hAnsi="MS PGothic"/>
          <w:sz w:val="18"/>
          <w:szCs w:val="18"/>
          <w:color w:val="auto"/>
        </w:rPr>
        <w:t>‑</w:t>
      </w:r>
      <w:r>
        <w:rPr>
          <w:rFonts w:ascii="Arial" w:cs="Arial" w:eastAsia="Arial" w:hAnsi="Arial"/>
          <w:sz w:val="18"/>
          <w:szCs w:val="18"/>
          <w:color w:val="auto"/>
        </w:rPr>
        <w:t>patent exclusivity;</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launching commercial sales of a product, if and when approved, whether alone or in collaboration with others;</w:t>
      </w:r>
    </w:p>
    <w:p>
      <w:pPr>
        <w:spacing w:after="0" w:line="167" w:lineRule="exact"/>
        <w:rPr>
          <w:rFonts w:ascii="Arial" w:cs="Arial" w:eastAsia="Arial" w:hAnsi="Arial"/>
          <w:sz w:val="16"/>
          <w:szCs w:val="16"/>
          <w:color w:val="auto"/>
        </w:rPr>
      </w:pPr>
    </w:p>
    <w:p>
      <w:pPr>
        <w:ind w:left="980" w:hanging="329"/>
        <w:spacing w:after="0" w:line="184" w:lineRule="exact"/>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acceptance of a product, if and when approved, by patients,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167" w:lineRule="exact"/>
        <w:rPr>
          <w:rFonts w:ascii="Arial" w:cs="Arial" w:eastAsia="Arial" w:hAnsi="Arial"/>
          <w:sz w:val="16"/>
          <w:szCs w:val="16"/>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achieving desirable medicinal properties for the intended indications.</w:t>
      </w:r>
    </w:p>
    <w:p>
      <w:pPr>
        <w:spacing w:after="0" w:line="144" w:lineRule="exact"/>
        <w:rPr>
          <w:sz w:val="20"/>
          <w:szCs w:val="20"/>
          <w:color w:val="auto"/>
        </w:rPr>
      </w:pPr>
    </w:p>
    <w:p>
      <w:pPr>
        <w:ind w:right="279" w:firstLine="648"/>
        <w:spacing w:after="0" w:line="224" w:lineRule="auto"/>
        <w:rPr>
          <w:sz w:val="20"/>
          <w:szCs w:val="20"/>
          <w:color w:val="auto"/>
        </w:rPr>
      </w:pPr>
      <w:r>
        <w:rPr>
          <w:rFonts w:ascii="Arial" w:cs="Arial" w:eastAsia="Arial" w:hAnsi="Arial"/>
          <w:sz w:val="18"/>
          <w:szCs w:val="18"/>
          <w:color w:val="auto"/>
        </w:rPr>
        <w:t>A change in the outcome of any of these variables with respect to the development of any product candidates we may develop would significantly change the costs, timing, and viability associated with the development of that product candidate.</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We do not track research and development costs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w:t>
      </w:r>
    </w:p>
    <w:p>
      <w:pPr>
        <w:spacing w:after="0" w:line="144"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Research and development activities are central to our business model. We expect research and development costs to increase significantly for the foreseeable future as our development programs progress, including as we continue to support the preclinical studies and prepare for the clinical development for our LCA10 program as well as our other research programs.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8"/>
          <w:szCs w:val="18"/>
          <w:color w:val="auto"/>
        </w:rPr>
        <w:t>General and administrative expenses consist primarily of salaries and other related costs, including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personnel in executive, finance, investor relations, business development, legal, corporate affairs, information technology, facilities,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122"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We anticipate that our general and administrative expenses will increase in the future to support continued research and development activities and potential commercialization of any product candidates we identify and develop. These increases will include increased costs associated with the lease for our headquarters and will likely include increased costs related to the hiring of additional personnel, and fees to outside consultants. We also anticipate increased expenses related to reimbursement of third</w:t>
      </w:r>
      <w:r>
        <w:rPr>
          <w:rFonts w:ascii="MS PGothic" w:cs="MS PGothic" w:eastAsia="MS PGothic" w:hAnsi="MS PGothic"/>
          <w:sz w:val="16"/>
          <w:szCs w:val="16"/>
          <w:color w:val="auto"/>
        </w:rPr>
        <w:t>‑</w:t>
      </w:r>
      <w:r>
        <w:rPr>
          <w:rFonts w:ascii="Arial" w:cs="Arial" w:eastAsia="Arial" w:hAnsi="Arial"/>
          <w:sz w:val="16"/>
          <w:szCs w:val="16"/>
          <w:color w:val="auto"/>
        </w:rPr>
        <w:t>party patent</w:t>
      </w:r>
      <w:r>
        <w:rPr>
          <w:rFonts w:ascii="MS PGothic" w:cs="MS PGothic" w:eastAsia="MS PGothic" w:hAnsi="MS PGothic"/>
          <w:sz w:val="16"/>
          <w:szCs w:val="16"/>
          <w:color w:val="auto"/>
        </w:rPr>
        <w:t>‑</w:t>
      </w:r>
      <w:r>
        <w:rPr>
          <w:rFonts w:ascii="Arial" w:cs="Arial" w:eastAsia="Arial" w:hAnsi="Arial"/>
          <w:sz w:val="16"/>
          <w:szCs w:val="16"/>
          <w:color w:val="auto"/>
        </w:rPr>
        <w:t>related expenses and increased expenses associated with being a public company, including costs for audit, legal, regulatory, and tax</w:t>
      </w:r>
      <w:r>
        <w:rPr>
          <w:rFonts w:ascii="MS PGothic" w:cs="MS PGothic" w:eastAsia="MS PGothic" w:hAnsi="MS PGothic"/>
          <w:sz w:val="16"/>
          <w:szCs w:val="16"/>
          <w:color w:val="auto"/>
        </w:rPr>
        <w:t>‑</w:t>
      </w:r>
      <w:r>
        <w:rPr>
          <w:rFonts w:ascii="Arial" w:cs="Arial" w:eastAsia="Arial" w:hAnsi="Arial"/>
          <w:sz w:val="16"/>
          <w:szCs w:val="16"/>
          <w:color w:val="auto"/>
        </w:rPr>
        <w:t>related services, director and officer insurance premiums, and investor relations costs. With respect to reimbursement of third-party patent-related expenses specifically, given the ongoing nature of the interference and opposition proceedings involving the patents licensed to us under our license agreement with The Broad Institute, Inc. (“Broad”) and the President and Fellows of Harvard College (“Harvard”) as described in more detail in Part I, Item 1A “Risk Factors—Risks Related to Our Intellectual Property,” we anticipate general and administrative expenses will continue to be significant. Some of our in</w:t>
      </w:r>
      <w:r>
        <w:rPr>
          <w:rFonts w:ascii="MS PGothic" w:cs="MS PGothic" w:eastAsia="MS PGothic" w:hAnsi="MS PGothic"/>
          <w:sz w:val="16"/>
          <w:szCs w:val="16"/>
          <w:color w:val="auto"/>
        </w:rPr>
        <w:t>‑</w:t>
      </w:r>
      <w:r>
        <w:rPr>
          <w:rFonts w:ascii="Arial" w:cs="Arial" w:eastAsia="Arial" w:hAnsi="Arial"/>
          <w:sz w:val="16"/>
          <w:szCs w:val="16"/>
          <w:color w:val="auto"/>
        </w:rPr>
        <w:t>licensed patents under our license agreement with Broad and Harvard are subject to priority disputes, and we anticipate that our obligation to reimburse Broad and Harvard for expenses related to these interference and opposition proceedings during future periods will be substantial until such proceedings are resolved.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4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Other income (expense), net consists primarily of interest expense on our construction financing lease obligation and promissory notes, and amortization of premiums associated with marketable securities, partially offset by rental income from our subtenant, interest income, and accretion of discounts associated with marketable securities.</w:t>
      </w:r>
    </w:p>
    <w:p>
      <w:pPr>
        <w:spacing w:after="0" w:line="107"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Prior to 2017, other income (expense), net consisted primarily of interest income earned on cash equivalents and government grant income, net of re-measurement losses associated with changes in the fair value of our liability for a warrant to purchase preferred stock. Upon the completion of the IPO, our outstanding warrant to purchase preferred stock converted into a warrant to purchase common stock and we reclassified the fair value of the warrant to additional paid-in capital. As a result, there were no further remeasurement gains or losses associated with the warrant after the first quarter of 2016.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United States generally accepted accounting principles. The preparation of our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2" w:lineRule="exact"/>
        <w:rPr>
          <w:sz w:val="20"/>
          <w:szCs w:val="20"/>
          <w:color w:val="auto"/>
        </w:rPr>
      </w:pPr>
    </w:p>
    <w:p>
      <w:pPr>
        <w:ind w:right="220" w:firstLine="690"/>
        <w:spacing w:after="0" w:line="259" w:lineRule="auto"/>
        <w:rPr>
          <w:sz w:val="20"/>
          <w:szCs w:val="20"/>
          <w:color w:val="auto"/>
        </w:rPr>
      </w:pPr>
      <w:r>
        <w:rPr>
          <w:rFonts w:ascii="Arial" w:cs="Arial" w:eastAsia="Arial" w:hAnsi="Arial"/>
          <w:sz w:val="16"/>
          <w:szCs w:val="16"/>
          <w:color w:val="auto"/>
        </w:rPr>
        <w:t>While our significant accounting policies are described in more detail in the notes to our consolidated financial statements appearing elsewhere in this Annual Report on Form 10-K, we believe the following accounting policies used in the preparation of our consolidated financial statements require the most significant judgments and estimates.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 xml:space="preserve">As of December 31, 2017, revenue to date has primarily been generated from our collaboration agreement with Juno Therapeutics and our strategic alliance with Allergan. We recognize revenue in accordance with Financial Accounting Standards Board (“FASB”) Accounting Standards Codification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Accordingly, revenue is recognized for each unit of accounting when all of the following criteria are met:</w:t>
      </w:r>
    </w:p>
    <w:p>
      <w:pPr>
        <w:spacing w:after="0" w:line="122" w:lineRule="exact"/>
        <w:rPr>
          <w:sz w:val="20"/>
          <w:szCs w:val="20"/>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44" w:lineRule="exact"/>
        <w:rPr>
          <w:sz w:val="20"/>
          <w:szCs w:val="20"/>
          <w:color w:val="auto"/>
        </w:rPr>
      </w:pPr>
    </w:p>
    <w:p>
      <w:pPr>
        <w:ind w:right="600" w:firstLine="648"/>
        <w:spacing w:after="0" w:line="235" w:lineRule="auto"/>
        <w:rPr>
          <w:sz w:val="20"/>
          <w:szCs w:val="20"/>
          <w:color w:val="auto"/>
        </w:rPr>
      </w:pPr>
      <w:r>
        <w:rPr>
          <w:rFonts w:ascii="Arial" w:cs="Arial" w:eastAsia="Arial" w:hAnsi="Arial"/>
          <w:sz w:val="18"/>
          <w:szCs w:val="18"/>
          <w:color w:val="auto"/>
        </w:rPr>
        <w:t>Amounts received prior to satisfying the revenue recognition criteria are recorded as deferred revenue in our consolidated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Determination of Accounting Units</w:t>
      </w:r>
    </w:p>
    <w:p>
      <w:pPr>
        <w:spacing w:after="0" w:line="144"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We analyze multiple element arrangements based on the guidance in ASC Topic 605</w:t>
      </w:r>
      <w:r>
        <w:rPr>
          <w:rFonts w:ascii="MS PGothic" w:cs="MS PGothic" w:eastAsia="MS PGothic" w:hAnsi="MS PGothic"/>
          <w:sz w:val="16"/>
          <w:szCs w:val="16"/>
          <w:color w:val="auto"/>
        </w:rPr>
        <w:t>‑</w:t>
      </w:r>
      <w:r>
        <w:rPr>
          <w:rFonts w:ascii="Arial" w:cs="Arial" w:eastAsia="Arial" w:hAnsi="Arial"/>
          <w:sz w:val="16"/>
          <w:szCs w:val="16"/>
          <w:color w:val="auto"/>
        </w:rPr>
        <w:t xml:space="preserve">25,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Multiple Element Arrangements </w:t>
      </w:r>
      <w:r>
        <w:rPr>
          <w:rFonts w:ascii="Arial" w:cs="Arial" w:eastAsia="Arial" w:hAnsi="Arial"/>
          <w:sz w:val="16"/>
          <w:szCs w:val="16"/>
          <w:color w:val="auto"/>
        </w:rPr>
        <w:t>(“ASC 605</w:t>
      </w:r>
      <w:r>
        <w:rPr>
          <w:rFonts w:ascii="MS PGothic" w:cs="MS PGothic" w:eastAsia="MS PGothic" w:hAnsi="MS PGothic"/>
          <w:sz w:val="16"/>
          <w:szCs w:val="16"/>
          <w:color w:val="auto"/>
        </w:rPr>
        <w:t>‑</w:t>
      </w:r>
      <w:r>
        <w:rPr>
          <w:rFonts w:ascii="Arial" w:cs="Arial" w:eastAsia="Arial" w:hAnsi="Arial"/>
          <w:sz w:val="16"/>
          <w:szCs w:val="16"/>
          <w:color w:val="auto"/>
        </w:rPr>
        <w:t>25”). Pursuant to the guidance in ASC 605</w:t>
      </w:r>
      <w:r>
        <w:rPr>
          <w:rFonts w:ascii="MS PGothic" w:cs="MS PGothic" w:eastAsia="MS PGothic" w:hAnsi="MS PGothic"/>
          <w:sz w:val="16"/>
          <w:szCs w:val="16"/>
          <w:color w:val="auto"/>
        </w:rPr>
        <w:t>‑</w:t>
      </w:r>
      <w:r>
        <w:rPr>
          <w:rFonts w:ascii="Arial" w:cs="Arial" w:eastAsia="Arial" w:hAnsi="Arial"/>
          <w:sz w:val="16"/>
          <w:szCs w:val="16"/>
          <w:color w:val="auto"/>
        </w:rPr>
        <w:t>25, we evaluate multiple element</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management to make judgments about the individual deliverables and whether such deliverables are separate from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within our control. In assessing whether an item under a collaboration has standalone value, we consider factors such as the research, manufacturing, and commercialization capabilities of the collaboration partner and the availability of the associated expertise in the general marketplace. We also consider whether our collaboration partner can use the other deliverable(s) for their intended purpose without the receipt of the remaining element(s), whether the value of the deliverable is dependent on the undelivered item(s), and whether there are other vendors that can provide the undelivered element(s).</w:t>
      </w:r>
    </w:p>
    <w:p>
      <w:pPr>
        <w:spacing w:after="0" w:line="12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Options under a collaboration are considered substantive if, at the inception of the arrangement, we are at risk as to whether the collaboration partner will choose to exercise the option. Factors that we consider in evaluating whether an option is substantive include the cost to exercise the option, the overall objective of the arrangement, the benefit the collaboration partner might obtain from the arrangement without exercising the option, and the likelihood the option will be exercised. When an option is considered substantive, we would not consider the option or item underlying the option to be a deliverable at the inception of the arrangement and the associated option fees are not included in allocable consideration, assuming the option is not priced at a significant and incremental discount. Conversely, when an option is not considered substantive, we would consider the option, including other deliverables contingent upon the exercise of the option, to be a deliverable at the inception of the arrangement and a corresponding amount would be included in allocable arrangement consideration. In addition, if the price of the option includes a significant incremental discount, the discount would be included as a deliverable at the inception of the arrangement.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Allocation of Arrangement Consideration</w:t>
      </w:r>
    </w:p>
    <w:p>
      <w:pPr>
        <w:spacing w:after="0" w:line="144"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 applicable revenue recognition criteria in ASC 605 are applied to each of the separate units of accounting in determining the appropriate period and pattern of recognition. We determine the selling price of a unit of accounting following the hierarchy of evidence prescribed by ASC 605</w:t>
      </w:r>
      <w:r>
        <w:rPr>
          <w:rFonts w:ascii="MS PGothic" w:cs="MS PGothic" w:eastAsia="MS PGothic" w:hAnsi="MS PGothic"/>
          <w:sz w:val="16"/>
          <w:szCs w:val="16"/>
          <w:color w:val="auto"/>
        </w:rPr>
        <w:t>‑</w:t>
      </w:r>
      <w:r>
        <w:rPr>
          <w:rFonts w:ascii="Arial" w:cs="Arial" w:eastAsia="Arial" w:hAnsi="Arial"/>
          <w:sz w:val="16"/>
          <w:szCs w:val="16"/>
          <w:color w:val="auto"/>
        </w:rPr>
        <w:t>25. Accordingly, we determine the estimated selling price for units of accounting within each arrangement using vendor specific objective evidence (“VSOE”) of selling price, if available, third</w:t>
      </w:r>
      <w:r>
        <w:rPr>
          <w:rFonts w:ascii="MS PGothic" w:cs="MS PGothic" w:eastAsia="MS PGothic" w:hAnsi="MS PGothic"/>
          <w:sz w:val="16"/>
          <w:szCs w:val="16"/>
          <w:color w:val="auto"/>
        </w:rPr>
        <w:t>‑</w:t>
      </w:r>
      <w:r>
        <w:rPr>
          <w:rFonts w:ascii="Arial" w:cs="Arial" w:eastAsia="Arial" w:hAnsi="Arial"/>
          <w:sz w:val="16"/>
          <w:szCs w:val="16"/>
          <w:color w:val="auto"/>
        </w:rPr>
        <w:t>party evidence (“TPE”) of selling price if VSOE is not available, or best estimate of selling price (“BESP”) if neither VSOE or TPE is available. We have only used BESP to estimate selling price, since we have not had VSOE or TPE of selling price for any units of accounting to date. Determining BESP for a unit of accounting requires significant judgment. In developing the BESP for a unit of accounting, we consider applicable market conditions and relevant entity</w:t>
      </w:r>
      <w:r>
        <w:rPr>
          <w:rFonts w:ascii="MS PGothic" w:cs="MS PGothic" w:eastAsia="MS PGothic" w:hAnsi="MS PGothic"/>
          <w:sz w:val="16"/>
          <w:szCs w:val="16"/>
          <w:color w:val="auto"/>
        </w:rPr>
        <w:t>‑</w:t>
      </w:r>
      <w:r>
        <w:rPr>
          <w:rFonts w:ascii="Arial" w:cs="Arial" w:eastAsia="Arial" w:hAnsi="Arial"/>
          <w:sz w:val="16"/>
          <w:szCs w:val="16"/>
          <w:color w:val="auto"/>
        </w:rPr>
        <w:t>specific factors, including factors that were contemplated in negotiating the applicable agreement and estimated costs. We validate BESP for units of accounting by evaluating whether changes in the key assumptions used by us to determine the BESP will have a significant effect on the allocation of arrangement consideration between multiple units of accounting.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Pattern of Recognition</w:t>
      </w:r>
    </w:p>
    <w:p>
      <w:pPr>
        <w:spacing w:after="0" w:line="144"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We recognize the arrangement’s consideration allocated to each unit of accounting when all of the revenue recognition criteria in ASC 605 are satisfied for that particular unit of accounting. We will recognize revenue associated with licenses, license options, or the discount related to a license option upon (i) delivery of the license or (ii) the earlier of exercise or expiration of the license option, if the underlying license has standalone value from the other deliverables to be provided after delivering that license. If the license does not have standalone value, the amounts allocated to the license will be combined with the related undelivered items as a single unit of accounting.</w:t>
      </w:r>
    </w:p>
    <w:p>
      <w:pPr>
        <w:spacing w:after="0" w:line="12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8"/>
          <w:szCs w:val="18"/>
          <w:color w:val="auto"/>
        </w:rPr>
        <w:t>We recognize the amounts associated with collaboration research and development services, joint research committees, or other services ratably over the associated period of performance. If there is no discernible pattern of performance or objectively measurable performance measures do not exist, then we recognize revenue under the arrangement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period that we are expected to complete our performance obligations. Conversely, if the pattern of performance in which the service is provided to the collaboration partner can be determined and objectively measurable performance exists, then we recognize revenue under the arrangement using the proportional performance method. Revenue recognized is limited to the lesser of the cumulative amount of payments received or the cumulative revenue earned determined using the straight line method or proportional performance, as applicable, as of the period end date.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Recognition of Milestones and Royalties</w:t>
      </w:r>
    </w:p>
    <w:p>
      <w:pPr>
        <w:spacing w:after="0" w:line="144"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At the inception of an arrangement that includes milestone payments, we evaluate whether each milestone is substantive and at risk to both parties on the basis of the contingent nature of the milestone. This evaluation includes an assessment of whether: (1) the consideration is commensurate with either our performance to achieve the milestone or the enhancement of the value of the delivered item(s) as a result of a specific outcome resulting from our performance to achieve the milestone, (2) the consideration relates solely to past performance, and (3) the consideration is reasonably relative to all of the deliverables and payment terms within the arrangement. We evaluate factors such as clinical, regulatory, commercial, and other risks that must be overcome to achieve the respective milestones and the level of effort and investment required to achieve the respective milestones in making this assessment. There is considerable judgment involved in determining whether a milestone satisfies all of the criteria required to conclude that a milestone is substantive. In accordance with ASC Topic 605</w:t>
      </w:r>
      <w:r>
        <w:rPr>
          <w:rFonts w:ascii="MS PGothic" w:cs="MS PGothic" w:eastAsia="MS PGothic" w:hAnsi="MS PGothic"/>
          <w:sz w:val="17"/>
          <w:szCs w:val="17"/>
          <w:color w:val="auto"/>
        </w:rPr>
        <w:t>‑</w:t>
      </w:r>
      <w:r>
        <w:rPr>
          <w:rFonts w:ascii="Arial" w:cs="Arial" w:eastAsia="Arial" w:hAnsi="Arial"/>
          <w:sz w:val="17"/>
          <w:szCs w:val="17"/>
          <w:color w:val="auto"/>
        </w:rPr>
        <w:t>28</w:t>
      </w:r>
      <w:r>
        <w:rPr>
          <w:rFonts w:ascii="Arial" w:cs="Arial" w:eastAsia="Arial" w:hAnsi="Arial"/>
          <w:sz w:val="17"/>
          <w:szCs w:val="17"/>
          <w:i w:val="1"/>
          <w:iCs w:val="1"/>
          <w:color w:val="auto"/>
        </w:rPr>
        <w:t>, Revenue Recognition—Milestone Method</w:t>
      </w:r>
      <w:r>
        <w:rPr>
          <w:rFonts w:ascii="Arial" w:cs="Arial" w:eastAsia="Arial" w:hAnsi="Arial"/>
          <w:sz w:val="17"/>
          <w:szCs w:val="17"/>
          <w:color w:val="auto"/>
        </w:rPr>
        <w:t>, a clinical or regulatory milestone that is considered substantive will be recognized as revenue in its entirety upon successful accomplishment of the milestone, assuming all other revenue recognition criteria are met. Milestones that are not considered substantive would be recognized as revenue over the remaining period of performance, assuming all other revenue recognition criteria are met. Revenue from a commercial milestone payment will be accounted for as royalties and recorded as revenue upon achievement of the milestone, assuming all other revenue recognition criteria are met.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We will recognize royalty revenue in the period of sale of the related product(s), based on the underlying contract terms, provided that the reported sales are reliably measurable, we have no remaining performance obligations, and assuming all other revenue recognition criteria are met.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record our expenses related to research and development activities based on our estimates of the services</w:t>
      </w:r>
    </w:p>
    <w:p>
      <w:pPr>
        <w:spacing w:after="0" w:line="229" w:lineRule="auto"/>
        <w:rPr>
          <w:sz w:val="20"/>
          <w:szCs w:val="20"/>
          <w:color w:val="auto"/>
        </w:rPr>
      </w:pPr>
      <w:r>
        <w:rPr>
          <w:rFonts w:ascii="Arial" w:cs="Arial" w:eastAsia="Arial" w:hAnsi="Arial"/>
          <w:sz w:val="16"/>
          <w:szCs w:val="16"/>
          <w:color w:val="auto"/>
        </w:rPr>
        <w:t>received and efforts expended pursuant to quotes and contracts with vendors that conduct research and development on our</w:t>
      </w:r>
    </w:p>
    <w:p>
      <w:pPr>
        <w:spacing w:after="0" w:line="229" w:lineRule="auto"/>
        <w:rPr>
          <w:sz w:val="20"/>
          <w:szCs w:val="20"/>
          <w:color w:val="auto"/>
        </w:rPr>
      </w:pPr>
      <w:r>
        <w:rPr>
          <w:rFonts w:ascii="Arial" w:cs="Arial" w:eastAsia="Arial" w:hAnsi="Arial"/>
          <w:sz w:val="16"/>
          <w:szCs w:val="16"/>
          <w:color w:val="auto"/>
        </w:rPr>
        <w:t>behalf. The financial terms of these agreements are subject to negotiation, vary from contract to contract, and may result in</w:t>
      </w:r>
    </w:p>
    <w:p>
      <w:pPr>
        <w:spacing w:after="0" w:line="229" w:lineRule="auto"/>
        <w:rPr>
          <w:sz w:val="20"/>
          <w:szCs w:val="20"/>
          <w:color w:val="auto"/>
        </w:rPr>
      </w:pPr>
      <w:r>
        <w:rPr>
          <w:rFonts w:ascii="Arial" w:cs="Arial" w:eastAsia="Arial" w:hAnsi="Arial"/>
          <w:sz w:val="16"/>
          <w:szCs w:val="16"/>
          <w:color w:val="auto"/>
        </w:rPr>
        <w:t>uneven payment flows. There may be instances in which payments made to our vendors will exceed the level of services</w:t>
      </w:r>
    </w:p>
    <w:p>
      <w:pPr>
        <w:spacing w:after="0" w:line="229" w:lineRule="auto"/>
        <w:rPr>
          <w:sz w:val="20"/>
          <w:szCs w:val="20"/>
          <w:color w:val="auto"/>
        </w:rPr>
      </w:pPr>
      <w:r>
        <w:rPr>
          <w:rFonts w:ascii="Arial" w:cs="Arial" w:eastAsia="Arial" w:hAnsi="Arial"/>
          <w:sz w:val="16"/>
          <w:szCs w:val="16"/>
          <w:color w:val="auto"/>
        </w:rPr>
        <w:t>provided and result in a prepayment of the research and development expense. In accruing service fees, we estimate the time</w:t>
      </w:r>
    </w:p>
    <w:p>
      <w:pPr>
        <w:spacing w:after="0" w:line="229" w:lineRule="auto"/>
        <w:rPr>
          <w:sz w:val="20"/>
          <w:szCs w:val="20"/>
          <w:color w:val="auto"/>
        </w:rPr>
      </w:pPr>
      <w:r>
        <w:rPr>
          <w:rFonts w:ascii="Arial" w:cs="Arial" w:eastAsia="Arial" w:hAnsi="Arial"/>
          <w:sz w:val="16"/>
          <w:szCs w:val="16"/>
          <w:color w:val="auto"/>
        </w:rPr>
        <w:t>period over which services will be performed and the level of effort to be expended in each period. If the actual timing of the</w:t>
      </w:r>
    </w:p>
    <w:p>
      <w:pPr>
        <w:spacing w:after="0" w:line="215" w:lineRule="auto"/>
        <w:rPr>
          <w:sz w:val="20"/>
          <w:szCs w:val="20"/>
          <w:color w:val="auto"/>
        </w:rPr>
      </w:pPr>
      <w:r>
        <w:rPr>
          <w:rFonts w:ascii="Arial" w:cs="Arial" w:eastAsia="Arial" w:hAnsi="Arial"/>
          <w:sz w:val="17"/>
          <w:szCs w:val="17"/>
          <w:color w:val="auto"/>
        </w:rPr>
        <w:t>performance of services or the level of effort varies from our estimate, we adjust the accrual or prepaid accordingly.</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refundable advance payments for goods and services that will be used in future research and development activities 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expensed when the activity has been performed or when the goods have been received rather than when the payment is made.</w:t>
      </w:r>
    </w:p>
    <w:p>
      <w:pPr>
        <w:spacing w:after="0" w:line="151"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Financing Lease Obligation</w:t>
      </w:r>
    </w:p>
    <w:p>
      <w:pPr>
        <w:spacing w:after="0" w:line="14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Beginning in 2016, we began recording certain estimated construction costs incurred and reported to us by a landlord as an asset and corresponding construction financing lease obligation on our consolidated balance sheets because we were deemed to be the owner of the building during the construction period for accounting purposes. In each reporting period, the landlord estimated and reported to us the costs incurred to date and provided supporting invoices for management to review. We periodically met with the landlord and its construction manager to review the estimates and observe construction progress prior to recording such amounts. Construction was completed in October 2016 and we considered the requirements for sale-leaseback accounting treatment, which included an evaluation of whether all risks of ownership had transferred back to the landlord as evidenced by a lack of continuing involvement in the lease property. We determined that the arrangement did not qualify for sale lease-back accounting treatment, the building asset will remain on our balance sheet at its historical cost, and such asset would be depreciated over its estimated useful life of thirty years.</w:t>
      </w:r>
    </w:p>
    <w:p>
      <w:pPr>
        <w:spacing w:after="0" w:line="12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90"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 xml:space="preserve">We account for our stock-based compensation awards in accordance with ASC Topic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(“ASC 718”). ASC 718 requires all share-based payments to employees, including grants of employee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to be recognized as expense in the consolidated statements of operations based on their grant date fair values. For stock options granted to employees and to members of our board of directors for their services on our board of directors, we estimate the grant date fair value of each option award using the Black-Scholes option-pricing model. For stock options subject to service-based vesting conditions, we recognize stock-based compensation expense equal to the grant date fair value of stock options on a straight-line basis over the requisite service period</w:t>
      </w:r>
      <w:r>
        <w:rPr>
          <w:rFonts w:ascii="Arial" w:cs="Arial" w:eastAsia="Arial" w:hAnsi="Arial"/>
          <w:sz w:val="17"/>
          <w:szCs w:val="17"/>
          <w:i w:val="1"/>
          <w:iCs w:val="1"/>
          <w:color w:val="auto"/>
        </w:rPr>
        <w: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2" w:lineRule="exact"/>
        <w:rPr>
          <w:sz w:val="20"/>
          <w:szCs w:val="20"/>
          <w:color w:val="auto"/>
        </w:rPr>
      </w:pPr>
    </w:p>
    <w:p>
      <w:pPr>
        <w:ind w:right="59" w:firstLine="648"/>
        <w:spacing w:after="0" w:line="238" w:lineRule="auto"/>
        <w:rPr>
          <w:sz w:val="20"/>
          <w:szCs w:val="20"/>
          <w:color w:val="auto"/>
        </w:rPr>
      </w:pPr>
      <w:r>
        <w:rPr>
          <w:rFonts w:ascii="Arial" w:cs="Arial" w:eastAsia="Arial" w:hAnsi="Arial"/>
          <w:sz w:val="17"/>
          <w:szCs w:val="17"/>
          <w:color w:val="auto"/>
        </w:rPr>
        <w:t xml:space="preserve">Share-based payments issued to non-employees are initially recorded at their fair values, and are revalued at each reporting date and as the equity instruments vest and are recognized as expense over the related service period in accordance with the provisions of ASC Topic 505-50, </w:t>
      </w:r>
      <w:r>
        <w:rPr>
          <w:rFonts w:ascii="Arial" w:cs="Arial" w:eastAsia="Arial" w:hAnsi="Arial"/>
          <w:sz w:val="17"/>
          <w:szCs w:val="17"/>
          <w:i w:val="1"/>
          <w:iCs w:val="1"/>
          <w:color w:val="auto"/>
        </w:rPr>
        <w:t>Equity-Based Payments to Non-Employees</w:t>
      </w:r>
      <w:r>
        <w:rPr>
          <w:rFonts w:ascii="Arial" w:cs="Arial" w:eastAsia="Arial" w:hAnsi="Arial"/>
          <w:sz w:val="17"/>
          <w:szCs w:val="17"/>
          <w:color w:val="auto"/>
        </w:rPr>
        <w:t>.</w:t>
      </w:r>
    </w:p>
    <w:p>
      <w:pPr>
        <w:spacing w:after="0" w:line="121" w:lineRule="exact"/>
        <w:rPr>
          <w:sz w:val="20"/>
          <w:szCs w:val="20"/>
          <w:color w:val="auto"/>
        </w:rPr>
      </w:pPr>
    </w:p>
    <w:p>
      <w:pPr>
        <w:ind w:right="39" w:firstLine="648"/>
        <w:spacing w:after="0" w:line="179" w:lineRule="exact"/>
        <w:rPr>
          <w:sz w:val="20"/>
          <w:szCs w:val="20"/>
          <w:color w:val="auto"/>
        </w:rPr>
      </w:pPr>
      <w:r>
        <w:rPr>
          <w:rFonts w:ascii="Arial" w:cs="Arial" w:eastAsia="Arial" w:hAnsi="Arial"/>
          <w:sz w:val="16"/>
          <w:szCs w:val="16"/>
          <w:color w:val="auto"/>
        </w:rPr>
        <w:t>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requires the input of certain subjective assumptions, including (1) the expected stock price volatility, (2) the calculation of expected term of the award, (3)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and (4) the expected dividend yield. Because there had been no public market for our common stock prior to our IPO, there is a lack of company</w:t>
      </w:r>
      <w:r>
        <w:rPr>
          <w:rFonts w:ascii="MS PGothic" w:cs="MS PGothic" w:eastAsia="MS PGothic" w:hAnsi="MS PGothic"/>
          <w:sz w:val="16"/>
          <w:szCs w:val="16"/>
          <w:color w:val="auto"/>
        </w:rPr>
        <w:t>‑</w:t>
      </w:r>
      <w:r>
        <w:rPr>
          <w:rFonts w:ascii="Arial" w:cs="Arial" w:eastAsia="Arial" w:hAnsi="Arial"/>
          <w:sz w:val="16"/>
          <w:szCs w:val="16"/>
          <w:color w:val="auto"/>
        </w:rPr>
        <w:t xml:space="preserve">specific historical and implied volatility data. Accordingly, we base our estimates of expected volatility on the historical volatility of a group of similar companies that are publicly traded. We calculate historical volatility based on a period of time commensurate with the expected term. We compute expected volatility based on the historical volatility of a representative group of companies with similar characteristics to us, including their stages of product development and focus on the life science industry. We use the simplified method as prescribed by the Securities and Exchange Commission’s Staff Accounting Bulletin No. 107, </w:t>
      </w:r>
      <w:r>
        <w:rPr>
          <w:rFonts w:ascii="Arial" w:cs="Arial" w:eastAsia="Arial" w:hAnsi="Arial"/>
          <w:sz w:val="16"/>
          <w:szCs w:val="16"/>
          <w:i w:val="1"/>
          <w:iCs w:val="1"/>
          <w:color w:val="auto"/>
        </w:rPr>
        <w:t>Share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Based Payment</w:t>
      </w:r>
      <w:r>
        <w:rPr>
          <w:rFonts w:ascii="Arial" w:cs="Arial" w:eastAsia="Arial" w:hAnsi="Arial"/>
          <w:sz w:val="16"/>
          <w:szCs w:val="16"/>
          <w:color w:val="auto"/>
        </w:rPr>
        <w:t>, to calculate the expected term for options granted to employees as we do not have sufficient historical exercise data to provide a reasonable basis upon which to estimate the expected term. For options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we utilize the contractual term of the arrangement as the basis for the expected term. We determine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based on a treasury instrument whose term is consistent with the expected term of the stock options. We use an assumed dividend yield of zero as we have never paid dividends and do not have current plans to pay any dividends on common stock. If factors change or different assumptions are used, our stock-based compensation expense could be materially different in the future.</w:t>
      </w:r>
    </w:p>
    <w:p>
      <w:pPr>
        <w:spacing w:after="0" w:line="130" w:lineRule="exact"/>
        <w:rPr>
          <w:sz w:val="20"/>
          <w:szCs w:val="20"/>
          <w:color w:val="auto"/>
        </w:rPr>
      </w:pPr>
    </w:p>
    <w:p>
      <w:pPr>
        <w:ind w:right="239" w:firstLine="648"/>
        <w:spacing w:after="0" w:line="203" w:lineRule="exact"/>
        <w:rPr>
          <w:sz w:val="20"/>
          <w:szCs w:val="20"/>
          <w:color w:val="auto"/>
        </w:rPr>
      </w:pPr>
      <w:r>
        <w:rPr>
          <w:rFonts w:ascii="Arial" w:cs="Arial" w:eastAsia="Arial" w:hAnsi="Arial"/>
          <w:sz w:val="18"/>
          <w:szCs w:val="18"/>
          <w:color w:val="auto"/>
        </w:rPr>
        <w:t>The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 used in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to determine the fair value of stock options granted to employees and directors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6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0"/>
              </w:rPr>
              <w:t>December 31,</w:t>
            </w:r>
          </w:p>
        </w:tc>
        <w:tc>
          <w:tcPr>
            <w:tcW w:w="6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volatility</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77.8</w:t>
            </w:r>
          </w:p>
        </w:tc>
        <w:tc>
          <w:tcPr>
            <w:tcW w:w="2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4"/>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78.8</w:t>
            </w:r>
          </w:p>
        </w:tc>
        <w:tc>
          <w:tcPr>
            <w:tcW w:w="2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4640" w:type="dxa"/>
            <w:vAlign w:val="bottom"/>
          </w:tcPr>
          <w:p>
            <w:pPr>
              <w:spacing w:after="0" w:line="176" w:lineRule="exact"/>
              <w:rPr>
                <w:sz w:val="20"/>
                <w:szCs w:val="20"/>
                <w:color w:val="auto"/>
              </w:rPr>
            </w:pPr>
            <w:r>
              <w:rPr>
                <w:rFonts w:ascii="Arial" w:cs="Arial" w:eastAsia="Arial" w:hAnsi="Arial"/>
                <w:sz w:val="18"/>
                <w:szCs w:val="18"/>
                <w:color w:val="auto"/>
              </w:rPr>
              <w:t>Expected term (in years)</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6.25</w:t>
            </w:r>
          </w:p>
        </w:tc>
        <w:tc>
          <w:tcPr>
            <w:tcW w:w="24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6.25</w:t>
            </w:r>
          </w:p>
        </w:tc>
        <w:tc>
          <w:tcPr>
            <w:tcW w:w="2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6.25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2.1 %</w:t>
            </w: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1.5 %</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59" w:firstLine="648"/>
        <w:spacing w:after="0" w:line="194" w:lineRule="exact"/>
        <w:rPr>
          <w:sz w:val="20"/>
          <w:szCs w:val="20"/>
          <w:color w:val="auto"/>
        </w:rPr>
      </w:pPr>
      <w:r>
        <w:rPr>
          <w:rFonts w:ascii="Arial" w:cs="Arial" w:eastAsia="Arial" w:hAnsi="Arial"/>
          <w:sz w:val="18"/>
          <w:szCs w:val="18"/>
          <w:color w:val="auto"/>
        </w:rPr>
        <w:t>The weighted average assumptions used in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to determine the fair value of stock options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other than directors during 2016 and 2015 were as follows. There were no stock options granted to non-employees during 2017:</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98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volatility</w:t>
            </w:r>
          </w:p>
        </w:tc>
        <w:tc>
          <w:tcPr>
            <w:tcW w:w="640" w:type="dxa"/>
            <w:vAlign w:val="bottom"/>
            <w:shd w:val="clear" w:color="auto" w:fill="CCEEFF"/>
          </w:tcPr>
          <w:p>
            <w:pPr>
              <w:ind w:left="400"/>
              <w:spacing w:after="0" w:line="17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76.5</w:t>
            </w:r>
          </w:p>
        </w:tc>
        <w:tc>
          <w:tcPr>
            <w:tcW w:w="2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80.0</w:t>
            </w:r>
          </w:p>
        </w:tc>
        <w:tc>
          <w:tcPr>
            <w:tcW w:w="2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4700" w:type="dxa"/>
            <w:vAlign w:val="bottom"/>
          </w:tcPr>
          <w:p>
            <w:pPr>
              <w:spacing w:after="0" w:line="176" w:lineRule="exact"/>
              <w:rPr>
                <w:sz w:val="20"/>
                <w:szCs w:val="20"/>
                <w:color w:val="auto"/>
              </w:rPr>
            </w:pPr>
            <w:r>
              <w:rPr>
                <w:rFonts w:ascii="Arial" w:cs="Arial" w:eastAsia="Arial" w:hAnsi="Arial"/>
                <w:sz w:val="18"/>
                <w:szCs w:val="18"/>
                <w:color w:val="auto"/>
              </w:rPr>
              <w:t>Expected term (in years)</w:t>
            </w:r>
          </w:p>
        </w:tc>
        <w:tc>
          <w:tcPr>
            <w:tcW w:w="78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78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9" w:firstLine="648"/>
        <w:spacing w:after="0" w:line="184" w:lineRule="exact"/>
        <w:rPr>
          <w:sz w:val="20"/>
          <w:szCs w:val="20"/>
          <w:color w:val="auto"/>
        </w:rPr>
      </w:pPr>
      <w:r>
        <w:rPr>
          <w:rFonts w:ascii="Arial" w:cs="Arial" w:eastAsia="Arial" w:hAnsi="Arial"/>
          <w:sz w:val="16"/>
          <w:szCs w:val="16"/>
          <w:color w:val="auto"/>
        </w:rPr>
        <w:t>Stock-based compensation totaled approximately $23.4 million, $16.9 million, and $3.5 million for the years ended December 31, 2017, 2016 and 2015, respectively. As of December 31, 2017, we had $10.3 million and $33.4 million of unrecognized compensation expense related to restricted stock awards and stock option awards, respectively, which are expected to be recognized over weighted</w:t>
      </w:r>
      <w:r>
        <w:rPr>
          <w:rFonts w:ascii="MS PGothic" w:cs="MS PGothic" w:eastAsia="MS PGothic" w:hAnsi="MS PGothic"/>
          <w:sz w:val="16"/>
          <w:szCs w:val="16"/>
          <w:color w:val="auto"/>
        </w:rPr>
        <w:t>‑</w:t>
      </w:r>
      <w:r>
        <w:rPr>
          <w:rFonts w:ascii="Arial" w:cs="Arial" w:eastAsia="Arial" w:hAnsi="Arial"/>
          <w:sz w:val="16"/>
          <w:szCs w:val="16"/>
          <w:color w:val="auto"/>
        </w:rPr>
        <w:t>average remaining vesting periods of approximately 4.7 and 2.5 years, respectively. We expect the impact of our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for restricted stock and stock options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to grow in future periods due to the potential increases in the value of our common stock and headcount.</w:t>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of Common Stock on Grant Dates prior to our Initial Public Offering</w:t>
      </w:r>
    </w:p>
    <w:p>
      <w:pPr>
        <w:spacing w:after="0" w:line="144"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 xml:space="preserve">We historically have granted stock options and restricted stock at exercise or purchase prices not less than the fair value of our common stock. Due to the absence of an active market for our common stock prior to our IPO, the estimated fair values of our common stock as of grant dates prior to our IPO were determined contemporaneously by our board of directors. From 2014 through the date of our IPO, our board of directors’ determinations involved the preparation of valuations performed in accordance with the guidance outlined in the American Institute of Certified Public Accountants Practice Aid, </w:t>
      </w:r>
      <w:r>
        <w:rPr>
          <w:rFonts w:ascii="Arial" w:cs="Arial" w:eastAsia="Arial" w:hAnsi="Arial"/>
          <w:sz w:val="16"/>
          <w:szCs w:val="16"/>
          <w:i w:val="1"/>
          <w:iCs w:val="1"/>
          <w:color w:val="auto"/>
        </w:rPr>
        <w:t>Valuation of Privately</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Held Company Equity Securities Issued as Compensation</w:t>
      </w:r>
      <w:r>
        <w:rPr>
          <w:rFonts w:ascii="Arial" w:cs="Arial" w:eastAsia="Arial" w:hAnsi="Arial"/>
          <w:sz w:val="16"/>
          <w:szCs w:val="16"/>
          <w:color w:val="auto"/>
        </w:rPr>
        <w:t>, also known as the Practice Aid.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our IPO, it is no longer necessary for us to estimate the fair value of our common stock in connection with our accounting for stock options or other equity awards, as the fair value of our common stock can be determined by reference to its closing price on The Nasdaq Global Select Market on the date of the applicable grant.</w:t>
      </w:r>
    </w:p>
    <w:p>
      <w:pPr>
        <w:spacing w:after="0" w:line="12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Our board of directors performed contemporaneous common stock valuations as of August 4, 2015 and October 23, 2015 and retrospective common stock valuations as of April 16, 2015, June 1, 2015, and September 14, 2015. In conducting these valuation analyses, our board of directors considered all objective and subjective factors that it believed to be relevant for each valuation conducted, including the lack of an active public market for our common and our convertible preferred stock; the prices of shares of our convertible preferred stock that we had sold to outside investors in arm’s length transactions, and the rights, preferences, and privileges of that convertible preferred stock relative to our common stock; our results of operations and financial condition; our entry into license agreements, pursuant to which we obtained rights to important intellectual property; the material risks related to our business; our business strategy; the market performance of publicly traded companies in the life sciences and biotechnology sectors; and the likelihood of achieving a liquidity event for the holders of our common stock, such as an IPO, given prevailing market conditions.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 in Connection with and Following Initial Public Offering</w:t>
      </w:r>
    </w:p>
    <w:p>
      <w:pPr>
        <w:spacing w:after="0" w:line="185"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Our board of directors approved, effective upon the commencement of trading of our common stock on The Nasdaq Global Select Market, grants of stock options to purchase an aggregate of 496,727 shares of common stock at a purchase price per share equal to the estimated fair market value of our common stock on such date of grant, which our board of directors determined to be equal to the initial public offering price of our common stock.</w:t>
      </w:r>
    </w:p>
    <w:p>
      <w:pPr>
        <w:spacing w:after="0" w:line="163"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Since our IPO, the exercise price per share of all option grants has been set at the closing price of our common stock on The Nasdaq Global Select Market on the applicable date of grant, which our board of directors believes represents the fair value of our common stock.</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144"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The following table summarizes our results of operations for the years ended December 31, 2017 and 2016, together with the changes in those items in dollars (in thousands) and the respective percentage of changes, unless greater than 100% or less than (100)%, in which case we denoted such changes as not meaningful (n/m):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88"/>
        </w:trPr>
        <w:tc>
          <w:tcPr>
            <w:tcW w:w="4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7"/>
                <w:szCs w:val="7"/>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Dollar Change</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940" w:type="dxa"/>
            <w:vAlign w:val="bottom"/>
          </w:tcPr>
          <w:p>
            <w:pPr>
              <w:jc w:val="right"/>
              <w:ind w:right="1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7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7"/>
              </w:rPr>
              <w:t>Collaboration and other research and development revenues</w:t>
            </w:r>
          </w:p>
        </w:tc>
        <w:tc>
          <w:tcPr>
            <w:tcW w:w="4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13,728</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6,053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7,675</w:t>
            </w: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134"/>
              <w:spacing w:after="0" w:line="17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474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83,159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56,979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26,180</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76"/>
        </w:trPr>
        <w:tc>
          <w:tcPr>
            <w:tcW w:w="47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50,502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46,262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4,240</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69"/>
        </w:trPr>
        <w:tc>
          <w:tcPr>
            <w:tcW w:w="474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133,661</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103,241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30,420</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69"/>
        </w:trPr>
        <w:tc>
          <w:tcPr>
            <w:tcW w:w="4740" w:type="dxa"/>
            <w:vAlign w:val="bottom"/>
          </w:tcPr>
          <w:p>
            <w:pPr>
              <w:spacing w:after="0" w:line="170" w:lineRule="exact"/>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34"/>
              <w:spacing w:after="0" w:line="17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47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 income, net</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(978)</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34"/>
              <w:spacing w:after="0" w:line="17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9"/>
        </w:trPr>
        <w:tc>
          <w:tcPr>
            <w:tcW w:w="474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other (expense) income, net</w:t>
            </w:r>
          </w:p>
        </w:tc>
        <w:tc>
          <w:tcPr>
            <w:tcW w:w="4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34"/>
              <w:spacing w:after="0" w:line="17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474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(120,324)</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(97,183)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(23,141)</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Other Research and Development Revenues</w:t>
      </w:r>
    </w:p>
    <w:p>
      <w:pPr>
        <w:spacing w:after="0" w:line="144"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Collaboration and other research and development revenues were $13.7 million for the year ended December 31, 2017 and consisted of $8.8 million of revenue recognized pursuant to our strategic alliance with Allergan and $4.9 million of revenue recognized pursuant to our collaboration with Juno Therapeutics, of which $2.5 million related to a milestone payment.</w:t>
      </w:r>
    </w:p>
    <w:p>
      <w:pPr>
        <w:spacing w:after="0" w:line="122" w:lineRule="exact"/>
        <w:rPr>
          <w:sz w:val="20"/>
          <w:szCs w:val="20"/>
          <w:color w:val="auto"/>
        </w:rPr>
      </w:pPr>
    </w:p>
    <w:p>
      <w:pPr>
        <w:jc w:val="both"/>
        <w:ind w:right="300" w:firstLine="648"/>
        <w:spacing w:after="0" w:line="219" w:lineRule="auto"/>
        <w:rPr>
          <w:sz w:val="20"/>
          <w:szCs w:val="20"/>
          <w:color w:val="auto"/>
        </w:rPr>
      </w:pPr>
      <w:r>
        <w:rPr>
          <w:rFonts w:ascii="Arial" w:cs="Arial" w:eastAsia="Arial" w:hAnsi="Arial"/>
          <w:sz w:val="18"/>
          <w:szCs w:val="18"/>
          <w:color w:val="auto"/>
        </w:rPr>
        <w:t>Collaboration and other research and development revenues were $6.1 million for the year ended December 31, 2016 and consisted of $5.7 million of revenue recognized pursuant to our collaboration with Juno Therapeutics, including $2.5 million recognized in connection with a milestone payment, and $0.3 million of revenue recognized pursuant to our agreement with Cystic Fibrosis Foundation Therapeutics, Inc. (“CFFT”).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right="180" w:firstLine="648"/>
        <w:spacing w:after="0" w:line="219" w:lineRule="auto"/>
        <w:rPr>
          <w:sz w:val="20"/>
          <w:szCs w:val="20"/>
          <w:color w:val="auto"/>
        </w:rPr>
      </w:pPr>
      <w:r>
        <w:rPr>
          <w:rFonts w:ascii="Arial" w:cs="Arial" w:eastAsia="Arial" w:hAnsi="Arial"/>
          <w:sz w:val="18"/>
          <w:szCs w:val="18"/>
          <w:color w:val="auto"/>
        </w:rPr>
        <w:t>Research and development expenses increased by $26.2 million, to $83.2 million for the year ended December 31, 2017 from $57.0 million for the year ended December 31, 2016. The following table summarizes our research and development expenses for the years ended December 31, 2017 and December 31, 2016, together with the changes in those items in dollars (in thousands) and the respective percentages of change: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2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Dollar Change</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880" w:type="dxa"/>
            <w:vAlign w:val="bottom"/>
          </w:tcPr>
          <w:p>
            <w:pPr>
              <w:jc w:val="right"/>
              <w:ind w:right="1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8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Process and platform development expenses</w:t>
            </w:r>
          </w:p>
        </w:tc>
        <w:tc>
          <w:tcPr>
            <w:tcW w:w="1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17,117</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9,579</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7,538</w:t>
            </w: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176"/>
        </w:trPr>
        <w:tc>
          <w:tcPr>
            <w:tcW w:w="3860" w:type="dxa"/>
            <w:vAlign w:val="bottom"/>
          </w:tcPr>
          <w:p>
            <w:pPr>
              <w:spacing w:after="0" w:line="176" w:lineRule="exact"/>
              <w:rPr>
                <w:sz w:val="20"/>
                <w:szCs w:val="20"/>
                <w:color w:val="auto"/>
              </w:rPr>
            </w:pPr>
            <w:r>
              <w:rPr>
                <w:rFonts w:ascii="Arial" w:cs="Arial" w:eastAsia="Arial" w:hAnsi="Arial"/>
                <w:sz w:val="18"/>
                <w:szCs w:val="18"/>
                <w:color w:val="auto"/>
              </w:rPr>
              <w:t>Stock-based compensation expenses</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15,131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12,647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2,484</w:t>
            </w:r>
          </w:p>
        </w:tc>
        <w:tc>
          <w:tcPr>
            <w:tcW w:w="1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Licensing and sublicensing payment expenses</w:t>
            </w: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14,610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18,469</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(3,859)</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6"/>
        </w:trPr>
        <w:tc>
          <w:tcPr>
            <w:tcW w:w="3860" w:type="dxa"/>
            <w:vAlign w:val="bottom"/>
          </w:tcPr>
          <w:p>
            <w:pPr>
              <w:spacing w:after="0" w:line="176" w:lineRule="exact"/>
              <w:rPr>
                <w:sz w:val="20"/>
                <w:szCs w:val="20"/>
                <w:color w:val="auto"/>
              </w:rPr>
            </w:pPr>
            <w:r>
              <w:rPr>
                <w:rFonts w:ascii="Arial" w:cs="Arial" w:eastAsia="Arial" w:hAnsi="Arial"/>
                <w:sz w:val="18"/>
                <w:szCs w:val="18"/>
                <w:color w:val="auto"/>
              </w:rPr>
              <w:t>Success payment expenses</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14,500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14,500</w:t>
            </w:r>
          </w:p>
        </w:tc>
        <w:tc>
          <w:tcPr>
            <w:tcW w:w="1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Employee related expenses</w:t>
            </w: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14,406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9,095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5,311</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176"/>
        </w:trPr>
        <w:tc>
          <w:tcPr>
            <w:tcW w:w="3860" w:type="dxa"/>
            <w:vAlign w:val="bottom"/>
          </w:tcPr>
          <w:p>
            <w:pPr>
              <w:spacing w:after="0" w:line="176" w:lineRule="exact"/>
              <w:rPr>
                <w:sz w:val="20"/>
                <w:szCs w:val="20"/>
                <w:color w:val="auto"/>
              </w:rPr>
            </w:pPr>
            <w:r>
              <w:rPr>
                <w:rFonts w:ascii="Arial" w:cs="Arial" w:eastAsia="Arial" w:hAnsi="Arial"/>
                <w:sz w:val="18"/>
                <w:szCs w:val="18"/>
                <w:color w:val="auto"/>
              </w:rPr>
              <w:t>Facility expenses</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4,416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5,671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(1,255)</w:t>
            </w:r>
          </w:p>
        </w:tc>
        <w:tc>
          <w:tcPr>
            <w:tcW w:w="1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expenses</w:t>
            </w:r>
          </w:p>
        </w:tc>
        <w:tc>
          <w:tcPr>
            <w:tcW w:w="13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2,979</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1,518</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176"/>
        </w:trPr>
        <w:tc>
          <w:tcPr>
            <w:tcW w:w="3860" w:type="dxa"/>
            <w:vAlign w:val="bottom"/>
          </w:tcPr>
          <w:p>
            <w:pPr>
              <w:ind w:left="220"/>
              <w:spacing w:after="0" w:line="170" w:lineRule="exact"/>
              <w:rPr>
                <w:sz w:val="20"/>
                <w:szCs w:val="20"/>
                <w:color w:val="auto"/>
              </w:rPr>
            </w:pPr>
            <w:r>
              <w:rPr>
                <w:rFonts w:ascii="Arial" w:cs="Arial" w:eastAsia="Arial" w:hAnsi="Arial"/>
                <w:sz w:val="18"/>
                <w:szCs w:val="18"/>
                <w:color w:val="auto"/>
              </w:rPr>
              <w:t>Total research and development expenses</w:t>
            </w:r>
          </w:p>
        </w:tc>
        <w:tc>
          <w:tcPr>
            <w:tcW w:w="13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83,159</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56,979</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26,180</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770"/>
        </w:trPr>
        <w:tc>
          <w:tcPr>
            <w:tcW w:w="3860" w:type="dxa"/>
            <w:vAlign w:val="bottom"/>
          </w:tcPr>
          <w:p>
            <w:pPr>
              <w:spacing w:after="0"/>
              <w:rPr>
                <w:sz w:val="24"/>
                <w:szCs w:val="24"/>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8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12" w:right="139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increase in research and development expenses for the year ended December 31, 2017 compared to the year ended December 31, 2016 was primarily attributable to:</w:t>
      </w:r>
    </w:p>
    <w:p>
      <w:pPr>
        <w:spacing w:after="0" w:line="121" w:lineRule="exact"/>
        <w:rPr>
          <w:sz w:val="20"/>
          <w:szCs w:val="20"/>
          <w:color w:val="auto"/>
        </w:rPr>
      </w:pPr>
    </w:p>
    <w:p>
      <w:pPr>
        <w:ind w:left="980" w:right="80" w:hanging="329"/>
        <w:spacing w:after="0" w:line="22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$14.5 million in increased success payments due to the triggering of multiple success payment obligations under licensing agreements with Broad and The General Hospital Corporation, d/b/a Massachusetts General Hospital (“MGH”);</w:t>
      </w:r>
    </w:p>
    <w:p>
      <w:pPr>
        <w:spacing w:after="0" w:line="122" w:lineRule="exact"/>
        <w:rPr>
          <w:rFonts w:ascii="Arial" w:cs="Arial" w:eastAsia="Arial" w:hAnsi="Arial"/>
          <w:sz w:val="18"/>
          <w:szCs w:val="18"/>
          <w:color w:val="auto"/>
        </w:rPr>
      </w:pPr>
    </w:p>
    <w:p>
      <w:pPr>
        <w:ind w:left="980" w:right="120" w:hanging="329"/>
        <w:spacing w:after="0" w:line="219"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$7.5 million in increased process and platform development expenses due to increased research activity, mostly relating to external research and development spend which we expect will increase further as we continue to support the preclinical studies and prepare for clinical development for our LCA10 program as well as our other research programs;</w:t>
      </w:r>
    </w:p>
    <w:p>
      <w:pPr>
        <w:spacing w:after="0" w:line="122" w:lineRule="exact"/>
        <w:rPr>
          <w:rFonts w:ascii="Arial" w:cs="Arial" w:eastAsia="Arial" w:hAnsi="Arial"/>
          <w:sz w:val="18"/>
          <w:szCs w:val="18"/>
          <w:color w:val="auto"/>
        </w:rPr>
      </w:pPr>
    </w:p>
    <w:p>
      <w:pPr>
        <w:ind w:left="980" w:right="640" w:hanging="329"/>
        <w:spacing w:after="0" w:line="235"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$5.3 million in increased employee related expenses due to an increase in the size of our workforce;</w:t>
      </w:r>
    </w:p>
    <w:p>
      <w:pPr>
        <w:spacing w:after="0" w:line="121" w:lineRule="exact"/>
        <w:rPr>
          <w:rFonts w:ascii="Arial" w:cs="Arial" w:eastAsia="Arial" w:hAnsi="Arial"/>
          <w:sz w:val="18"/>
          <w:szCs w:val="18"/>
          <w:color w:val="auto"/>
        </w:rPr>
      </w:pPr>
    </w:p>
    <w:p>
      <w:pPr>
        <w:ind w:left="980" w:right="400" w:hanging="329"/>
        <w:spacing w:after="0" w:line="235"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$2.5 million in increased stock based compensation expense due to an increase in employee stock option expense and non-employee restricted stock expense; and</w:t>
      </w:r>
    </w:p>
    <w:p>
      <w:pPr>
        <w:spacing w:after="0" w:line="121" w:lineRule="exact"/>
        <w:rPr>
          <w:rFonts w:ascii="Arial" w:cs="Arial" w:eastAsia="Arial" w:hAnsi="Arial"/>
          <w:sz w:val="18"/>
          <w:szCs w:val="18"/>
          <w:color w:val="auto"/>
        </w:rPr>
      </w:pPr>
    </w:p>
    <w:p>
      <w:pPr>
        <w:ind w:left="980" w:right="640" w:hanging="329"/>
        <w:spacing w:after="0" w:line="235"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$1.5 million in increased other expenses due to increased professional service and office expenses.</w:t>
      </w:r>
    </w:p>
    <w:p>
      <w:pPr>
        <w:spacing w:after="0" w:line="121"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These increases were partially offset by an approximate $3.8 million decrease in licensing and sublicensing payment expenses due pursuant to license agreements that were executed in 2016 with Broad and MGH, partially offset by a sublicensing fees in 2017 due to certain of our licensors in connection with receiving the Allergan Upfront, and an approximately $1.3 million decrease in facility related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ind w:right="220" w:firstLine="648"/>
        <w:spacing w:after="0" w:line="219" w:lineRule="auto"/>
        <w:rPr>
          <w:sz w:val="20"/>
          <w:szCs w:val="20"/>
          <w:color w:val="auto"/>
        </w:rPr>
      </w:pPr>
      <w:r>
        <w:rPr>
          <w:rFonts w:ascii="Arial" w:cs="Arial" w:eastAsia="Arial" w:hAnsi="Arial"/>
          <w:sz w:val="18"/>
          <w:szCs w:val="18"/>
          <w:color w:val="auto"/>
        </w:rPr>
        <w:t>General and administrative expenses increased by $4.2 million, to $50.5 million for the year ended December 31, 2017 from $46.3 million for the year ended December 31, 2016. The following table summarizes our general and administrative expenses for the year ended December 31, 2017 and December 31, 2016, together with the changes in those items in dollars (in thousands) and the respective percentages of change: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88"/>
        </w:trPr>
        <w:tc>
          <w:tcPr>
            <w:tcW w:w="5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1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Dollar Change</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900" w:type="dxa"/>
            <w:vAlign w:val="bottom"/>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1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Intellectual property and patent related fees</w:t>
            </w: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23,921</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26,963</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(3,042)</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8"/>
                <w:szCs w:val="18"/>
                <w:color w:val="auto"/>
              </w:rPr>
              <w:t>Professional service expenses</w:t>
            </w: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6,010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5,483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527</w:t>
            </w: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Employee related expenses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8,915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6,881</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2,034</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8"/>
                <w:szCs w:val="18"/>
                <w:color w:val="auto"/>
              </w:rPr>
              <w:t>Stock-based compensation expenses</w:t>
            </w: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8,233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4,234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3,999</w:t>
            </w:r>
          </w:p>
        </w:tc>
        <w:tc>
          <w:tcPr>
            <w:tcW w:w="1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expenses</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3,423</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2,701</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722</w:t>
            </w:r>
          </w:p>
        </w:tc>
        <w:tc>
          <w:tcPr>
            <w:tcW w:w="1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76"/>
        </w:trPr>
        <w:tc>
          <w:tcPr>
            <w:tcW w:w="5120" w:type="dxa"/>
            <w:vAlign w:val="bottom"/>
          </w:tcPr>
          <w:p>
            <w:pPr>
              <w:ind w:left="220"/>
              <w:spacing w:after="0" w:line="170" w:lineRule="exact"/>
              <w:rPr>
                <w:sz w:val="20"/>
                <w:szCs w:val="20"/>
                <w:color w:val="auto"/>
              </w:rPr>
            </w:pPr>
            <w:r>
              <w:rPr>
                <w:rFonts w:ascii="Arial" w:cs="Arial" w:eastAsia="Arial" w:hAnsi="Arial"/>
                <w:sz w:val="18"/>
                <w:szCs w:val="18"/>
                <w:color w:val="auto"/>
              </w:rPr>
              <w:t>Total general and administrative expenses</w:t>
            </w: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50,502</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46,262</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4,240</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The increase in general and administrative expenses for the year ended December 31, 2017 compared to the year ended December 31, 2016 was primarily attributable to:</w:t>
      </w:r>
    </w:p>
    <w:p>
      <w:pPr>
        <w:spacing w:after="0" w:line="121" w:lineRule="exact"/>
        <w:rPr>
          <w:sz w:val="20"/>
          <w:szCs w:val="20"/>
          <w:color w:val="auto"/>
        </w:rPr>
      </w:pPr>
    </w:p>
    <w:p>
      <w:pPr>
        <w:ind w:left="980" w:right="300" w:hanging="329"/>
        <w:spacing w:after="0" w:line="235"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$4.0 million in increased stock-based compensation expenses due to an increase in employee stock option expense;</w:t>
      </w:r>
    </w:p>
    <w:p>
      <w:pPr>
        <w:spacing w:after="0" w:line="121" w:lineRule="exact"/>
        <w:rPr>
          <w:rFonts w:ascii="Arial" w:cs="Arial" w:eastAsia="Arial" w:hAnsi="Arial"/>
          <w:sz w:val="18"/>
          <w:szCs w:val="18"/>
          <w:color w:val="auto"/>
        </w:rPr>
      </w:pPr>
    </w:p>
    <w:p>
      <w:pPr>
        <w:ind w:left="980" w:right="640" w:hanging="329"/>
        <w:spacing w:after="0" w:line="235"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$2.0 million in increased employee related expenses due to an increase in the size of our workforce;</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$0.7 million in increased other expenses including facility-related expenses; and</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$0.5 million in increased professional services expenses.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2"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These increases were partially offset by an approximate $3.0 million decrease in intellectual property and patent related fees, including expenses associated with the prosecution and maintenance of patents and patent applications, which was primarily due to the fact that our in-licensors had additional legal costs during the year ended December 31, 2016 due to the nationalization of certain patent applications and preparing for a U.S. patent interference proceeding.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44"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For the year ended December 31, 2017, other income (expense), net was an expense of $0.4 million, which was primarily attributable to interest expense on our construction financing lease obligation and certain promissory notes, and amortization of premiums associated with marketable securities, partially offset by rental income from our subtenant, interest income, and accretion of discounts associated with marketable securities.</w:t>
      </w:r>
    </w:p>
    <w:p>
      <w:pPr>
        <w:spacing w:after="0" w:line="122" w:lineRule="exact"/>
        <w:rPr>
          <w:sz w:val="20"/>
          <w:szCs w:val="20"/>
          <w:color w:val="auto"/>
        </w:rPr>
      </w:pPr>
    </w:p>
    <w:p>
      <w:pPr>
        <w:ind w:right="360" w:firstLine="648"/>
        <w:spacing w:after="0" w:line="238" w:lineRule="auto"/>
        <w:rPr>
          <w:sz w:val="20"/>
          <w:szCs w:val="20"/>
          <w:color w:val="auto"/>
        </w:rPr>
      </w:pPr>
      <w:r>
        <w:rPr>
          <w:rFonts w:ascii="Arial" w:cs="Arial" w:eastAsia="Arial" w:hAnsi="Arial"/>
          <w:sz w:val="17"/>
          <w:szCs w:val="17"/>
          <w:color w:val="auto"/>
        </w:rPr>
        <w:t>For the year ended December 31, 2016, other income (expense), net was income of $5 thousand, which was primarily attributable to interest income earned on our cash equivalents and government grant income, partially offset by interest expense on our construction financing lease obligation and loss on disposal of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144"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years ended December 31, 2016 and 2015, together with the changes in those items in dollars (in thousands) and respective percentages of change: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88"/>
        </w:trPr>
        <w:tc>
          <w:tcPr>
            <w:tcW w:w="4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7"/>
                <w:szCs w:val="7"/>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Dollar Change</w:t>
            </w: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7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7"/>
              </w:rPr>
              <w:t>Collaboration and other research and development revenues</w:t>
            </w:r>
          </w:p>
        </w:tc>
        <w:tc>
          <w:tcPr>
            <w:tcW w:w="4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6,053</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1,629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4,424</w:t>
            </w: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ind w:left="420"/>
              <w:spacing w:after="0" w:line="17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474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56,979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18,846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38,133</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47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46,262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18,095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28,167</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ind w:left="420"/>
              <w:spacing w:after="0" w:line="17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9"/>
        </w:trPr>
        <w:tc>
          <w:tcPr>
            <w:tcW w:w="474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103,241</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36,941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66,300</w:t>
            </w:r>
          </w:p>
        </w:tc>
        <w:tc>
          <w:tcPr>
            <w:tcW w:w="12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ind w:left="420"/>
              <w:spacing w:after="0" w:line="17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9"/>
        </w:trPr>
        <w:tc>
          <w:tcPr>
            <w:tcW w:w="4740" w:type="dxa"/>
            <w:vAlign w:val="bottom"/>
          </w:tcPr>
          <w:p>
            <w:pPr>
              <w:spacing w:after="0" w:line="170" w:lineRule="exact"/>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expense, net</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w w:val="98"/>
              </w:rPr>
              <w:t>(37,445)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37,388</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4740" w:type="dxa"/>
            <w:vAlign w:val="bottom"/>
          </w:tcPr>
          <w:p>
            <w:pPr>
              <w:ind w:left="220"/>
              <w:spacing w:after="0" w:line="176" w:lineRule="exact"/>
              <w:rPr>
                <w:sz w:val="20"/>
                <w:szCs w:val="20"/>
                <w:color w:val="auto"/>
              </w:rPr>
            </w:pPr>
            <w:r>
              <w:rPr>
                <w:rFonts w:ascii="Arial" w:cs="Arial" w:eastAsia="Arial" w:hAnsi="Arial"/>
                <w:sz w:val="18"/>
                <w:szCs w:val="18"/>
                <w:color w:val="auto"/>
              </w:rPr>
              <w:t>Interest income (expense), net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(143)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205</w:t>
            </w:r>
          </w:p>
        </w:tc>
        <w:tc>
          <w:tcPr>
            <w:tcW w:w="120" w:type="dxa"/>
            <w:vAlign w:val="bottom"/>
          </w:tcPr>
          <w:p>
            <w:pPr>
              <w:spacing w:after="0"/>
              <w:rPr>
                <w:sz w:val="15"/>
                <w:szCs w:val="15"/>
                <w:color w:val="auto"/>
              </w:rPr>
            </w:pPr>
          </w:p>
        </w:tc>
        <w:tc>
          <w:tcPr>
            <w:tcW w:w="920" w:type="dxa"/>
            <w:vAlign w:val="bottom"/>
          </w:tcPr>
          <w:p>
            <w:pPr>
              <w:ind w:left="420"/>
              <w:spacing w:after="0" w:line="17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69"/>
        </w:trPr>
        <w:tc>
          <w:tcPr>
            <w:tcW w:w="4740" w:type="dxa"/>
            <w:vAlign w:val="bottom"/>
            <w:tcBorders>
              <w:top w:val="single" w:sz="8" w:color="CCEEFF"/>
            </w:tcBorders>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other income (expense), net</w:t>
            </w:r>
          </w:p>
        </w:tc>
        <w:tc>
          <w:tcPr>
            <w:tcW w:w="4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(37,588)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37,593</w:t>
            </w: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ind w:left="420"/>
              <w:spacing w:after="0" w:line="17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474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(97,183)</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(72,900)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(24,283)</w:t>
            </w:r>
          </w:p>
        </w:tc>
        <w:tc>
          <w:tcPr>
            <w:tcW w:w="120" w:type="dxa"/>
            <w:vAlign w:val="bottom"/>
          </w:tcPr>
          <w:p>
            <w:pPr>
              <w:spacing w:after="0"/>
              <w:rPr>
                <w:sz w:val="15"/>
                <w:szCs w:val="15"/>
                <w:color w:val="auto"/>
              </w:rPr>
            </w:pPr>
          </w:p>
        </w:tc>
        <w:tc>
          <w:tcPr>
            <w:tcW w:w="920" w:type="dxa"/>
            <w:vAlign w:val="bottom"/>
            <w:tcBorders>
              <w:bottom w:val="single" w:sz="8" w:color="auto"/>
            </w:tcBorders>
          </w:tcPr>
          <w:p>
            <w:pPr>
              <w:ind w:left="460"/>
              <w:spacing w:after="0" w:line="170" w:lineRule="exact"/>
              <w:rPr>
                <w:sz w:val="20"/>
                <w:szCs w:val="20"/>
                <w:color w:val="auto"/>
              </w:rPr>
            </w:pPr>
            <w:r>
              <w:rPr>
                <w:rFonts w:ascii="Arial" w:cs="Arial" w:eastAsia="Arial" w:hAnsi="Arial"/>
                <w:sz w:val="18"/>
                <w:szCs w:val="18"/>
                <w:color w:val="auto"/>
                <w:w w:val="91"/>
              </w:rPr>
              <w:t>(33)%</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Other Research and Development Revenues</w:t>
      </w:r>
    </w:p>
    <w:p>
      <w:pPr>
        <w:spacing w:after="0" w:line="144" w:lineRule="exact"/>
        <w:rPr>
          <w:sz w:val="20"/>
          <w:szCs w:val="20"/>
          <w:color w:val="auto"/>
        </w:rPr>
      </w:pPr>
    </w:p>
    <w:p>
      <w:pPr>
        <w:jc w:val="both"/>
        <w:ind w:right="280" w:firstLine="648"/>
        <w:spacing w:after="0" w:line="219" w:lineRule="auto"/>
        <w:rPr>
          <w:sz w:val="20"/>
          <w:szCs w:val="20"/>
          <w:color w:val="auto"/>
        </w:rPr>
      </w:pPr>
      <w:r>
        <w:rPr>
          <w:rFonts w:ascii="Arial" w:cs="Arial" w:eastAsia="Arial" w:hAnsi="Arial"/>
          <w:sz w:val="18"/>
          <w:szCs w:val="18"/>
          <w:color w:val="auto"/>
        </w:rPr>
        <w:t>Collaboration and other research and development revenues were $6.1 million for the year ended December 31, 2016 and consisted of $5.7 million of revenue recognized pursuant to our collaboration with Juno Therapeutics, including $2.5 million recognized in connection with a milestone payment, and $0.3 million of revenue recognized pursuant to our agreement with CFFT.</w:t>
      </w:r>
    </w:p>
    <w:p>
      <w:pPr>
        <w:spacing w:after="0" w:line="122" w:lineRule="exact"/>
        <w:rPr>
          <w:sz w:val="20"/>
          <w:szCs w:val="20"/>
          <w:color w:val="auto"/>
        </w:rPr>
      </w:pPr>
    </w:p>
    <w:p>
      <w:pPr>
        <w:ind w:right="360" w:firstLine="648"/>
        <w:spacing w:after="0" w:line="258" w:lineRule="auto"/>
        <w:rPr>
          <w:sz w:val="20"/>
          <w:szCs w:val="20"/>
          <w:color w:val="auto"/>
        </w:rPr>
      </w:pPr>
      <w:r>
        <w:rPr>
          <w:rFonts w:ascii="Arial" w:cs="Arial" w:eastAsia="Arial" w:hAnsi="Arial"/>
          <w:sz w:val="17"/>
          <w:szCs w:val="17"/>
          <w:color w:val="auto"/>
        </w:rPr>
        <w:t>Collaboration and other research and development revenues were $1.6 million for the year ended December 31, 2015 and consisted of revenue recognized pursuant to our collaboration with Juno Therapeutics.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Research and development expenses increased by $38.1 million, to $57.0 million for the year ended December 31, 2016 from $18.8 million for the year ended December 31, 2015. The following table summarizes our research and development expenses for the years ended December 31, 2016 and December 31, 2015, together with the changes in those items in dollars (in thousands) and the respective percentages of change: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88"/>
        </w:trPr>
        <w:tc>
          <w:tcPr>
            <w:tcW w:w="5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2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Dollar Change</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880" w:type="dxa"/>
            <w:vAlign w:val="bottom"/>
          </w:tcPr>
          <w:p>
            <w:pPr>
              <w:jc w:val="right"/>
              <w:ind w:right="1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1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Licensing and sublicensing payment expenses</w:t>
            </w: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18,469</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4,603</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13,866</w:t>
            </w: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134"/>
              <w:spacing w:after="0" w:line="17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Stock-based compensation expenses</w:t>
            </w: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12,647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3,015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9,632</w:t>
            </w:r>
          </w:p>
        </w:tc>
        <w:tc>
          <w:tcPr>
            <w:tcW w:w="160" w:type="dxa"/>
            <w:vAlign w:val="bottom"/>
          </w:tcPr>
          <w:p>
            <w:pPr>
              <w:spacing w:after="0"/>
              <w:rPr>
                <w:sz w:val="15"/>
                <w:szCs w:val="15"/>
                <w:color w:val="auto"/>
              </w:rPr>
            </w:pPr>
          </w:p>
        </w:tc>
        <w:tc>
          <w:tcPr>
            <w:tcW w:w="880" w:type="dxa"/>
            <w:vAlign w:val="bottom"/>
          </w:tcPr>
          <w:p>
            <w:pPr>
              <w:jc w:val="right"/>
              <w:ind w:right="134"/>
              <w:spacing w:after="0" w:line="17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Process and platform development expenses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9,579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3,957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5,622</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34"/>
              <w:spacing w:after="0" w:line="17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Employee related expenses</w:t>
            </w: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9,095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4,399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4,696</w:t>
            </w:r>
          </w:p>
        </w:tc>
        <w:tc>
          <w:tcPr>
            <w:tcW w:w="160" w:type="dxa"/>
            <w:vAlign w:val="bottom"/>
          </w:tcPr>
          <w:p>
            <w:pPr>
              <w:spacing w:after="0"/>
              <w:rPr>
                <w:sz w:val="15"/>
                <w:szCs w:val="15"/>
                <w:color w:val="auto"/>
              </w:rPr>
            </w:pPr>
          </w:p>
        </w:tc>
        <w:tc>
          <w:tcPr>
            <w:tcW w:w="880" w:type="dxa"/>
            <w:vAlign w:val="bottom"/>
          </w:tcPr>
          <w:p>
            <w:pPr>
              <w:jc w:val="right"/>
              <w:ind w:right="134"/>
              <w:spacing w:after="0" w:line="17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Facility expenses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5,671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1,805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3,866</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34"/>
              <w:spacing w:after="0" w:line="176"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6"/>
        </w:trPr>
        <w:tc>
          <w:tcPr>
            <w:tcW w:w="51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expenses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1,518</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1,067</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451</w:t>
            </w: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176"/>
        </w:trPr>
        <w:tc>
          <w:tcPr>
            <w:tcW w:w="516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56,979</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18,846</w:t>
            </w: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38,133</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34"/>
              <w:spacing w:after="0" w:line="17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increase in research and development expenses for the year ended December 31, 2016 compared to the year ended December 31, 2015 was primarily attributable to:</w:t>
      </w:r>
    </w:p>
    <w:p>
      <w:pPr>
        <w:spacing w:after="0" w:line="121" w:lineRule="exact"/>
        <w:rPr>
          <w:sz w:val="20"/>
          <w:szCs w:val="20"/>
          <w:color w:val="auto"/>
        </w:rPr>
      </w:pPr>
    </w:p>
    <w:p>
      <w:pPr>
        <w:ind w:left="980" w:right="120" w:hanging="329"/>
        <w:spacing w:after="0" w:line="21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$13.9 million in increased license fees related to our license agreements that were executed in 2016 with MGH and Broad, partially offset by a decrease from fees paid to licensors during the second quarter of 2015 as a result of our entry into our collaboration agreement with Juno Therapeutics that did not recur in 2016;</w:t>
      </w:r>
    </w:p>
    <w:p>
      <w:pPr>
        <w:spacing w:after="0" w:line="122" w:lineRule="exact"/>
        <w:rPr>
          <w:rFonts w:ascii="Arial" w:cs="Arial" w:eastAsia="Arial" w:hAnsi="Arial"/>
          <w:sz w:val="18"/>
          <w:szCs w:val="18"/>
          <w:color w:val="auto"/>
        </w:rPr>
      </w:pPr>
    </w:p>
    <w:p>
      <w:pPr>
        <w:ind w:left="980" w:right="380" w:hanging="329"/>
        <w:spacing w:after="0" w:line="235"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$9.6 million in increased stock-based compensation expense due to an increase in employee stock option expense and non-employee restricted stock expense;</w:t>
      </w:r>
    </w:p>
    <w:p>
      <w:pPr>
        <w:spacing w:after="0" w:line="121" w:lineRule="exact"/>
        <w:rPr>
          <w:rFonts w:ascii="Arial" w:cs="Arial" w:eastAsia="Arial" w:hAnsi="Arial"/>
          <w:sz w:val="18"/>
          <w:szCs w:val="18"/>
          <w:color w:val="auto"/>
        </w:rPr>
      </w:pPr>
    </w:p>
    <w:p>
      <w:pPr>
        <w:ind w:left="980" w:right="420" w:hanging="329"/>
        <w:spacing w:after="0" w:line="235"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$5.6 million in increased process and platform development costs due to increased research activity;</w:t>
      </w:r>
    </w:p>
    <w:p>
      <w:pPr>
        <w:spacing w:after="0" w:line="121" w:lineRule="exact"/>
        <w:rPr>
          <w:rFonts w:ascii="Arial" w:cs="Arial" w:eastAsia="Arial" w:hAnsi="Arial"/>
          <w:sz w:val="18"/>
          <w:szCs w:val="18"/>
          <w:color w:val="auto"/>
        </w:rPr>
      </w:pPr>
    </w:p>
    <w:p>
      <w:pPr>
        <w:ind w:left="980" w:right="20" w:hanging="329"/>
        <w:spacing w:after="0" w:line="235"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$4.7 million in increased employee related expenses, resulting from an increase in the size of our workforce and the hiring of key executives throughout 2016;</w:t>
      </w:r>
    </w:p>
    <w:p>
      <w:pPr>
        <w:spacing w:after="0" w:line="121" w:lineRule="exact"/>
        <w:rPr>
          <w:rFonts w:ascii="Arial" w:cs="Arial" w:eastAsia="Arial" w:hAnsi="Arial"/>
          <w:sz w:val="18"/>
          <w:szCs w:val="18"/>
          <w:color w:val="auto"/>
        </w:rPr>
      </w:pPr>
    </w:p>
    <w:p>
      <w:pPr>
        <w:ind w:left="980" w:right="180" w:hanging="329"/>
        <w:spacing w:after="0" w:line="235"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$3.9 million in increased facilities costs, including rent, utilities, and depreciation expense as a result of additional office and laboratory space; and</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$0.5 million in increased other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General and administrative expenses increased by $28.2 million, to $46.3 million for the year ended December 31, 2016 from $18.1 million for the year ended December 31, 2015. The following table summarizes our general and administrative expenses for the years ended December 31, 2016 and December 31, 2015, together with the changes in those items in dollars (in thousands) and the respective percentages of change: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88"/>
        </w:trPr>
        <w:tc>
          <w:tcPr>
            <w:tcW w:w="5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1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Dollar Change</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Intellectual property and patent related fees</w:t>
            </w: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26,963</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10,475</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16,488</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n/m</w:t>
            </w:r>
          </w:p>
        </w:tc>
        <w:tc>
          <w:tcPr>
            <w:tcW w:w="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Employee related expenses</w:t>
            </w: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6,881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3,146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3,735</w:t>
            </w:r>
          </w:p>
        </w:tc>
        <w:tc>
          <w:tcPr>
            <w:tcW w:w="1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n/m</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Professional service expenses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5,483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3,144</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Stock-based compensation expenses</w:t>
            </w: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4,234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498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3,736</w:t>
            </w:r>
          </w:p>
        </w:tc>
        <w:tc>
          <w:tcPr>
            <w:tcW w:w="1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n/m</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expenses</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2,701</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832</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n/m</w:t>
            </w:r>
          </w:p>
        </w:tc>
        <w:tc>
          <w:tcPr>
            <w:tcW w:w="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tcPr>
          <w:p>
            <w:pPr>
              <w:ind w:left="220"/>
              <w:spacing w:after="0" w:line="170" w:lineRule="exact"/>
              <w:rPr>
                <w:sz w:val="20"/>
                <w:szCs w:val="20"/>
                <w:color w:val="auto"/>
              </w:rPr>
            </w:pPr>
            <w:r>
              <w:rPr>
                <w:rFonts w:ascii="Arial" w:cs="Arial" w:eastAsia="Arial" w:hAnsi="Arial"/>
                <w:sz w:val="18"/>
                <w:szCs w:val="18"/>
                <w:color w:val="auto"/>
              </w:rPr>
              <w:t>Total general and administrative expenses</w:t>
            </w: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46,262</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18,095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28,167</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n/m</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The increase in general and administrative expenses for the year ended December 31, 2016 compared to the year ended December 31, 2015 was primarily attributable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980" w:right="100" w:hanging="329"/>
        <w:spacing w:after="0" w:line="229"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approximately $16.5 million in increased intellectual property legal and patent related fees, including expenses associated with patents and patent applications, including expenses associated with the prosecution and maintenance of such patents and patent applications, which was primarily due to the fact that our in-licensors had additional legal costs during the year ended December 31, 2016 due to the nationalization of certain patent applications and preparing for the U.S. patent interference proceeding;</w:t>
      </w:r>
    </w:p>
    <w:p>
      <w:pPr>
        <w:spacing w:after="0" w:line="120" w:lineRule="exact"/>
        <w:rPr>
          <w:rFonts w:ascii="Arial" w:cs="Arial" w:eastAsia="Arial" w:hAnsi="Arial"/>
          <w:sz w:val="17"/>
          <w:szCs w:val="17"/>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$3.7 million in increased stock-based compensation expenses;</w:t>
      </w:r>
    </w:p>
    <w:p>
      <w:pPr>
        <w:spacing w:after="0" w:line="144" w:lineRule="exact"/>
        <w:rPr>
          <w:rFonts w:ascii="Arial" w:cs="Arial" w:eastAsia="Arial" w:hAnsi="Arial"/>
          <w:sz w:val="18"/>
          <w:szCs w:val="18"/>
          <w:color w:val="auto"/>
        </w:rPr>
      </w:pPr>
    </w:p>
    <w:p>
      <w:pPr>
        <w:ind w:left="980" w:right="160" w:hanging="329"/>
        <w:spacing w:after="0" w:line="235"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$3.7 million in increased employee compensation cost, resulting from an increase in the size of our workforce and the hiring of key executives in 2016;</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$2.3 million in increased professional service expenses; and</w:t>
      </w:r>
    </w:p>
    <w:p>
      <w:pPr>
        <w:spacing w:after="0" w:line="144" w:lineRule="exact"/>
        <w:rPr>
          <w:rFonts w:ascii="Arial" w:cs="Arial" w:eastAsia="Arial" w:hAnsi="Arial"/>
          <w:sz w:val="18"/>
          <w:szCs w:val="18"/>
          <w:color w:val="auto"/>
        </w:rPr>
      </w:pPr>
    </w:p>
    <w:p>
      <w:pPr>
        <w:ind w:left="980" w:right="100" w:hanging="329"/>
        <w:spacing w:after="0" w:line="289"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approximately $1.9 million in increased other general and administrative expenses including office and facility related costs resulting from our move to our new corporate headquarters during the fourth quarter of 2016.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44" w:lineRule="exact"/>
        <w:rPr>
          <w:sz w:val="20"/>
          <w:szCs w:val="20"/>
          <w:color w:val="auto"/>
        </w:rPr>
      </w:pPr>
    </w:p>
    <w:p>
      <w:pPr>
        <w:ind w:right="360" w:firstLine="648"/>
        <w:spacing w:after="0" w:line="238" w:lineRule="auto"/>
        <w:rPr>
          <w:sz w:val="20"/>
          <w:szCs w:val="20"/>
          <w:color w:val="auto"/>
        </w:rPr>
      </w:pPr>
      <w:r>
        <w:rPr>
          <w:rFonts w:ascii="Arial" w:cs="Arial" w:eastAsia="Arial" w:hAnsi="Arial"/>
          <w:sz w:val="17"/>
          <w:szCs w:val="17"/>
          <w:color w:val="auto"/>
        </w:rPr>
        <w:t>For the year ended December 31, 2016, other income (expense), net was income of $5 thousand, which was primarily attributable to interest income earned on our cash equivalents and government grant income, partially offset by interest expense on our construction financing lease obligation and loss on disposal of equipment.</w:t>
      </w:r>
    </w:p>
    <w:p>
      <w:pPr>
        <w:spacing w:after="0" w:line="121" w:lineRule="exact"/>
        <w:rPr>
          <w:sz w:val="20"/>
          <w:szCs w:val="20"/>
          <w:color w:val="auto"/>
        </w:rPr>
      </w:pPr>
    </w:p>
    <w:p>
      <w:pPr>
        <w:jc w:val="both"/>
        <w:ind w:right="280" w:firstLine="648"/>
        <w:spacing w:after="0" w:line="189" w:lineRule="exact"/>
        <w:rPr>
          <w:sz w:val="20"/>
          <w:szCs w:val="20"/>
          <w:color w:val="auto"/>
        </w:rPr>
      </w:pPr>
      <w:r>
        <w:rPr>
          <w:rFonts w:ascii="Arial" w:cs="Arial" w:eastAsia="Arial" w:hAnsi="Arial"/>
          <w:sz w:val="17"/>
          <w:szCs w:val="17"/>
          <w:color w:val="auto"/>
        </w:rPr>
        <w:t>For the year ended December 31, 2015, other income (expense), net was an expense of $37.6 million, which was primarily related to mark</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market adjustments in our Series A preferred stock tranche right liability and mark</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market adjustments for the anti</w:t>
      </w:r>
      <w:r>
        <w:rPr>
          <w:rFonts w:ascii="MS PGothic" w:cs="MS PGothic" w:eastAsia="MS PGothic" w:hAnsi="MS PGothic"/>
          <w:sz w:val="17"/>
          <w:szCs w:val="17"/>
          <w:color w:val="auto"/>
        </w:rPr>
        <w:t>‑</w:t>
      </w:r>
      <w:r>
        <w:rPr>
          <w:rFonts w:ascii="Arial" w:cs="Arial" w:eastAsia="Arial" w:hAnsi="Arial"/>
          <w:sz w:val="17"/>
          <w:szCs w:val="17"/>
          <w:color w:val="auto"/>
        </w:rPr>
        <w:t>dilution protection liability related to our issuance of common stock to our licensors. The tranche right liability and anti</w:t>
      </w:r>
      <w:r>
        <w:rPr>
          <w:rFonts w:ascii="MS PGothic" w:cs="MS PGothic" w:eastAsia="MS PGothic" w:hAnsi="MS PGothic"/>
          <w:sz w:val="17"/>
          <w:szCs w:val="17"/>
          <w:color w:val="auto"/>
        </w:rPr>
        <w:t>‑</w:t>
      </w:r>
      <w:r>
        <w:rPr>
          <w:rFonts w:ascii="Arial" w:cs="Arial" w:eastAsia="Arial" w:hAnsi="Arial"/>
          <w:sz w:val="17"/>
          <w:szCs w:val="17"/>
          <w:color w:val="auto"/>
        </w:rPr>
        <w:t>dilution liability were both settled in June 2015.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44" w:lineRule="exact"/>
        <w:rPr>
          <w:sz w:val="20"/>
          <w:szCs w:val="20"/>
          <w:color w:val="auto"/>
        </w:rPr>
      </w:pPr>
    </w:p>
    <w:p>
      <w:pPr>
        <w:jc w:val="both"/>
        <w:ind w:right="200" w:firstLine="648"/>
        <w:spacing w:after="0" w:line="229" w:lineRule="auto"/>
        <w:rPr>
          <w:sz w:val="20"/>
          <w:szCs w:val="20"/>
          <w:color w:val="auto"/>
        </w:rPr>
      </w:pPr>
      <w:r>
        <w:rPr>
          <w:rFonts w:ascii="Arial" w:cs="Arial" w:eastAsia="Arial" w:hAnsi="Arial"/>
          <w:sz w:val="17"/>
          <w:szCs w:val="17"/>
          <w:color w:val="auto"/>
        </w:rPr>
        <w:t>From inception through December 31, 2017, we funded our operations primarily through proceeds from private placements of our preferred stock of $163.3 million, net proceeds of $251.4 million from public offerings of our common stock, the Allergan Upfront, and an up-front payment, research and development payments, and milestone payments under our collaboration with Juno Therapeutics of $25.0 million, $8.1 million and $5.0 million, respectively. As of December 31, 2017, we had cash, cash equivalents, and marketable securities of $329.1 million.</w:t>
      </w:r>
    </w:p>
    <w:p>
      <w:pPr>
        <w:spacing w:after="0" w:line="121"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In addition to our existing cash, cash equivalents, and marketable securities, we are eligible to earn milestone payments and are entitled to cost reimbursement under our collaboration agreement with Juno Therapeutics. Additionally, under our strategic alliance with Allergan, we are eligible to earn milestone payments. Our ability to earn the milestone payments and the timing of earning these amounts are dependent upon the timing and outcome of our development, regulatory and commercial activities, as well as whether Allergan exercises any of its options under the strategic alliance, and, as such, are uncertain at this time. As of December 31, 2017, our right to payments under our collaboration agreement with Juno Therapeutics and our strategic alliance with Allergan, and payments from our subtenant were our only significant committed potential external sources of funds.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w:t>
      </w:r>
    </w:p>
    <w:p>
      <w:pPr>
        <w:spacing w:after="0" w:line="50"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In March 2017, we entered into a sales agreement with Cowen and Company LLC (“Cowen”), under which we were able from time to time to issue and sell shares of our common stock through Cowen in at-the-market offerings for aggregate gross sales proceeds of $50.0 million. In January 2018, we sold 1,429,205 shares of our common stock to Cowen at a weighted-average price of $34.99 per share for gross proceeds of $50.0 million. We paid a 3% cash commission on the gross sales price per share of common stock sold resulting in us our receiving net proceeds from the offering of approximately $48.5 million. Following these sales, no shares of common stock remained available for sale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under the sales agreement. Shares sold pursuant to the sales agreement were sold pursuant to a shelf registration statement, which became effective on March 15, 2017.</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44"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In December 2016, in connection with our entry into our Cpf1 license agreement with the Broad (the “Cpf1 License Agreement”), we issued promissory notes (the “Initial Notes”) in an aggregate original principal amount of $10.0 million to Broad and Wageningen. We fully settled the outstanding principal and accrued interest on the Initial Notes by paying $0.2 million in cash to Wageningen in August 2017 and issuing 108,104 shares and 371,166 shares of common stock to Broad in August 2017 and September 2017, respectively, in connection with such settlement. Upon such issuance and payment, the Initial Notes were cancelled.</w:t>
      </w:r>
    </w:p>
    <w:p>
      <w:pPr>
        <w:spacing w:after="0" w:line="122"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In March 2017, a success payment in the amount of $5.0 million under our Cpf1 License Agreement became due upon our market capitalization reaching $750 million, and we issued promissory notes to Broad and Wageningen in the aggregate original principal amount of $5.0 million (the “March Notes”). In August 2017, we issued an aggregate of 271,347 shares of our common stock to Broad and paid $0.4 million to Wageningen as payment of all outstanding principal and interest under the March Notes. Upon such issuance and payment, the March Notes were cancelled. In September 2017, Wageningen designated Broad as the recipient of any future promissory notes that are owed to Wageningen pursuant to the Cpf1 License Agreement.</w:t>
      </w:r>
    </w:p>
    <w:p>
      <w:pPr>
        <w:spacing w:after="0" w:line="125"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color w:val="auto"/>
        </w:rPr>
        <w:t>In December 2017, success payments in the aggregate amount of $7.5 million under our Cpf1 License Agreement and our Cas9-II license agreement with the Broad (the “Cas9-II License Agreement”) became due upon our market capitalization reaching $1.0 billion for a specified period of time, and we issued promissory notes to Broad in the aggregate original principal amount of $7.5 million (the “December Notes”). In January 2018, we issued an aggregate of 225,909 shares of our common stock to Broad as payment of all outstanding principal and interest under the December Notes. Upon such issuance, the December Notes were cancelled.</w:t>
      </w:r>
    </w:p>
    <w:p>
      <w:pPr>
        <w:spacing w:after="0" w:line="122"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Under the terms of the Cpf1 License Agreement and Cas9-II License Agreement, we may be required to issue additional promissory notes in connection with the achievement of success payment criteria. See Note 8 to our consolidated financial statements for more information regarding such success payment criteria.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44"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2017, 2016 and 2015, respectively (in thousands):</w:t>
      </w:r>
    </w:p>
    <w:p>
      <w:pPr>
        <w:spacing w:after="0" w:line="117"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Year Ended</w:t>
      </w:r>
    </w:p>
    <w:p>
      <w:pPr>
        <w:ind w:left="694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54"/>
              <w:spacing w:after="0" w:line="136"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tcPr>
          <w:p>
            <w:pPr>
              <w:ind w:left="200"/>
              <w:spacing w:after="0" w:line="176" w:lineRule="exact"/>
              <w:rPr>
                <w:sz w:val="20"/>
                <w:szCs w:val="20"/>
                <w:color w:val="auto"/>
              </w:rPr>
            </w:pPr>
            <w:r>
              <w:rPr>
                <w:rFonts w:ascii="Arial" w:cs="Arial" w:eastAsia="Arial" w:hAnsi="Arial"/>
                <w:sz w:val="18"/>
                <w:szCs w:val="18"/>
                <w:color w:val="auto"/>
              </w:rPr>
              <w:t>Operating activities</w:t>
            </w:r>
          </w:p>
        </w:tc>
        <w:tc>
          <w:tcPr>
            <w:tcW w:w="11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(9,417)</w:t>
            </w:r>
          </w:p>
        </w:tc>
        <w:tc>
          <w:tcPr>
            <w:tcW w:w="46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(50,246)</w:t>
            </w:r>
          </w:p>
        </w:tc>
        <w:tc>
          <w:tcPr>
            <w:tcW w:w="32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(183,810)</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(3,473)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tcBorders>
              <w:bottom w:val="single" w:sz="8" w:color="CCEEFF"/>
            </w:tcBorders>
          </w:tcPr>
          <w:p>
            <w:pPr>
              <w:ind w:left="200"/>
              <w:spacing w:after="0" w:line="176" w:lineRule="exact"/>
              <w:rPr>
                <w:sz w:val="20"/>
                <w:szCs w:val="20"/>
                <w:color w:val="auto"/>
              </w:rPr>
            </w:pPr>
            <w:r>
              <w:rPr>
                <w:rFonts w:ascii="Arial" w:cs="Arial" w:eastAsia="Arial" w:hAnsi="Arial"/>
                <w:sz w:val="18"/>
                <w:szCs w:val="18"/>
                <w:color w:val="auto"/>
              </w:rPr>
              <w:t>Financing activities</w:t>
            </w:r>
          </w:p>
        </w:tc>
        <w:tc>
          <w:tcPr>
            <w:tcW w:w="9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154,534</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97,161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139,391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(38,693)</w:t>
            </w:r>
          </w:p>
        </w:tc>
        <w:tc>
          <w:tcPr>
            <w:tcW w:w="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43,442</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132,517</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44"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Net cash used in operating activities was approximately $9.4 million for the year ended December 31, 2017, and consisted primarily of a net loss of $120.3 million adjusted for non-cash items, including stock-based compensation expenses of $23.4 million, non-cash research and development expenses of $14.5 million, depreciation expense of $2.7 million, other non-cash items income of $0.3 million, and a net change in operating assets and liabilities of $70.6 million. The change in operating assets and liabilities was primarily related to an increase in deferred revenue of $81.7 million, primarily related to receiving the Allergan Upfront, partially offset by a decrease of $8.3 million in accrued expenses, a decrease of $1.5 million in accounts payable, an increase in accounts receivable of $0.6 million, and an increase in prepaid expenses and other current assets of $0.6 million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Net cash used in operating activities was $50.2 million for the year ended December 31, 2016, and consisted primarily of a net loss of $97.2 million adjusted for non-cash items, including stock-based compensation expenses of $16.9 million, non-cash research and development expenses of $10.0 million, depreciation expense of $1.2 million, other non-cash items expense of $0.9 million, re-measurement of warrant to purchase redeemable securities of $0.1 million, and a net change in operating assets and liabilities of $17.9 million. The change in operating assets and liabilities was related to an increase in accrued expenses of $11.8 million, an increase in accounts payable of $3.3 million, a decrease in non-current assets of $2.2 million, an increase in deferred revenue of $0.9 million, and a decrease in accounts receivable of $0.9 million, partially offset by an increase in prepaid expenses and other current assets of $1.3 million.</w:t>
      </w:r>
    </w:p>
    <w:p>
      <w:pPr>
        <w:spacing w:after="0" w:line="127"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Net cash used in operating activities was $5.4 million for the year ended December 31, 2015, and consisted primarily of a net loss of $72.9 million adjusted for non-cash items, including mark to market of our preferred stock tranche liability, anti-dilutive protection liability, and warrant liability of $37.4 million, stock-based compensation expenses of $3.5 million, depreciation expense of $0.5 million, other non-cash items expense of $0.1 million, and a net change in operating assets and liabilities of $26.0 million. The change in operating assets and liabilities was related to an increase in deferred revenue of $25.3 million, primarily related to receiving the upfront payment under our collaboration agreement with Juno Therapeutics, and an increase in accrued expenses of $3.5 million, partially offset by a decrease in accounts payable of $1.4 million, an increase in accounts receivable of $1.0 million, and an increase in prepaid expenses and other current assets of $0.4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Net cash used in investing activities was approximately $183.8 million for the year ended December 31, 2017, and consisted of expenses to purchase marketable securities of $375.3 million and acquisitions of equipment of $2.1 million, partially offset by proceeds from maturities of marketable securities of $193.5 million.</w:t>
      </w:r>
    </w:p>
    <w:p>
      <w:pPr>
        <w:spacing w:after="0" w:line="123"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Net cash used in investing activities was $3.5 million for the year ended December 31, 2016 and consisted primarily of acquisitions of equipment.</w:t>
      </w:r>
    </w:p>
    <w:p>
      <w:pPr>
        <w:spacing w:after="0" w:line="121"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Net cash used in investing activities was $1.4 million for the year ended December 31, 2015 and consisted primarily of acquisitions of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44"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Net cash provided by financing activities was approximately $154.5 million for the year ended December 31, 2017, primarily related to $154.1 million in proceeds received from public offerings of common stock, net of issuance costs that were paid as of December 31, 2017, and $1.8 million in proceeds from exercises of options for our common stock, partially offset by payments on our construction financing obligation of $0.8 million and payments on our promissory notes of $0.6 million.</w:t>
      </w:r>
    </w:p>
    <w:p>
      <w:pPr>
        <w:spacing w:after="0" w:line="122"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6"/>
          <w:szCs w:val="16"/>
          <w:color w:val="auto"/>
        </w:rPr>
        <w:t>Net cash provided by financing activities was approximately $97.2 million for the year ended December 31, 2016 and primarily related to $97.5 million in proceeds received from our IPO, net of issuance costs, and proceeds from exercise of stock options of $0.2 million, partially offset by payments on our construction financing obligation of $0.6 million.</w:t>
      </w:r>
    </w:p>
    <w:p>
      <w:pPr>
        <w:spacing w:after="0" w:line="107"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Net cash provided by financing activities was approximately $139.4 million for the year ended December 31, 2015 and primarily consisted of proceeds of $141.7 million related to the issuance of Series A-2 and Series B preferred stock and received proceeds of $1.5 million from our equipment loan, partially offset by payments on our equipment loan of $2.0 million, fees related to our IPO of $1.7 million, and payments of the final fee for our loan payoff of $0.1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ind w:right="40" w:firstLine="648"/>
        <w:spacing w:after="0" w:line="258" w:lineRule="auto"/>
        <w:rPr>
          <w:sz w:val="20"/>
          <w:szCs w:val="20"/>
          <w:color w:val="auto"/>
        </w:rPr>
      </w:pPr>
      <w:r>
        <w:rPr>
          <w:rFonts w:ascii="Arial" w:cs="Arial" w:eastAsia="Arial" w:hAnsi="Arial"/>
          <w:sz w:val="17"/>
          <w:szCs w:val="17"/>
          <w:color w:val="auto"/>
        </w:rPr>
        <w:t>We expect our expenses to increase in connection with our ongoing activities, particularly as we further advance our current research programs and our preclinical development activities; seek to identify product candidates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and additional research programs; initiate preclinical testing and clinical trials for any product candidates we identify and develop; maintain, expand, and protect our intellectual property portfolio, including reimbursing our licensors for expenses related to the intellectual property that we in-license from such licensors; hire additional clinical, quality control, and scientific personnel; and incur additional costs associated with operating as a public company. In addition, if we obtain marketing approval for any product candidate that we identify and develop, we expect to incur significant commercialization expenses related to product sales, marketing, manufacturing, and distribution to the extent that such sales, marketing, and distribution are not the responsibility of a collaborator. We do not expect to generate significant recurring revenue unless and until we obtain regulatory approval for and commercialize a product candidate. Furthermore, in 2016 and 2017 we incurred, and in future years we expect to continue to incur, significant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30"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expect that our existing cash, cash equivalents, and marketable securities at December 31, 2017, anticipated interest income, and anticipated research support under our collaboration agreement with Juno Therapeutics will enable us to fund our operating expenses and capital expenditure requirements for at least the next 24 months following the date of this Annual Report on Form 10-K. We have based our estimates on assumptions that may prove to be wrong, and we may use our available capital resources sooner than we currently expect. Our future capital requirements will depend on many factors, including:</w:t>
      </w:r>
    </w:p>
    <w:p>
      <w:pPr>
        <w:spacing w:after="0" w:line="122" w:lineRule="exact"/>
        <w:rPr>
          <w:sz w:val="20"/>
          <w:szCs w:val="20"/>
          <w:color w:val="auto"/>
        </w:rPr>
      </w:pPr>
    </w:p>
    <w:p>
      <w:pPr>
        <w:ind w:left="980" w:right="560" w:hanging="329"/>
        <w:spacing w:after="0" w:line="235"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the product candidates we may develop;</w:t>
      </w:r>
    </w:p>
    <w:p>
      <w:pPr>
        <w:spacing w:after="0" w:line="121" w:lineRule="exact"/>
        <w:rPr>
          <w:rFonts w:ascii="Arial" w:cs="Arial" w:eastAsia="Arial" w:hAnsi="Arial"/>
          <w:sz w:val="18"/>
          <w:szCs w:val="18"/>
          <w:color w:val="auto"/>
        </w:rPr>
      </w:pPr>
    </w:p>
    <w:p>
      <w:pPr>
        <w:ind w:left="980" w:right="300" w:hanging="329"/>
        <w:spacing w:after="0" w:line="203" w:lineRule="exact"/>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144" w:lineRule="exact"/>
        <w:rPr>
          <w:rFonts w:ascii="Arial" w:cs="Arial" w:eastAsia="Arial" w:hAnsi="Arial"/>
          <w:sz w:val="18"/>
          <w:szCs w:val="18"/>
          <w:color w:val="auto"/>
        </w:rPr>
      </w:pPr>
    </w:p>
    <w:p>
      <w:pPr>
        <w:ind w:left="980" w:right="860" w:hanging="329"/>
        <w:spacing w:after="0" w:line="258"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and distribution, for any product candidates for which we receive regulatory approval;</w:t>
      </w:r>
    </w:p>
    <w:p>
      <w:pPr>
        <w:spacing w:after="0" w:line="106" w:lineRule="exact"/>
        <w:rPr>
          <w:rFonts w:ascii="Arial" w:cs="Arial" w:eastAsia="Arial" w:hAnsi="Arial"/>
          <w:sz w:val="17"/>
          <w:szCs w:val="17"/>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our collaboration with Juno Therapeutics and our strategic alliance with Allergan;</w:t>
      </w:r>
    </w:p>
    <w:p>
      <w:pPr>
        <w:spacing w:after="0" w:line="144" w:lineRule="exact"/>
        <w:rPr>
          <w:rFonts w:ascii="Arial" w:cs="Arial" w:eastAsia="Arial" w:hAnsi="Arial"/>
          <w:sz w:val="18"/>
          <w:szCs w:val="18"/>
          <w:color w:val="auto"/>
        </w:rPr>
      </w:pPr>
    </w:p>
    <w:p>
      <w:pPr>
        <w:ind w:left="980" w:right="60" w:hanging="329"/>
        <w:spacing w:after="0" w:line="235"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Juno Therapeutics exercises either or both of its options to extend the research program term under our collaboration (each of which would trigger an extension payment to us);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Allergan exercises any of its options under our strategic alliance;</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4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medicines and technologies;</w:t>
      </w:r>
    </w:p>
    <w:p>
      <w:pPr>
        <w:spacing w:after="0" w:line="14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of reimbursing our licensors for the prosecution and maintenance of the patent rights in-licensed by us; and</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44"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Identifying potential product candidates and conducting preclinical studies and clinical trials is a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many years to complete, and we may never generate the necessary data or results required to obtain marketing approval and achieve product sales. In addition, any product candidate that we identify and develop, if approved, may not achieve commercial success. Our commercial revenues, if any, will be derived from sales of genomic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2"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our stockholders’ ownership interests will be diluted, and the terms of these securities may include liquidation or other preferences that adversely affect the rights of our stockholders. Debt financing, if available, may involve agreements that include covenants limiting or restricting our ability to take specific actions, such as incurring additional debt, making capital expenditures, or declaring dividends.</w:t>
      </w:r>
    </w:p>
    <w:p>
      <w:pPr>
        <w:spacing w:after="0" w:line="125"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w:t>
      </w:r>
    </w:p>
    <w:p>
      <w:pPr>
        <w:spacing w:after="0"/>
        <w:rPr>
          <w:sz w:val="20"/>
          <w:szCs w:val="20"/>
          <w:color w:val="auto"/>
        </w:rPr>
      </w:pPr>
      <w:r>
        <w:rPr>
          <w:rFonts w:ascii="Arial" w:cs="Arial" w:eastAsia="Arial" w:hAnsi="Arial"/>
          <w:sz w:val="18"/>
          <w:szCs w:val="18"/>
          <w:color w:val="auto"/>
        </w:rPr>
        <w:t>December 31, 2017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Less Than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More than</w:t>
            </w:r>
          </w:p>
        </w:tc>
      </w:tr>
      <w:tr>
        <w:trPr>
          <w:trHeight w:val="171"/>
        </w:trPr>
        <w:tc>
          <w:tcPr>
            <w:tcW w:w="228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9"/>
              </w:rPr>
              <w:t>1 Year</w:t>
            </w: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1 to 3 Years</w:t>
            </w: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3 to 5 Years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8"/>
              </w:rPr>
              <w:t>5 Years</w:t>
            </w:r>
          </w:p>
        </w:tc>
      </w:tr>
      <w:tr>
        <w:trPr>
          <w:trHeight w:val="169"/>
        </w:trPr>
        <w:tc>
          <w:tcPr>
            <w:tcW w:w="47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Success payment and notes payable</w:t>
            </w:r>
            <w:r>
              <w:rPr>
                <w:rFonts w:ascii="Arial" w:cs="Arial" w:eastAsia="Arial" w:hAnsi="Arial"/>
                <w:sz w:val="8"/>
                <w:szCs w:val="8"/>
                <w:color w:val="auto"/>
              </w:rPr>
              <w:t>(1)</w:t>
            </w: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9,500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9,500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400"/>
              <w:spacing w:after="0" w:line="170" w:lineRule="exact"/>
              <w:rPr>
                <w:sz w:val="20"/>
                <w:szCs w:val="20"/>
                <w:color w:val="auto"/>
              </w:rPr>
            </w:pPr>
            <w:r>
              <w:rPr>
                <w:rFonts w:ascii="Arial" w:cs="Arial" w:eastAsia="Arial" w:hAnsi="Arial"/>
                <w:sz w:val="18"/>
                <w:szCs w:val="18"/>
                <w:color w:val="auto"/>
              </w:rPr>
              <w:t>—</w:t>
            </w:r>
          </w:p>
        </w:tc>
      </w:tr>
      <w:tr>
        <w:trPr>
          <w:trHeight w:val="176"/>
        </w:trPr>
        <w:tc>
          <w:tcPr>
            <w:tcW w:w="478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Operating lease obligations</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0"/>
              </w:rPr>
              <w:t>25,100</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4,055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4"/>
              </w:rPr>
              <w:t>12,774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8,271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00"/>
              <w:spacing w:after="0" w:line="176" w:lineRule="exact"/>
              <w:rPr>
                <w:sz w:val="20"/>
                <w:szCs w:val="20"/>
                <w:color w:val="auto"/>
              </w:rPr>
            </w:pPr>
            <w:r>
              <w:rPr>
                <w:rFonts w:ascii="Arial" w:cs="Arial" w:eastAsia="Arial" w:hAnsi="Arial"/>
                <w:sz w:val="18"/>
                <w:szCs w:val="18"/>
                <w:color w:val="auto"/>
              </w:rPr>
              <w:t>—</w:t>
            </w:r>
          </w:p>
        </w:tc>
      </w:tr>
      <w:tr>
        <w:trPr>
          <w:trHeight w:val="176"/>
        </w:trPr>
        <w:tc>
          <w:tcPr>
            <w:tcW w:w="478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34,600</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13,555</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4"/>
              </w:rPr>
              <w:t>12,774</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8,271</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ind w:left="400"/>
              <w:spacing w:after="0" w:line="170" w:lineRule="exact"/>
              <w:rPr>
                <w:sz w:val="20"/>
                <w:szCs w:val="20"/>
                <w:color w:val="auto"/>
              </w:rPr>
            </w:pPr>
            <w:r>
              <w:rPr>
                <w:rFonts w:ascii="Arial" w:cs="Arial" w:eastAsia="Arial" w:hAnsi="Arial"/>
                <w:sz w:val="18"/>
                <w:szCs w:val="18"/>
                <w:color w:val="auto"/>
              </w:rPr>
              <w:t>—</w:t>
            </w:r>
          </w:p>
        </w:tc>
      </w:tr>
      <w:tr>
        <w:trPr>
          <w:trHeight w:val="108"/>
        </w:trPr>
        <w:tc>
          <w:tcPr>
            <w:tcW w:w="22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80" w:lineRule="exact"/>
        <w:rPr>
          <w:sz w:val="20"/>
          <w:szCs w:val="20"/>
          <w:color w:val="auto"/>
        </w:rPr>
      </w:pPr>
    </w:p>
    <w:p>
      <w:pPr>
        <w:ind w:left="660" w:right="40" w:hanging="657"/>
        <w:spacing w:after="0" w:line="21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January 2018, we issued an aggregate of 80,000 shares of our common stock as payment of the $2.0 million success payment owed to MGH. In January 2018, we issued an aggregate of 225,909 shares of our common stock to the Broad as payment of all outstanding principal and interest under the notes payable in the aggregate original principal amount of $7.5 million and such notes were cancelled.</w:t>
      </w:r>
    </w:p>
    <w:p>
      <w:pPr>
        <w:spacing w:after="0" w:line="163"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The table above does not include potential milestone and success fees, sublicense fees, royalty fees, licensing maintenance fees, and reimbursement of patent maintenance costs that we may be required to pay under agreements we have entered into with certain institutions to license intellectual property.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milestones. We have not included such potential obligations in the table above because they are contingent upon the occurrence of future events and the timing and likelihood of such potential obligations are not known with certainty. For further information regarding these agreements, please see “Business—Our Collaborations and Licensing Strategy.”</w:t>
      </w:r>
    </w:p>
    <w:p>
      <w:pPr>
        <w:spacing w:after="0" w:line="16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 xml:space="preserve">Pursuant to the license agreement with respect to Cas9 that we entered into with Broad and the President and Fellows of Harvard College (“Harvard”) in October 2014, as amended and restated in December 2016 and as further amended in March 2017 (the “Cas9-I License Agreement”), the Cpf1 License Agreement, and the Cas9-II License Agreement, we have incurred an aggregate of $18.2 million, $23.1 million, and $9.4 million in expense during the years ended December 31, 2017, 2016 and 2015, respectively, for reimbursement of expenses associated with the prosecution and maintenance of the patents and patent applications licensed to us under such license agreements, including expenses associated with any interference proceedings in the United States Patent and Trademark Office, any opposition proceedings in the European Patent Office or any other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or other post grant proceedings in these or other jurisdictions where we are seeking patent protection (described in more detail in “Business—Our Collaborations and Licensing Strategy”). Given the interference and opposition proceedings involving the patents licensed to us under the Cas9-I License Agreement are ongoing (described in more detail under “—Legal Proceedings” in Part I, Item 3 of this Annual Report on Form 10-K), we anticipate that our obligation to reimburse Broad and Harvard under the Cas9-I</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License Agreement for these expenses during future periods will be substantial until such interference and opposition proceedings are resolved.</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Under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Broad and Harvard are collectively entitled to receive clinical and regulatory milestone payments totaling up to $14.8 million in the aggregate per licensed product approved in the United States, the European Union, and Japan for the prevention or treatment of a human disease that afflicts at least a specified number of patients in the aggregate in the United States. If we undergo a change of control during the term of this license agreement, these clinical and regulatory milestone payments will be increased by a certain percentage in the mid double</w:t>
      </w:r>
      <w:r>
        <w:rPr>
          <w:rFonts w:ascii="MS PGothic" w:cs="MS PGothic" w:eastAsia="MS PGothic" w:hAnsi="MS PGothic"/>
          <w:sz w:val="16"/>
          <w:szCs w:val="16"/>
          <w:color w:val="auto"/>
        </w:rPr>
        <w:t>‑</w:t>
      </w:r>
      <w:r>
        <w:rPr>
          <w:rFonts w:ascii="Arial" w:cs="Arial" w:eastAsia="Arial" w:hAnsi="Arial"/>
          <w:sz w:val="16"/>
          <w:szCs w:val="16"/>
          <w:color w:val="auto"/>
        </w:rPr>
        <w:t>digits. We are also obligated to make additional payments to Broad and Harvard, collectively, of up to an aggregate of $54.0 million upon the occurrence of certain sales milestones per licensed product for the prevention or treatment of a human disease that afflicts at least a specified number of patients in the aggregate in the United States. Broad and Harvard are collectively entitled to receive clinical and regulatory milestone payments totaling up to $4.1 million in the aggregate per licensed product approved in the United States and at least one jurisdiction outside the United States for the prevention or treatment of a human disease that afflicts fewer than a specified number of patients in the aggregate in the United States or a specified number of patients per year in the United States, which we refer to as an ultra</w:t>
      </w:r>
      <w:r>
        <w:rPr>
          <w:rFonts w:ascii="MS PGothic" w:cs="MS PGothic" w:eastAsia="MS PGothic" w:hAnsi="MS PGothic"/>
          <w:sz w:val="16"/>
          <w:szCs w:val="16"/>
          <w:color w:val="auto"/>
        </w:rPr>
        <w:t>‑</w:t>
      </w:r>
      <w:r>
        <w:rPr>
          <w:rFonts w:ascii="Arial" w:cs="Arial" w:eastAsia="Arial" w:hAnsi="Arial"/>
          <w:sz w:val="16"/>
          <w:szCs w:val="16"/>
          <w:color w:val="auto"/>
        </w:rPr>
        <w:t>orphan disease. We are also obligated to make additional payments to Broad and Harvard, collectively, of up to an aggregate of $36.0 million upon the occurrence of certain sales milestones per licensed product for the prevention or treatment of an ultra</w:t>
      </w:r>
      <w:r>
        <w:rPr>
          <w:rFonts w:ascii="MS PGothic" w:cs="MS PGothic" w:eastAsia="MS PGothic" w:hAnsi="MS PGothic"/>
          <w:sz w:val="16"/>
          <w:szCs w:val="16"/>
          <w:color w:val="auto"/>
        </w:rPr>
        <w:t>‑</w:t>
      </w:r>
      <w:r>
        <w:rPr>
          <w:rFonts w:ascii="Arial" w:cs="Arial" w:eastAsia="Arial" w:hAnsi="Arial"/>
          <w:sz w:val="16"/>
          <w:szCs w:val="16"/>
          <w:color w:val="auto"/>
        </w:rPr>
        <w:t>orphan disease.</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Under the Cpf1 License Agreement, Broad and Wageningen University (“Wageningen”) are collectively entitled to receive clinical and regulatory milestone payments totaling up to $20.0 million in the aggregate per licensed product approved in the United States, the European Union and Japan for the prevention or treatment of a human disease that afflicts at least a specified number of patients in the aggregate in the United States. If we undergo a change of control during the term of the Cpf1 License Agreement, certain of these clinical and regulatory milestone payments will be increased by a certain percentage in the mid double</w:t>
      </w:r>
      <w:r>
        <w:rPr>
          <w:rFonts w:ascii="MS PGothic" w:cs="MS PGothic" w:eastAsia="MS PGothic" w:hAnsi="MS PGothic"/>
          <w:sz w:val="17"/>
          <w:szCs w:val="17"/>
          <w:color w:val="auto"/>
        </w:rPr>
        <w:t>‑</w:t>
      </w:r>
      <w:r>
        <w:rPr>
          <w:rFonts w:ascii="Arial" w:cs="Arial" w:eastAsia="Arial" w:hAnsi="Arial"/>
          <w:sz w:val="17"/>
          <w:szCs w:val="17"/>
          <w:color w:val="auto"/>
        </w:rPr>
        <w:t>digits. We are also obligated to make additional payments to Broad and Wageningen, collectively, of up to an aggregate of $54.0 million upon the occurrence of certain sales milestones per licensed product for the prevention or treatment of a human disease that afflicts at least a specified number of patients in the aggregate in the United States. Broad and Wageningen are collectively entitled to receive clinical and regulatory milestone payments totaling up to $6.0 million in the aggregate per licensed product approved in the United States, the European Union and Japan for the prevention or treatment of an ultra</w:t>
      </w:r>
      <w:r>
        <w:rPr>
          <w:rFonts w:ascii="MS PGothic" w:cs="MS PGothic" w:eastAsia="MS PGothic" w:hAnsi="MS PGothic"/>
          <w:sz w:val="17"/>
          <w:szCs w:val="17"/>
          <w:color w:val="auto"/>
        </w:rPr>
        <w:t>‑</w:t>
      </w:r>
      <w:r>
        <w:rPr>
          <w:rFonts w:ascii="Arial" w:cs="Arial" w:eastAsia="Arial" w:hAnsi="Arial"/>
          <w:sz w:val="17"/>
          <w:szCs w:val="17"/>
          <w:color w:val="auto"/>
        </w:rPr>
        <w:t>orphan disease. We are also obligated to make additional payments to Broad and Wageningen, collectively, of up to an aggregate of $36.0 million upon the occurrence of certain sales milestones per licensed product for the prevention or treatment of an ultra</w:t>
      </w:r>
      <w:r>
        <w:rPr>
          <w:rFonts w:ascii="MS PGothic" w:cs="MS PGothic" w:eastAsia="MS PGothic" w:hAnsi="MS PGothic"/>
          <w:sz w:val="17"/>
          <w:szCs w:val="17"/>
          <w:color w:val="auto"/>
        </w:rPr>
        <w:t>‑</w:t>
      </w:r>
      <w:r>
        <w:rPr>
          <w:rFonts w:ascii="Arial" w:cs="Arial" w:eastAsia="Arial" w:hAnsi="Arial"/>
          <w:sz w:val="17"/>
          <w:szCs w:val="17"/>
          <w:color w:val="auto"/>
        </w:rPr>
        <w:t>orphan disease.</w:t>
      </w:r>
    </w:p>
    <w:p>
      <w:pPr>
        <w:spacing w:after="0" w:line="169"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8"/>
          <w:szCs w:val="18"/>
          <w:color w:val="auto"/>
        </w:rPr>
        <w:t>Under the Cas9</w:t>
      </w:r>
      <w:r>
        <w:rPr>
          <w:rFonts w:ascii="MS PGothic" w:cs="MS PGothic" w:eastAsia="MS PGothic" w:hAnsi="MS PGothic"/>
          <w:sz w:val="18"/>
          <w:szCs w:val="18"/>
          <w:color w:val="auto"/>
        </w:rPr>
        <w:t>‑</w:t>
      </w:r>
      <w:r>
        <w:rPr>
          <w:rFonts w:ascii="Arial" w:cs="Arial" w:eastAsia="Arial" w:hAnsi="Arial"/>
          <w:sz w:val="18"/>
          <w:szCs w:val="18"/>
          <w:color w:val="auto"/>
        </w:rPr>
        <w:t>II Agreement, we are obligated to pay clinical and regulatory milestone payments per licensed product approved in the United States, European Union and Japan for the prevention or treatment of a human disease that afflicts at least a specified number of patients in the aggregate in the United States totaling up to $3.7 million in the aggregate, and the sales milestone payments for any such licensed product totaling up to $13.5 million in the aggregate and clinical and regulatory milestone payments totaling up to $1.1 million in the aggregate per licensed product approved in the United States and the European Union or Japan for the prevention or treatment of a human disease that afflicts fewer than a specified number of patients in the United States, plus sales milestone payments of up to $9.0 million for any such licensed product.</w:t>
      </w:r>
    </w:p>
    <w:p>
      <w:pPr>
        <w:spacing w:after="0" w:line="165"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Under the Cpf1 License Agreement, Broad and Wageningen are also entitled, collectively, to receive success payments in the event our market capitalization reaches specified thresholds ascending from a high nine digit dollar amount to $10.0 billion (“Cpf1 Market Cap Success Payments”), or sale of our company for consideration in excess of those thresholds (“Cpf1 Company Sale Success Payments” and collectively with the Cpf1 Market Cap Success Payments, the “Cpf1 Success Payments”). The Cpf1 Success Payments that may be paid to Broad and Wageningen range from a mid seven digit dollar amount to a mid eight digit dollar amount, and collectively will not exceed, in aggregate, $125.0 million, which maximum would be payable only if we achieve a market capitalization threshold of $10.0 billion and have at least one product candidate covered by a specified claim of a patent right licensed to us or was the subject of a clinical trial pursuant to development efforts by us or any of our affiliates or sublicensees. Under the Cas9</w:t>
      </w:r>
      <w:r>
        <w:rPr>
          <w:rFonts w:ascii="MS PGothic" w:cs="MS PGothic" w:eastAsia="MS PGothic" w:hAnsi="MS PGothic"/>
          <w:sz w:val="16"/>
          <w:szCs w:val="16"/>
          <w:color w:val="auto"/>
        </w:rPr>
        <w:t>‑</w:t>
      </w:r>
      <w:r>
        <w:rPr>
          <w:rFonts w:ascii="Arial" w:cs="Arial" w:eastAsia="Arial" w:hAnsi="Arial"/>
          <w:sz w:val="16"/>
          <w:szCs w:val="16"/>
          <w:color w:val="auto"/>
        </w:rPr>
        <w:t>II Agreement, Broad is entitled to receive similar market cap success payments and company sale success payments in the event our market capitalization reaches specified thresholds ascending from a low ten digit dollar amount to $9.0 billion (“Cas9</w:t>
      </w:r>
      <w:r>
        <w:rPr>
          <w:rFonts w:ascii="MS PGothic" w:cs="MS PGothic" w:eastAsia="MS PGothic" w:hAnsi="MS PGothic"/>
          <w:sz w:val="16"/>
          <w:szCs w:val="16"/>
          <w:color w:val="auto"/>
        </w:rPr>
        <w:t>‑</w:t>
      </w:r>
      <w:r>
        <w:rPr>
          <w:rFonts w:ascii="Arial" w:cs="Arial" w:eastAsia="Arial" w:hAnsi="Arial"/>
          <w:sz w:val="16"/>
          <w:szCs w:val="16"/>
          <w:color w:val="auto"/>
        </w:rPr>
        <w:t>II Success Payments”). The Cas9</w:t>
      </w:r>
      <w:r>
        <w:rPr>
          <w:rFonts w:ascii="MS PGothic" w:cs="MS PGothic" w:eastAsia="MS PGothic" w:hAnsi="MS PGothic"/>
          <w:sz w:val="16"/>
          <w:szCs w:val="16"/>
          <w:color w:val="auto"/>
        </w:rPr>
        <w:t>‑</w:t>
      </w:r>
      <w:r>
        <w:rPr>
          <w:rFonts w:ascii="Arial" w:cs="Arial" w:eastAsia="Arial" w:hAnsi="Arial"/>
          <w:sz w:val="16"/>
          <w:szCs w:val="16"/>
          <w:color w:val="auto"/>
        </w:rPr>
        <w:t>II Success Payments range from a low seven digit dollar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181" w:lineRule="exact"/>
        <w:rPr>
          <w:sz w:val="20"/>
          <w:szCs w:val="20"/>
          <w:color w:val="auto"/>
        </w:rPr>
      </w:pPr>
      <w:r>
        <w:rPr>
          <w:rFonts w:ascii="Arial" w:cs="Arial" w:eastAsia="Arial" w:hAnsi="Arial"/>
          <w:sz w:val="17"/>
          <w:szCs w:val="17"/>
          <w:color w:val="auto"/>
        </w:rPr>
        <w:t>amount to a low eight digit dollar amount and that will not exceed, in aggregate, $30.0 million, which maximum would be owed only if we reach a market capitalization threshold of $9.0 billion and have at least one product candidate covered by a claim of a patent right licensed to us under either the Cas9</w:t>
      </w:r>
      <w:r>
        <w:rPr>
          <w:rFonts w:ascii="MS PGothic" w:cs="MS PGothic" w:eastAsia="MS PGothic" w:hAnsi="MS PGothic"/>
          <w:sz w:val="17"/>
          <w:szCs w:val="17"/>
          <w:color w:val="auto"/>
        </w:rPr>
        <w:t>‑</w:t>
      </w:r>
      <w:r>
        <w:rPr>
          <w:rFonts w:ascii="Arial" w:cs="Arial" w:eastAsia="Arial" w:hAnsi="Arial"/>
          <w:sz w:val="17"/>
          <w:szCs w:val="17"/>
          <w:color w:val="auto"/>
        </w:rPr>
        <w:t>II License Agreement or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that is or was the subject of a clinical trial pursuant to development efforts by us or any of our affiliates or sublicensees. Market cap success payments are payable by us in cash or in the form of promissory notes on substantially the same terms and conditions as the Notes, except that the maturity date of such notes will, subject to certain exceptions, be 150 days following issuance. Following a change in control of our company, market cap success payments are required to be made in cash. Company sale success payments are payable solely in cash. As discussed above, we have triggered a total of $12.5 million in success payments under the Cpf1 License Agreement and the Cas9-II License Agreement and the maximum amount payable by us for such success payments described above has been correspondingly reduced.</w:t>
      </w:r>
    </w:p>
    <w:p>
      <w:pPr>
        <w:spacing w:after="0" w:line="164"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Under the exclusive patent license agreement we entered into in August 2016 with MGH (the “Second MGH License Agreement”), we are required to pay annual license fees and make clinical and regulatory milestone payments totaling less than $1 million in the aggregate for up to four licensed products or processes upon achievement of specified clinical and regulatory milestones and commercial sales milestone payments totaling up to $4.9 million in the aggregate upon the achievement of milestones relating to the first commercial sales of up to four licensed products or processes, as well as milestones relating to annual net sales of products or processes meeting specified thresholds. We are also obligated to reimburse MGH for all patent costs and future reasonable costs associated with the prosecution, filing, and maintenance of the licensed patents. Under the Second MGH License Agreement, MGH is also entitled to receive certain payments in the event our market capitalization reaches specified thresholds ascending from the low ten digit dollar amount to $9.0 billion (“MGH Market Cap Success Payments”). The MGH Market Cap Success Payments payable to MGH range from a low seven digit dollar amount to a low eight digit dollar amount, and will not exceed $24.0 million in the aggregate, which maximum would be payable only if we achieve a market capitalization of $9.0 billion and if we have one licensed product that meets certain specified clinical or regulatory milestones. In addition, in the event of an asset sale or merger of our company to a third party for consideration in excess of one or more market capitalization thresholds, we must pay MGH all MGH Market Cap Success Payments corresponding to such market capitalization thresholds that have not previously been paid. In December 2017, an MGH Market Cap Success Payment of $2.0 million became due under our Second MGH License Agreement in connection with our market capitalization reaching $1.0 billion, which we settled in January 2018 through the issuance of 80,000 shares of our common stock to MGH.</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Under each of our license agreements with MGH and Broad, we also may be obligated to pay royalties of low single digit to low double digits as a percentage of net product sales depending on the terms of the applicable agreement.</w:t>
      </w:r>
    </w:p>
    <w:p>
      <w:pPr>
        <w:spacing w:after="0" w:line="124"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We enter into contracts in the normal course of business with contract research organizations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5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48" w:lineRule="exact"/>
        <w:rPr>
          <w:sz w:val="20"/>
          <w:szCs w:val="20"/>
          <w:color w:val="auto"/>
        </w:rPr>
      </w:pPr>
    </w:p>
    <w:p>
      <w:pPr>
        <w:ind w:right="2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Securities and Exchange Commission rules.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48"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Inflation would generally affect us by increasing our cost of labor and clinical trial costs. We do not believe that inflation had a material effect on our business, financial condition or results of operations during the years ended December 31, 2017, 2016 and 2015.</w:t>
      </w:r>
    </w:p>
    <w:p>
      <w:pPr>
        <w:spacing w:after="0" w:line="1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We are exposed to market risk related to changes in interest rates. As of December 31, 2017, we had cash and cash equivalents of $146.6 million, primarily held in money market mutual funds consisting of U.S. government-backed securities, and marketable securities of $182.5 million, primarily consisting of U.S. government-backed securities. Our</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99"/>
        <w:spacing w:after="0" w:line="187" w:lineRule="exact"/>
        <w:rPr>
          <w:sz w:val="20"/>
          <w:szCs w:val="20"/>
          <w:color w:val="auto"/>
        </w:rPr>
      </w:pPr>
      <w:r>
        <w:rPr>
          <w:rFonts w:ascii="Arial" w:cs="Arial" w:eastAsia="Arial" w:hAnsi="Arial"/>
          <w:sz w:val="17"/>
          <w:szCs w:val="17"/>
          <w:color w:val="auto"/>
        </w:rPr>
        <w:t>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w:t>
      </w:r>
      <w:r>
        <w:rPr>
          <w:rFonts w:ascii="MS PGothic" w:cs="MS PGothic" w:eastAsia="MS PGothic" w:hAnsi="MS PGothic"/>
          <w:sz w:val="17"/>
          <w:szCs w:val="17"/>
          <w:color w:val="auto"/>
        </w:rPr>
        <w:t>‑</w:t>
      </w:r>
      <w:r>
        <w:rPr>
          <w:rFonts w:ascii="Arial" w:cs="Arial" w:eastAsia="Arial" w:hAnsi="Arial"/>
          <w:sz w:val="17"/>
          <w:szCs w:val="17"/>
          <w:color w:val="auto"/>
        </w:rPr>
        <w:t>term maturities and low risk profiles of our investments, an immediate 100 basis point change in interest rates would not have a material effect on the fair market value of our investments.</w:t>
      </w:r>
    </w:p>
    <w:p>
      <w:pPr>
        <w:spacing w:after="0" w:line="121" w:lineRule="exact"/>
        <w:rPr>
          <w:sz w:val="20"/>
          <w:szCs w:val="20"/>
          <w:color w:val="auto"/>
        </w:rPr>
      </w:pPr>
    </w:p>
    <w:p>
      <w:pPr>
        <w:jc w:val="both"/>
        <w:ind w:right="119" w:firstLine="648"/>
        <w:spacing w:after="0" w:line="224" w:lineRule="auto"/>
        <w:rPr>
          <w:sz w:val="20"/>
          <w:szCs w:val="20"/>
          <w:color w:val="auto"/>
        </w:rPr>
      </w:pPr>
      <w:r>
        <w:rPr>
          <w:rFonts w:ascii="Arial" w:cs="Arial" w:eastAsia="Arial" w:hAnsi="Arial"/>
          <w:sz w:val="18"/>
          <w:szCs w:val="18"/>
          <w:color w:val="auto"/>
        </w:rPr>
        <w:t>While we contract with certain vendors and institutions internationally, substantially all of our total liabilities as of December 31, 2017 were denominated in the United States dollar and we believe that we do not have any material exposure to foreign currency exchange rate risk.</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 and Other Supplementary Information.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rPr>
              <w:t>EDITAS MEDICINE, INC.</w:t>
            </w:r>
          </w:p>
        </w:tc>
        <w:tc>
          <w:tcPr>
            <w:tcW w:w="900" w:type="dxa"/>
            <w:vAlign w:val="bottom"/>
          </w:tcPr>
          <w:p>
            <w:pPr>
              <w:spacing w:after="0"/>
              <w:rPr>
                <w:sz w:val="20"/>
                <w:szCs w:val="20"/>
                <w:color w:val="auto"/>
              </w:rPr>
            </w:pPr>
          </w:p>
        </w:tc>
      </w:tr>
      <w:tr>
        <w:trPr>
          <w:trHeight w:val="351"/>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80" w:type="dxa"/>
            <w:vAlign w:val="bottom"/>
            <w:gridSpan w:val="5"/>
          </w:tcPr>
          <w:p>
            <w:pPr>
              <w:jc w:val="center"/>
              <w:ind w:right="1960"/>
              <w:spacing w:after="0"/>
              <w:rPr>
                <w:sz w:val="20"/>
                <w:szCs w:val="20"/>
                <w:color w:val="auto"/>
              </w:rPr>
            </w:pPr>
            <w:r>
              <w:rPr>
                <w:rFonts w:ascii="Arial" w:cs="Arial" w:eastAsia="Arial" w:hAnsi="Arial"/>
                <w:sz w:val="18"/>
                <w:szCs w:val="18"/>
                <w:b w:val="1"/>
                <w:bCs w:val="1"/>
                <w:color w:val="auto"/>
              </w:rPr>
              <w:t>INDEX TO FINANCIAL STATEMENTS</w:t>
            </w:r>
          </w:p>
        </w:tc>
        <w:tc>
          <w:tcPr>
            <w:tcW w:w="900" w:type="dxa"/>
            <w:vAlign w:val="bottom"/>
          </w:tcPr>
          <w:p>
            <w:pPr>
              <w:spacing w:after="0"/>
              <w:rPr>
                <w:sz w:val="24"/>
                <w:szCs w:val="24"/>
                <w:color w:val="auto"/>
              </w:rPr>
            </w:pPr>
          </w:p>
        </w:tc>
      </w:tr>
      <w:tr>
        <w:trPr>
          <w:trHeight w:val="324"/>
        </w:trPr>
        <w:tc>
          <w:tcPr>
            <w:tcW w:w="8160" w:type="dxa"/>
            <w:vAlign w:val="bottom"/>
            <w:gridSpan w:val="8"/>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Report of Independent Registered Public Accounting Firm</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196"/>
        </w:trPr>
        <w:tc>
          <w:tcPr>
            <w:tcW w:w="21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3940" w:type="dxa"/>
            <w:vAlign w:val="bottom"/>
            <w:gridSpan w:val="2"/>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137</w:t>
            </w:r>
          </w:p>
        </w:tc>
      </w:tr>
      <w:tr>
        <w:trPr>
          <w:trHeight w:val="196"/>
        </w:trPr>
        <w:tc>
          <w:tcPr>
            <w:tcW w:w="2820" w:type="dxa"/>
            <w:vAlign w:val="bottom"/>
            <w:tcBorders>
              <w:bottom w:val="single" w:sz="8" w:color="0000EE"/>
            </w:tcBorders>
            <w:gridSpan w:val="2"/>
          </w:tcPr>
          <w:p>
            <w:pPr>
              <w:spacing w:after="0" w:line="182"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Consolidated Statements of Operations</w:t>
              </w:r>
            </w:hyperlink>
          </w:p>
        </w:tc>
        <w:tc>
          <w:tcPr>
            <w:tcW w:w="5340" w:type="dxa"/>
            <w:vAlign w:val="bottom"/>
            <w:gridSpan w:val="6"/>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138</w:t>
            </w:r>
          </w:p>
        </w:tc>
      </w:tr>
      <w:tr>
        <w:trPr>
          <w:trHeight w:val="196"/>
        </w:trPr>
        <w:tc>
          <w:tcPr>
            <w:tcW w:w="8160" w:type="dxa"/>
            <w:vAlign w:val="bottom"/>
            <w:gridSpan w:val="8"/>
          </w:tcPr>
          <w:p>
            <w:pPr>
              <w:spacing w:after="0" w:line="182" w:lineRule="exact"/>
              <w:rPr>
                <w:rFonts w:ascii="Arial" w:cs="Arial" w:eastAsia="Arial" w:hAnsi="Arial"/>
                <w:sz w:val="18"/>
                <w:szCs w:val="18"/>
                <w:color w:val="0000EE"/>
              </w:rPr>
            </w:pPr>
            <w:hyperlink w:anchor="page139">
              <w:r>
                <w:rPr>
                  <w:rFonts w:ascii="Arial" w:cs="Arial" w:eastAsia="Arial" w:hAnsi="Arial"/>
                  <w:sz w:val="18"/>
                  <w:szCs w:val="18"/>
                  <w:color w:val="0000EE"/>
                </w:rPr>
                <w:t>Consolidated Statements of Comprehensive Loss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139</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160" w:type="dxa"/>
            <w:vAlign w:val="bottom"/>
            <w:gridSpan w:val="8"/>
          </w:tcPr>
          <w:p>
            <w:pPr>
              <w:spacing w:after="0" w:line="182" w:lineRule="exact"/>
              <w:rPr>
                <w:rFonts w:ascii="Arial" w:cs="Arial" w:eastAsia="Arial" w:hAnsi="Arial"/>
                <w:sz w:val="18"/>
                <w:szCs w:val="18"/>
                <w:color w:val="0000EE"/>
                <w:w w:val="98"/>
              </w:rPr>
            </w:pPr>
            <w:hyperlink w:anchor="page140">
              <w:r>
                <w:rPr>
                  <w:rFonts w:ascii="Arial" w:cs="Arial" w:eastAsia="Arial" w:hAnsi="Arial"/>
                  <w:sz w:val="18"/>
                  <w:szCs w:val="18"/>
                  <w:color w:val="0000EE"/>
                  <w:w w:val="98"/>
                </w:rPr>
                <w:t>Consolidated Statements of Redeemable Convertible Preferred Stock and Stockholders’ Equity (Deficit)</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140</w:t>
            </w:r>
          </w:p>
        </w:tc>
      </w:tr>
      <w:tr>
        <w:trPr>
          <w:trHeight w:val="196"/>
        </w:trPr>
        <w:tc>
          <w:tcPr>
            <w:tcW w:w="28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Consolidated Statements of Cash Flows</w:t>
              </w:r>
            </w:hyperlink>
          </w:p>
        </w:tc>
        <w:tc>
          <w:tcPr>
            <w:tcW w:w="4640" w:type="dxa"/>
            <w:vAlign w:val="bottom"/>
            <w:tcBorders>
              <w:top w:val="single" w:sz="8" w:color="0000EE"/>
            </w:tcBorders>
            <w:gridSpan w:val="4"/>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141</w:t>
            </w:r>
          </w:p>
        </w:tc>
      </w:tr>
      <w:tr>
        <w:trPr>
          <w:trHeight w:val="196"/>
        </w:trPr>
        <w:tc>
          <w:tcPr>
            <w:tcW w:w="3160" w:type="dxa"/>
            <w:vAlign w:val="bottom"/>
            <w:tcBorders>
              <w:bottom w:val="single" w:sz="8" w:color="0000EE"/>
            </w:tcBorders>
            <w:gridSpan w:val="4"/>
          </w:tcPr>
          <w:p>
            <w:pPr>
              <w:spacing w:after="0" w:line="182"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Notes to Consolidated Financial Statements</w:t>
              </w:r>
            </w:hyperlink>
          </w:p>
        </w:tc>
        <w:tc>
          <w:tcPr>
            <w:tcW w:w="5000" w:type="dxa"/>
            <w:vAlign w:val="bottom"/>
            <w:gridSpan w:val="4"/>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142</w:t>
            </w:r>
          </w:p>
        </w:tc>
      </w:tr>
      <w:tr>
        <w:trPr>
          <w:trHeight w:val="817"/>
        </w:trPr>
        <w:tc>
          <w:tcPr>
            <w:tcW w:w="7520" w:type="dxa"/>
            <w:vAlign w:val="bottom"/>
            <w:gridSpan w:val="7"/>
          </w:tcPr>
          <w:p>
            <w:pPr>
              <w:jc w:val="center"/>
              <w:ind w:left="1450"/>
              <w:spacing w:after="0"/>
              <w:rPr>
                <w:sz w:val="20"/>
                <w:szCs w:val="20"/>
                <w:color w:val="auto"/>
              </w:rPr>
            </w:pPr>
            <w:r>
              <w:rPr>
                <w:rFonts w:ascii="Arial" w:cs="Arial" w:eastAsia="Arial" w:hAnsi="Arial"/>
                <w:sz w:val="18"/>
                <w:szCs w:val="18"/>
                <w:color w:val="auto"/>
                <w:w w:val="86"/>
              </w:rPr>
              <w:t>135</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2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48" w:lineRule="exact"/>
        <w:rPr>
          <w:sz w:val="20"/>
          <w:szCs w:val="20"/>
          <w:color w:val="auto"/>
        </w:rPr>
      </w:pPr>
    </w:p>
    <w:p>
      <w:pPr>
        <w:ind w:right="2280" w:firstLine="2278"/>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Editas Medicine,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have audited the accompanying consolidated balance sheets of Editas Medicine, Inc. (the Company) as of December 31, 2017 and 2016, and the related consolidated statements of operations, comprehensive loss, redeemable convertible preferred stock and stockholders' equity (deficit) and cash flows for each of the three years in the period ended December 31, 2017, and the related notes (collectively referred to as the “financial statements”). In our opinion, the financial statements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cover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ind w:right="180" w:firstLine="648"/>
        <w:spacing w:after="0" w:line="23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Ernst &amp; Young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3" w:lineRule="auto"/>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8, 2018</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69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9"/>
        </w:trPr>
        <w:tc>
          <w:tcPr>
            <w:tcW w:w="69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2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Cash and cash equivalents</w:t>
            </w:r>
          </w:p>
        </w:tc>
        <w:tc>
          <w:tcPr>
            <w:tcW w:w="46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146,630</w:t>
            </w:r>
          </w:p>
        </w:tc>
        <w:tc>
          <w:tcPr>
            <w:tcW w:w="360" w:type="dxa"/>
            <w:vAlign w:val="bottom"/>
            <w:gridSpan w:val="2"/>
            <w:shd w:val="clear" w:color="auto" w:fill="CCEEFF"/>
          </w:tcPr>
          <w:p>
            <w:pPr>
              <w:jc w:val="right"/>
              <w:ind w:right="69"/>
              <w:spacing w:after="0" w:line="13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185,323</w:t>
            </w:r>
          </w:p>
        </w:tc>
        <w:tc>
          <w:tcPr>
            <w:tcW w:w="0" w:type="dxa"/>
            <w:vAlign w:val="bottom"/>
          </w:tcPr>
          <w:p>
            <w:pPr>
              <w:spacing w:after="0"/>
              <w:rPr>
                <w:sz w:val="1"/>
                <w:szCs w:val="1"/>
                <w:color w:val="auto"/>
              </w:rPr>
            </w:pPr>
          </w:p>
        </w:tc>
      </w:tr>
      <w:tr>
        <w:trPr>
          <w:trHeight w:val="135"/>
        </w:trPr>
        <w:tc>
          <w:tcPr>
            <w:tcW w:w="6920" w:type="dxa"/>
            <w:vAlign w:val="bottom"/>
          </w:tcPr>
          <w:p>
            <w:pPr>
              <w:ind w:left="220"/>
              <w:spacing w:after="0" w:line="135" w:lineRule="exact"/>
              <w:rPr>
                <w:sz w:val="20"/>
                <w:szCs w:val="20"/>
                <w:color w:val="auto"/>
              </w:rPr>
            </w:pPr>
            <w:r>
              <w:rPr>
                <w:rFonts w:ascii="Arial" w:cs="Arial" w:eastAsia="Arial" w:hAnsi="Arial"/>
                <w:sz w:val="14"/>
                <w:szCs w:val="14"/>
                <w:color w:val="auto"/>
              </w:rPr>
              <w:t>Marketable securities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182,509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679</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5"/>
        </w:trPr>
        <w:tc>
          <w:tcPr>
            <w:tcW w:w="692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2,381</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29"/>
        </w:trPr>
        <w:tc>
          <w:tcPr>
            <w:tcW w:w="6920" w:type="dxa"/>
            <w:vAlign w:val="bottom"/>
            <w:shd w:val="clear" w:color="auto" w:fill="CCEEFF"/>
          </w:tcPr>
          <w:p>
            <w:pPr>
              <w:ind w:left="320"/>
              <w:spacing w:after="0" w:line="129" w:lineRule="exact"/>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332,199</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187,183</w:t>
            </w:r>
          </w:p>
        </w:tc>
        <w:tc>
          <w:tcPr>
            <w:tcW w:w="0" w:type="dxa"/>
            <w:vAlign w:val="bottom"/>
          </w:tcPr>
          <w:p>
            <w:pPr>
              <w:spacing w:after="0"/>
              <w:rPr>
                <w:sz w:val="1"/>
                <w:szCs w:val="1"/>
                <w:color w:val="auto"/>
              </w:rPr>
            </w:pPr>
          </w:p>
        </w:tc>
      </w:tr>
      <w:tr>
        <w:trPr>
          <w:trHeight w:val="129"/>
        </w:trPr>
        <w:tc>
          <w:tcPr>
            <w:tcW w:w="6920" w:type="dxa"/>
            <w:vAlign w:val="bottom"/>
          </w:tcPr>
          <w:p>
            <w:pPr>
              <w:spacing w:after="0" w:line="129" w:lineRule="exact"/>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39,442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40,378</w:t>
            </w: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Restricted cash and other non-current assets</w:t>
            </w:r>
          </w:p>
        </w:tc>
        <w:tc>
          <w:tcPr>
            <w:tcW w:w="2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1,619</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136"/>
        </w:trPr>
        <w:tc>
          <w:tcPr>
            <w:tcW w:w="692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373,260</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229,182</w:t>
            </w: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20" w:type="dxa"/>
            <w:vAlign w:val="bottom"/>
          </w:tcPr>
          <w:p>
            <w:pPr>
              <w:spacing w:after="0" w:line="135" w:lineRule="exact"/>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Accounts payable</w:t>
            </w:r>
          </w:p>
        </w:tc>
        <w:tc>
          <w:tcPr>
            <w:tcW w:w="46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4,020</w:t>
            </w:r>
          </w:p>
        </w:tc>
        <w:tc>
          <w:tcPr>
            <w:tcW w:w="360" w:type="dxa"/>
            <w:vAlign w:val="bottom"/>
            <w:gridSpan w:val="2"/>
            <w:shd w:val="clear" w:color="auto" w:fill="CCEEFF"/>
          </w:tcPr>
          <w:p>
            <w:pPr>
              <w:jc w:val="right"/>
              <w:ind w:right="69"/>
              <w:spacing w:after="0" w:line="13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35"/>
        </w:trPr>
        <w:tc>
          <w:tcPr>
            <w:tcW w:w="6920" w:type="dxa"/>
            <w:vAlign w:val="bottom"/>
          </w:tcPr>
          <w:p>
            <w:pPr>
              <w:ind w:left="220"/>
              <w:spacing w:after="0" w:line="135" w:lineRule="exact"/>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11,049</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17,439</w:t>
            </w: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Notes payable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7,500</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35"/>
        </w:trPr>
        <w:tc>
          <w:tcPr>
            <w:tcW w:w="6920" w:type="dxa"/>
            <w:vAlign w:val="bottom"/>
          </w:tcPr>
          <w:p>
            <w:pPr>
              <w:ind w:left="220"/>
              <w:spacing w:after="0" w:line="135" w:lineRule="exact"/>
              <w:rPr>
                <w:sz w:val="20"/>
                <w:szCs w:val="20"/>
                <w:color w:val="auto"/>
              </w:rPr>
            </w:pPr>
            <w:r>
              <w:rPr>
                <w:rFonts w:ascii="Arial" w:cs="Arial" w:eastAsia="Arial" w:hAnsi="Arial"/>
                <w:sz w:val="14"/>
                <w:szCs w:val="14"/>
                <w:color w:val="auto"/>
              </w:rPr>
              <w:t>Deferred revenue, current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13,238</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900</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29"/>
        </w:trPr>
        <w:tc>
          <w:tcPr>
            <w:tcW w:w="6920" w:type="dxa"/>
            <w:vAlign w:val="bottom"/>
          </w:tcPr>
          <w:p>
            <w:pPr>
              <w:ind w:left="320"/>
              <w:spacing w:after="0" w:line="129" w:lineRule="exact"/>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36,707</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33,083</w:t>
            </w: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94,725</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26,000</w:t>
            </w:r>
          </w:p>
        </w:tc>
        <w:tc>
          <w:tcPr>
            <w:tcW w:w="0" w:type="dxa"/>
            <w:vAlign w:val="bottom"/>
          </w:tcPr>
          <w:p>
            <w:pPr>
              <w:spacing w:after="0"/>
              <w:rPr>
                <w:sz w:val="1"/>
                <w:szCs w:val="1"/>
                <w:color w:val="auto"/>
              </w:rPr>
            </w:pPr>
          </w:p>
        </w:tc>
      </w:tr>
      <w:tr>
        <w:trPr>
          <w:trHeight w:val="189"/>
        </w:trPr>
        <w:tc>
          <w:tcPr>
            <w:tcW w:w="6920" w:type="dxa"/>
            <w:vAlign w:val="bottom"/>
          </w:tcPr>
          <w:p>
            <w:pPr>
              <w:spacing w:after="0"/>
              <w:rPr>
                <w:sz w:val="20"/>
                <w:szCs w:val="20"/>
                <w:color w:val="auto"/>
              </w:rPr>
            </w:pPr>
            <w:r>
              <w:rPr>
                <w:rFonts w:ascii="Arial" w:cs="Arial" w:eastAsia="Arial" w:hAnsi="Arial"/>
                <w:sz w:val="14"/>
                <w:szCs w:val="14"/>
                <w:color w:val="auto"/>
              </w:rPr>
              <w:t>Construction financing lease obligation, net of current portion</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33,431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35,096</w:t>
            </w: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Other non-current liabilities</w:t>
            </w:r>
          </w:p>
        </w:tc>
        <w:tc>
          <w:tcPr>
            <w:tcW w:w="2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317</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29"/>
        </w:trPr>
        <w:tc>
          <w:tcPr>
            <w:tcW w:w="692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165,180</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94,575</w:t>
            </w:r>
          </w:p>
        </w:tc>
        <w:tc>
          <w:tcPr>
            <w:tcW w:w="0" w:type="dxa"/>
            <w:vAlign w:val="bottom"/>
          </w:tcPr>
          <w:p>
            <w:pPr>
              <w:spacing w:after="0"/>
              <w:rPr>
                <w:sz w:val="1"/>
                <w:szCs w:val="1"/>
                <w:color w:val="auto"/>
              </w:rPr>
            </w:pPr>
          </w:p>
        </w:tc>
      </w:tr>
      <w:tr>
        <w:trPr>
          <w:trHeight w:val="129"/>
        </w:trPr>
        <w:tc>
          <w:tcPr>
            <w:tcW w:w="69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Commitments and contingencies (see note 8)</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20" w:type="dxa"/>
            <w:vAlign w:val="bottom"/>
          </w:tcPr>
          <w:p>
            <w:pPr>
              <w:spacing w:after="0" w:line="135" w:lineRule="exact"/>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w w:val="99"/>
              </w:rPr>
              <w:t>Preferred stock, $0.0001 par value per share: 5,000,000 shares authorized; no shares issued or outstanding</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6920" w:type="dxa"/>
            <w:vAlign w:val="bottom"/>
          </w:tcPr>
          <w:p>
            <w:pPr>
              <w:ind w:left="220"/>
              <w:spacing w:after="0" w:line="108" w:lineRule="exact"/>
              <w:rPr>
                <w:sz w:val="20"/>
                <w:szCs w:val="20"/>
                <w:color w:val="auto"/>
              </w:rPr>
            </w:pPr>
            <w:r>
              <w:rPr>
                <w:rFonts w:ascii="Arial" w:cs="Arial" w:eastAsia="Arial" w:hAnsi="Arial"/>
                <w:sz w:val="12"/>
                <w:szCs w:val="12"/>
                <w:color w:val="auto"/>
              </w:rPr>
              <w:t>Common stock, $0.0001 par value per share: 195,000,000 shares authorized; 45,025,448 and 36,662,724 shares</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920" w:type="dxa"/>
            <w:vAlign w:val="bottom"/>
          </w:tcPr>
          <w:p>
            <w:pPr>
              <w:ind w:left="340"/>
              <w:spacing w:after="0" w:line="135" w:lineRule="exact"/>
              <w:rPr>
                <w:sz w:val="20"/>
                <w:szCs w:val="20"/>
                <w:color w:val="auto"/>
              </w:rPr>
            </w:pPr>
            <w:r>
              <w:rPr>
                <w:rFonts w:ascii="Arial" w:cs="Arial" w:eastAsia="Arial" w:hAnsi="Arial"/>
                <w:sz w:val="14"/>
                <w:szCs w:val="14"/>
                <w:color w:val="auto"/>
                <w:w w:val="98"/>
              </w:rPr>
              <w:t>issued, and 44,507,960 and 35,818,131 shares outstanding at December 31, 2017 and December 31, 2016,</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6920" w:type="dxa"/>
            <w:vAlign w:val="bottom"/>
          </w:tcPr>
          <w:p>
            <w:pPr>
              <w:ind w:left="340"/>
              <w:spacing w:after="0"/>
              <w:rPr>
                <w:sz w:val="20"/>
                <w:szCs w:val="20"/>
                <w:color w:val="auto"/>
              </w:rPr>
            </w:pPr>
            <w:r>
              <w:rPr>
                <w:rFonts w:ascii="Arial" w:cs="Arial" w:eastAsia="Arial" w:hAnsi="Arial"/>
                <w:sz w:val="14"/>
                <w:szCs w:val="14"/>
                <w:color w:val="auto"/>
              </w:rPr>
              <w:t>respectively</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514,002</w:t>
            </w: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320,129</w:t>
            </w:r>
          </w:p>
        </w:tc>
        <w:tc>
          <w:tcPr>
            <w:tcW w:w="0" w:type="dxa"/>
            <w:vAlign w:val="bottom"/>
          </w:tcPr>
          <w:p>
            <w:pPr>
              <w:spacing w:after="0"/>
              <w:rPr>
                <w:sz w:val="1"/>
                <w:szCs w:val="1"/>
                <w:color w:val="auto"/>
              </w:rPr>
            </w:pPr>
          </w:p>
        </w:tc>
      </w:tr>
      <w:tr>
        <w:trPr>
          <w:trHeight w:val="135"/>
        </w:trPr>
        <w:tc>
          <w:tcPr>
            <w:tcW w:w="6920" w:type="dxa"/>
            <w:vAlign w:val="bottom"/>
          </w:tcPr>
          <w:p>
            <w:pPr>
              <w:ind w:left="220"/>
              <w:spacing w:after="0" w:line="135" w:lineRule="exact"/>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(76)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69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Accumulated deficit</w:t>
            </w:r>
          </w:p>
        </w:tc>
        <w:tc>
          <w:tcPr>
            <w:tcW w:w="2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(305,850)</w:t>
            </w:r>
          </w:p>
        </w:tc>
        <w:tc>
          <w:tcPr>
            <w:tcW w:w="1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(185,526)</w:t>
            </w:r>
          </w:p>
        </w:tc>
        <w:tc>
          <w:tcPr>
            <w:tcW w:w="0" w:type="dxa"/>
            <w:vAlign w:val="bottom"/>
          </w:tcPr>
          <w:p>
            <w:pPr>
              <w:spacing w:after="0"/>
              <w:rPr>
                <w:sz w:val="1"/>
                <w:szCs w:val="1"/>
                <w:color w:val="auto"/>
              </w:rPr>
            </w:pPr>
          </w:p>
        </w:tc>
      </w:tr>
      <w:tr>
        <w:trPr>
          <w:trHeight w:val="129"/>
        </w:trPr>
        <w:tc>
          <w:tcPr>
            <w:tcW w:w="692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208,080</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134,607</w:t>
            </w:r>
          </w:p>
        </w:tc>
        <w:tc>
          <w:tcPr>
            <w:tcW w:w="0" w:type="dxa"/>
            <w:vAlign w:val="bottom"/>
          </w:tcPr>
          <w:p>
            <w:pPr>
              <w:spacing w:after="0"/>
              <w:rPr>
                <w:sz w:val="1"/>
                <w:szCs w:val="1"/>
                <w:color w:val="auto"/>
              </w:rPr>
            </w:pPr>
          </w:p>
        </w:tc>
      </w:tr>
      <w:tr>
        <w:trPr>
          <w:trHeight w:val="136"/>
        </w:trPr>
        <w:tc>
          <w:tcPr>
            <w:tcW w:w="6920" w:type="dxa"/>
            <w:vAlign w:val="bottom"/>
            <w:tcBorders>
              <w:bottom w:val="single" w:sz="8" w:color="CCEEFF"/>
            </w:tcBorders>
            <w:shd w:val="clear" w:color="auto" w:fill="CCEEFF"/>
          </w:tcPr>
          <w:p>
            <w:pPr>
              <w:ind w:left="320"/>
              <w:spacing w:after="0" w:line="129" w:lineRule="exact"/>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373,260</w:t>
            </w:r>
          </w:p>
        </w:tc>
        <w:tc>
          <w:tcPr>
            <w:tcW w:w="1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229,182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(amounts in thousands, except per share and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w w:val="98"/>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260" w:type="dxa"/>
            <w:vAlign w:val="bottom"/>
            <w:gridSpan w:val="3"/>
          </w:tcPr>
          <w:p>
            <w:pPr>
              <w:jc w:val="right"/>
              <w:ind w:right="91"/>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2"/>
        </w:trPr>
        <w:tc>
          <w:tcPr>
            <w:tcW w:w="5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Collaboration and other research and development revenues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13,728</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6,053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176"/>
        </w:trPr>
        <w:tc>
          <w:tcPr>
            <w:tcW w:w="554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83,159</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56,979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18,846</w:t>
            </w:r>
          </w:p>
        </w:tc>
        <w:tc>
          <w:tcPr>
            <w:tcW w:w="0" w:type="dxa"/>
            <w:vAlign w:val="bottom"/>
          </w:tcPr>
          <w:p>
            <w:pPr>
              <w:spacing w:after="0"/>
              <w:rPr>
                <w:sz w:val="1"/>
                <w:szCs w:val="1"/>
                <w:color w:val="auto"/>
              </w:rPr>
            </w:pPr>
          </w:p>
        </w:tc>
      </w:tr>
      <w:tr>
        <w:trPr>
          <w:trHeight w:val="176"/>
        </w:trPr>
        <w:tc>
          <w:tcPr>
            <w:tcW w:w="55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50,502</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46,262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18,095</w:t>
            </w:r>
          </w:p>
        </w:tc>
        <w:tc>
          <w:tcPr>
            <w:tcW w:w="0" w:type="dxa"/>
            <w:vAlign w:val="bottom"/>
          </w:tcPr>
          <w:p>
            <w:pPr>
              <w:spacing w:after="0"/>
              <w:rPr>
                <w:sz w:val="1"/>
                <w:szCs w:val="1"/>
                <w:color w:val="auto"/>
              </w:rPr>
            </w:pPr>
          </w:p>
        </w:tc>
      </w:tr>
      <w:tr>
        <w:trPr>
          <w:trHeight w:val="169"/>
        </w:trPr>
        <w:tc>
          <w:tcPr>
            <w:tcW w:w="554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133,661</w:t>
            </w:r>
          </w:p>
        </w:tc>
        <w:tc>
          <w:tcPr>
            <w:tcW w:w="2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103,241</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36,941</w:t>
            </w:r>
          </w:p>
        </w:tc>
        <w:tc>
          <w:tcPr>
            <w:tcW w:w="0" w:type="dxa"/>
            <w:vAlign w:val="bottom"/>
          </w:tcPr>
          <w:p>
            <w:pPr>
              <w:spacing w:after="0"/>
              <w:rPr>
                <w:sz w:val="1"/>
                <w:szCs w:val="1"/>
                <w:color w:val="auto"/>
              </w:rPr>
            </w:pPr>
          </w:p>
        </w:tc>
      </w:tr>
      <w:tr>
        <w:trPr>
          <w:trHeight w:val="169"/>
        </w:trPr>
        <w:tc>
          <w:tcPr>
            <w:tcW w:w="5540" w:type="dxa"/>
            <w:vAlign w:val="bottom"/>
          </w:tcPr>
          <w:p>
            <w:pPr>
              <w:spacing w:after="0" w:line="170" w:lineRule="exact"/>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rPr>
              <w:t>(119,933)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rPr>
              <w:t>(97,188)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rPr>
              <w:t>(35,312)</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40" w:type="dxa"/>
            <w:vAlign w:val="bottom"/>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587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(37,445)</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Interest (expense) income, net</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(978)</w:t>
            </w: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69"/>
        </w:trPr>
        <w:tc>
          <w:tcPr>
            <w:tcW w:w="554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Total other (expense) income, net</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(391)</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(37,588)</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(120,324)</w:t>
            </w: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(97,183)</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(72,900)</w:t>
            </w:r>
          </w:p>
        </w:tc>
        <w:tc>
          <w:tcPr>
            <w:tcW w:w="0" w:type="dxa"/>
            <w:vAlign w:val="bottom"/>
          </w:tcPr>
          <w:p>
            <w:pPr>
              <w:spacing w:after="0"/>
              <w:rPr>
                <w:sz w:val="1"/>
                <w:szCs w:val="1"/>
                <w:color w:val="auto"/>
              </w:rPr>
            </w:pPr>
          </w:p>
        </w:tc>
      </w:tr>
      <w:tr>
        <w:trPr>
          <w:trHeight w:val="163"/>
        </w:trPr>
        <w:tc>
          <w:tcPr>
            <w:tcW w:w="5540" w:type="dxa"/>
            <w:vAlign w:val="bottom"/>
          </w:tcPr>
          <w:p>
            <w:pPr>
              <w:spacing w:after="0" w:line="163" w:lineRule="exact"/>
              <w:rPr>
                <w:sz w:val="20"/>
                <w:szCs w:val="20"/>
                <w:color w:val="auto"/>
              </w:rPr>
            </w:pPr>
            <w:r>
              <w:rPr>
                <w:rFonts w:ascii="Arial" w:cs="Arial" w:eastAsia="Arial" w:hAnsi="Arial"/>
                <w:sz w:val="18"/>
                <w:szCs w:val="18"/>
                <w:color w:val="auto"/>
                <w:w w:val="94"/>
              </w:rPr>
              <w:t>Reconciliation of net loss to net loss attributable to common stockholders: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(120,324)</w:t>
            </w:r>
          </w:p>
        </w:tc>
        <w:tc>
          <w:tcPr>
            <w:tcW w:w="3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(97,183)</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(72,900)</w:t>
            </w:r>
          </w:p>
        </w:tc>
        <w:tc>
          <w:tcPr>
            <w:tcW w:w="0" w:type="dxa"/>
            <w:vAlign w:val="bottom"/>
          </w:tcPr>
          <w:p>
            <w:pPr>
              <w:spacing w:after="0"/>
              <w:rPr>
                <w:sz w:val="1"/>
                <w:szCs w:val="1"/>
                <w:color w:val="auto"/>
              </w:rPr>
            </w:pPr>
          </w:p>
        </w:tc>
      </w:tr>
      <w:tr>
        <w:trPr>
          <w:trHeight w:val="176"/>
        </w:trPr>
        <w:tc>
          <w:tcPr>
            <w:tcW w:w="55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w w:val="95"/>
              </w:rPr>
              <w:t>Accretion of redeemable convertible preferred stock to redemption value</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(120,324)</w:t>
            </w: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(97,230)</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(73,294)</w:t>
            </w:r>
          </w:p>
        </w:tc>
        <w:tc>
          <w:tcPr>
            <w:tcW w:w="0" w:type="dxa"/>
            <w:vAlign w:val="bottom"/>
          </w:tcPr>
          <w:p>
            <w:pPr>
              <w:spacing w:after="0"/>
              <w:rPr>
                <w:sz w:val="1"/>
                <w:szCs w:val="1"/>
                <w:color w:val="auto"/>
              </w:rPr>
            </w:pPr>
          </w:p>
        </w:tc>
      </w:tr>
      <w:tr>
        <w:trPr>
          <w:trHeight w:val="170"/>
        </w:trPr>
        <w:tc>
          <w:tcPr>
            <w:tcW w:w="554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w w:val="94"/>
              </w:rPr>
              <w:t>Net loss per share attributable to common stockholders, basic and diluted</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(2.98)</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(3.02)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183"/>
        </w:trPr>
        <w:tc>
          <w:tcPr>
            <w:tcW w:w="5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Weighted-average common shares outstanding, basic and diluted</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40,323,631</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32,219,717</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2,566,916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6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29"/>
        </w:trPr>
        <w:tc>
          <w:tcPr>
            <w:tcW w:w="6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3"/>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83"/>
              <w:spacing w:after="0" w:line="129" w:lineRule="exact"/>
              <w:rPr>
                <w:sz w:val="20"/>
                <w:szCs w:val="20"/>
                <w:color w:val="auto"/>
              </w:rPr>
            </w:pPr>
            <w:r>
              <w:rPr>
                <w:rFonts w:ascii="Arial" w:cs="Arial" w:eastAsia="Arial" w:hAnsi="Arial"/>
                <w:sz w:val="14"/>
                <w:szCs w:val="14"/>
                <w:b w:val="1"/>
                <w:bCs w:val="1"/>
                <w:color w:val="auto"/>
              </w:rPr>
              <w:t>2015</w:t>
            </w:r>
          </w:p>
        </w:tc>
      </w:tr>
      <w:tr>
        <w:trPr>
          <w:trHeight w:val="169"/>
        </w:trPr>
        <w:tc>
          <w:tcPr>
            <w:tcW w:w="6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(120,324)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(97,183)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(72,900)</w:t>
            </w:r>
          </w:p>
        </w:tc>
      </w:tr>
      <w:tr>
        <w:trPr>
          <w:trHeight w:val="189"/>
        </w:trPr>
        <w:tc>
          <w:tcPr>
            <w:tcW w:w="6180" w:type="dxa"/>
            <w:vAlign w:val="bottom"/>
          </w:tcPr>
          <w:p>
            <w:pPr>
              <w:spacing w:after="0" w:line="189" w:lineRule="exact"/>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61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Unrealized loss on marketable securities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76"/>
        </w:trPr>
        <w:tc>
          <w:tcPr>
            <w:tcW w:w="6180" w:type="dxa"/>
            <w:vAlign w:val="bottom"/>
          </w:tcPr>
          <w:p>
            <w:pPr>
              <w:spacing w:after="0" w:line="170" w:lineRule="exact"/>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(120,400)</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(97,183)</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(72,900)</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jc w:val="center"/>
        <w:spacing w:after="0" w:line="215" w:lineRule="auto"/>
        <w:rPr>
          <w:sz w:val="20"/>
          <w:szCs w:val="20"/>
          <w:color w:val="auto"/>
        </w:rPr>
      </w:pPr>
      <w:r>
        <w:rPr>
          <w:rFonts w:ascii="Arial" w:cs="Arial" w:eastAsia="Arial" w:hAnsi="Arial"/>
          <w:sz w:val="18"/>
          <w:szCs w:val="18"/>
          <w:b w:val="1"/>
          <w:bCs w:val="1"/>
          <w:color w:val="auto"/>
        </w:rPr>
        <w:t>(amounts in thousands except share data)</w:t>
      </w:r>
    </w:p>
    <w:tbl>
      <w:tblPr>
        <w:tblLayout w:type="fixed"/>
        <w:tblInd w:w="0" w:type="dxa"/>
        <w:tblCellMar>
          <w:top w:w="0" w:type="dxa"/>
          <w:left w:w="0" w:type="dxa"/>
          <w:bottom w:w="0" w:type="dxa"/>
          <w:right w:w="0" w:type="dxa"/>
        </w:tblCellMar>
      </w:tblPr>
      <w:tr>
        <w:trPr>
          <w:trHeight w:val="97"/>
        </w:trPr>
        <w:tc>
          <w:tcPr>
            <w:tcW w:w="3100" w:type="dxa"/>
            <w:vAlign w:val="bottom"/>
          </w:tcPr>
          <w:p>
            <w:pPr>
              <w:spacing w:after="0"/>
              <w:rPr>
                <w:sz w:val="8"/>
                <w:szCs w:val="8"/>
                <w:color w:val="auto"/>
              </w:rPr>
            </w:pPr>
          </w:p>
        </w:tc>
        <w:tc>
          <w:tcPr>
            <w:tcW w:w="1800" w:type="dxa"/>
            <w:vAlign w:val="bottom"/>
            <w:gridSpan w:val="7"/>
            <w:vMerge w:val="restart"/>
          </w:tcPr>
          <w:p>
            <w:pPr>
              <w:ind w:left="220"/>
              <w:spacing w:after="0"/>
              <w:rPr>
                <w:sz w:val="20"/>
                <w:szCs w:val="20"/>
                <w:color w:val="auto"/>
              </w:rPr>
            </w:pPr>
            <w:r>
              <w:rPr>
                <w:rFonts w:ascii="Arial" w:cs="Arial" w:eastAsia="Arial" w:hAnsi="Arial"/>
                <w:sz w:val="11"/>
                <w:szCs w:val="11"/>
                <w:b w:val="1"/>
                <w:bCs w:val="1"/>
                <w:color w:val="auto"/>
              </w:rPr>
              <w:t>Redeemable Convertible</w:t>
            </w: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w w:val="85"/>
              </w:rPr>
              <w:t>Additional</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tcPr>
          <w:p>
            <w:pPr>
              <w:jc w:val="center"/>
              <w:ind w:right="120"/>
              <w:spacing w:after="0" w:line="97" w:lineRule="exact"/>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8"/>
                <w:szCs w:val="8"/>
                <w:color w:val="auto"/>
              </w:rPr>
            </w:pPr>
          </w:p>
        </w:tc>
        <w:tc>
          <w:tcPr>
            <w:tcW w:w="580" w:type="dxa"/>
            <w:vAlign w:val="bottom"/>
          </w:tcPr>
          <w:p>
            <w:pPr>
              <w:jc w:val="center"/>
              <w:ind w:right="30"/>
              <w:spacing w:after="0" w:line="97"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1800" w:type="dxa"/>
            <w:vAlign w:val="bottom"/>
            <w:gridSpan w:val="7"/>
            <w:vMerge w:val="continue"/>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ind w:right="280"/>
              <w:spacing w:after="0" w:line="109" w:lineRule="exact"/>
              <w:rPr>
                <w:sz w:val="20"/>
                <w:szCs w:val="20"/>
                <w:color w:val="auto"/>
              </w:rPr>
            </w:pPr>
            <w:r>
              <w:rPr>
                <w:rFonts w:ascii="Arial" w:cs="Arial" w:eastAsia="Arial" w:hAnsi="Arial"/>
                <w:sz w:val="11"/>
                <w:szCs w:val="11"/>
                <w:b w:val="1"/>
                <w:bCs w:val="1"/>
                <w:color w:val="auto"/>
                <w:w w:val="88"/>
              </w:rPr>
              <w:t>Other</w:t>
            </w:r>
          </w:p>
        </w:tc>
        <w:tc>
          <w:tcPr>
            <w:tcW w:w="70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700" w:type="dxa"/>
            <w:vAlign w:val="bottom"/>
            <w:gridSpan w:val="5"/>
            <w:vMerge w:val="restart"/>
          </w:tcPr>
          <w:p>
            <w:pPr>
              <w:ind w:left="420"/>
              <w:spacing w:after="0" w:line="122" w:lineRule="exact"/>
              <w:rPr>
                <w:sz w:val="20"/>
                <w:szCs w:val="20"/>
                <w:color w:val="auto"/>
              </w:rPr>
            </w:pPr>
            <w:r>
              <w:rPr>
                <w:rFonts w:ascii="Arial" w:cs="Arial" w:eastAsia="Arial" w:hAnsi="Arial"/>
                <w:sz w:val="11"/>
                <w:szCs w:val="11"/>
                <w:b w:val="1"/>
                <w:bCs w:val="1"/>
                <w:color w:val="auto"/>
              </w:rPr>
              <w:t>Preferred Stock</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500" w:type="dxa"/>
            <w:vAlign w:val="bottom"/>
            <w:gridSpan w:val="5"/>
            <w:vMerge w:val="restart"/>
          </w:tcPr>
          <w:p>
            <w:pPr>
              <w:ind w:left="340"/>
              <w:spacing w:after="0" w:line="122"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2"/>
                <w:szCs w:val="2"/>
                <w:color w:val="auto"/>
              </w:rPr>
            </w:pPr>
          </w:p>
        </w:tc>
        <w:tc>
          <w:tcPr>
            <w:tcW w:w="700" w:type="dxa"/>
            <w:vAlign w:val="bottom"/>
            <w:gridSpan w:val="2"/>
            <w:vMerge w:val="restart"/>
          </w:tcPr>
          <w:p>
            <w:pPr>
              <w:jc w:val="right"/>
              <w:ind w:right="280"/>
              <w:spacing w:after="0" w:line="122" w:lineRule="exact"/>
              <w:rPr>
                <w:sz w:val="20"/>
                <w:szCs w:val="20"/>
                <w:color w:val="auto"/>
              </w:rPr>
            </w:pPr>
            <w:r>
              <w:rPr>
                <w:rFonts w:ascii="Arial" w:cs="Arial" w:eastAsia="Arial" w:hAnsi="Arial"/>
                <w:sz w:val="11"/>
                <w:szCs w:val="11"/>
                <w:b w:val="1"/>
                <w:bCs w:val="1"/>
                <w:color w:val="auto"/>
              </w:rPr>
              <w:t>Paid-In</w:t>
            </w:r>
          </w:p>
        </w:tc>
        <w:tc>
          <w:tcPr>
            <w:tcW w:w="820" w:type="dxa"/>
            <w:vAlign w:val="bottom"/>
            <w:gridSpan w:val="3"/>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860" w:type="dxa"/>
            <w:vAlign w:val="bottom"/>
            <w:gridSpan w:val="3"/>
            <w:vMerge w:val="restart"/>
          </w:tcPr>
          <w:p>
            <w:pPr>
              <w:ind w:left="20"/>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120" w:type="dxa"/>
            <w:vAlign w:val="bottom"/>
          </w:tcPr>
          <w:p>
            <w:pPr>
              <w:spacing w:after="0"/>
              <w:rPr>
                <w:sz w:val="2"/>
                <w:szCs w:val="2"/>
                <w:color w:val="auto"/>
              </w:rPr>
            </w:pPr>
          </w:p>
        </w:tc>
        <w:tc>
          <w:tcPr>
            <w:tcW w:w="580" w:type="dxa"/>
            <w:vAlign w:val="bottom"/>
            <w:vMerge w:val="restart"/>
          </w:tcPr>
          <w:p>
            <w:pPr>
              <w:jc w:val="center"/>
              <w:ind w:right="50"/>
              <w:spacing w:after="0" w:line="122" w:lineRule="exact"/>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line="20" w:lineRule="exact"/>
              <w:rPr>
                <w:sz w:val="1"/>
                <w:szCs w:val="1"/>
                <w:color w:val="auto"/>
              </w:rPr>
            </w:pPr>
          </w:p>
        </w:tc>
      </w:tr>
      <w:tr>
        <w:trPr>
          <w:trHeight w:val="102"/>
        </w:trPr>
        <w:tc>
          <w:tcPr>
            <w:tcW w:w="310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 w:type="dxa"/>
            <w:vAlign w:val="bottom"/>
            <w:vMerge w:val="continue"/>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880" w:type="dxa"/>
            <w:vAlign w:val="bottom"/>
            <w:tcBorders>
              <w:top w:val="single" w:sz="8" w:color="auto"/>
            </w:tcBorders>
            <w:gridSpan w:val="2"/>
          </w:tcPr>
          <w:p>
            <w:pPr>
              <w:ind w:left="220"/>
              <w:spacing w:after="0" w:line="109" w:lineRule="exact"/>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89"/>
              <w:spacing w:after="0" w:line="109"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top w:val="single" w:sz="8" w:color="auto"/>
            </w:tcBorders>
            <w:gridSpan w:val="2"/>
          </w:tcPr>
          <w:p>
            <w:pPr>
              <w:ind w:left="200"/>
              <w:spacing w:after="0" w:line="109"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9"/>
              <w:spacing w:after="0" w:line="109"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280"/>
              <w:spacing w:after="0" w:line="109" w:lineRule="exact"/>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9"/>
                <w:szCs w:val="9"/>
                <w:color w:val="auto"/>
              </w:rPr>
            </w:pPr>
          </w:p>
        </w:tc>
        <w:tc>
          <w:tcPr>
            <w:tcW w:w="72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89"/>
              </w:rPr>
              <w:t>Deficit</w:t>
            </w:r>
          </w:p>
        </w:tc>
        <w:tc>
          <w:tcPr>
            <w:tcW w:w="160" w:type="dxa"/>
            <w:vAlign w:val="bottom"/>
          </w:tcPr>
          <w:p>
            <w:pPr>
              <w:spacing w:after="0"/>
              <w:rPr>
                <w:sz w:val="9"/>
                <w:szCs w:val="9"/>
                <w:color w:val="auto"/>
              </w:rPr>
            </w:pPr>
          </w:p>
        </w:tc>
        <w:tc>
          <w:tcPr>
            <w:tcW w:w="700" w:type="dxa"/>
            <w:vAlign w:val="bottom"/>
            <w:gridSpan w:val="2"/>
          </w:tcPr>
          <w:p>
            <w:pPr>
              <w:jc w:val="center"/>
              <w:ind w:right="280"/>
              <w:spacing w:after="0" w:line="109" w:lineRule="exact"/>
              <w:rPr>
                <w:sz w:val="20"/>
                <w:szCs w:val="20"/>
                <w:color w:val="auto"/>
              </w:rPr>
            </w:pPr>
            <w:r>
              <w:rPr>
                <w:rFonts w:ascii="Arial" w:cs="Arial" w:eastAsia="Arial" w:hAnsi="Arial"/>
                <w:sz w:val="11"/>
                <w:szCs w:val="11"/>
                <w:b w:val="1"/>
                <w:bCs w:val="1"/>
                <w:color w:val="auto"/>
                <w:w w:val="85"/>
              </w:rPr>
              <w:t>Loss</w:t>
            </w:r>
          </w:p>
        </w:tc>
        <w:tc>
          <w:tcPr>
            <w:tcW w:w="120" w:type="dxa"/>
            <w:vAlign w:val="bottom"/>
          </w:tcPr>
          <w:p>
            <w:pPr>
              <w:spacing w:after="0"/>
              <w:rPr>
                <w:sz w:val="9"/>
                <w:szCs w:val="9"/>
                <w:color w:val="auto"/>
              </w:rPr>
            </w:pPr>
          </w:p>
        </w:tc>
        <w:tc>
          <w:tcPr>
            <w:tcW w:w="580" w:type="dxa"/>
            <w:vAlign w:val="bottom"/>
          </w:tcPr>
          <w:p>
            <w:pPr>
              <w:jc w:val="center"/>
              <w:ind w:right="50"/>
              <w:spacing w:after="0" w:line="109"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29"/>
        </w:trPr>
        <w:tc>
          <w:tcPr>
            <w:tcW w:w="31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December 31, 2014</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21,260,000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20,772</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1,863,169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(15,448)</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(15,292)</w:t>
            </w:r>
          </w:p>
        </w:tc>
        <w:tc>
          <w:tcPr>
            <w:tcW w:w="0" w:type="dxa"/>
            <w:vAlign w:val="bottom"/>
          </w:tcPr>
          <w:p>
            <w:pPr>
              <w:spacing w:after="0"/>
              <w:rPr>
                <w:sz w:val="1"/>
                <w:szCs w:val="1"/>
                <w:color w:val="auto"/>
              </w:rPr>
            </w:pPr>
          </w:p>
        </w:tc>
      </w:tr>
      <w:tr>
        <w:trPr>
          <w:trHeight w:val="108"/>
        </w:trPr>
        <w:tc>
          <w:tcPr>
            <w:tcW w:w="3100" w:type="dxa"/>
            <w:vAlign w:val="bottom"/>
          </w:tcPr>
          <w:p>
            <w:pPr>
              <w:spacing w:after="0" w:line="108" w:lineRule="exact"/>
              <w:rPr>
                <w:sz w:val="20"/>
                <w:szCs w:val="20"/>
                <w:color w:val="auto"/>
              </w:rPr>
            </w:pPr>
            <w:r>
              <w:rPr>
                <w:rFonts w:ascii="Arial" w:cs="Arial" w:eastAsia="Arial" w:hAnsi="Arial"/>
                <w:sz w:val="12"/>
                <w:szCs w:val="12"/>
                <w:color w:val="auto"/>
              </w:rPr>
              <w:t>Issuance of Series A-2 redeemable convertible</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4"/>
                <w:szCs w:val="14"/>
                <w:color w:val="auto"/>
              </w:rPr>
              <w:t>preferred stock, net of issuance costs of $1</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6"/>
              </w:rPr>
              <w:t>16,890,699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21,989</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thousand</w:t>
            </w: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Reclassification of tranche rights upon issuance of</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37,038</w:t>
            </w:r>
          </w:p>
        </w:tc>
        <w:tc>
          <w:tcPr>
            <w:tcW w:w="120" w:type="dxa"/>
            <w:vAlign w:val="bottom"/>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redeemable convertible preferred stock</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line="108" w:lineRule="exact"/>
              <w:rPr>
                <w:sz w:val="20"/>
                <w:szCs w:val="20"/>
                <w:color w:val="auto"/>
              </w:rPr>
            </w:pPr>
            <w:r>
              <w:rPr>
                <w:rFonts w:ascii="Arial" w:cs="Arial" w:eastAsia="Arial" w:hAnsi="Arial"/>
                <w:sz w:val="12"/>
                <w:szCs w:val="12"/>
                <w:color w:val="auto"/>
              </w:rPr>
              <w:t>Issuance of Series B redeemable convertible</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4"/>
                <w:szCs w:val="14"/>
                <w:color w:val="auto"/>
              </w:rPr>
              <w:t>preferred stock, net of issuance costs of $0.3</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6"/>
              </w:rPr>
              <w:t>26,666,660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119,722</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million</w:t>
            </w: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Accretion of redeemable convertible preferred</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stock to redemption value</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line="108" w:lineRule="exact"/>
              <w:rPr>
                <w:sz w:val="20"/>
                <w:szCs w:val="20"/>
                <w:color w:val="auto"/>
              </w:rPr>
            </w:pPr>
            <w:r>
              <w:rPr>
                <w:rFonts w:ascii="Arial" w:cs="Arial" w:eastAsia="Arial" w:hAnsi="Arial"/>
                <w:sz w:val="12"/>
                <w:szCs w:val="12"/>
                <w:color w:val="auto"/>
              </w:rPr>
              <w:t>Issuance of common stock to licensors upon</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327,970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1,936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1,936</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settlement of anti-dilution protection liability</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Exercise of stock options</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28,651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08"/>
        </w:trPr>
        <w:tc>
          <w:tcPr>
            <w:tcW w:w="3100" w:type="dxa"/>
            <w:vAlign w:val="bottom"/>
          </w:tcPr>
          <w:p>
            <w:pPr>
              <w:spacing w:after="0" w:line="108" w:lineRule="exact"/>
              <w:rPr>
                <w:sz w:val="20"/>
                <w:szCs w:val="20"/>
                <w:color w:val="auto"/>
              </w:rPr>
            </w:pPr>
            <w:r>
              <w:rPr>
                <w:rFonts w:ascii="Arial" w:cs="Arial" w:eastAsia="Arial" w:hAnsi="Arial"/>
                <w:sz w:val="12"/>
                <w:szCs w:val="12"/>
                <w:color w:val="auto"/>
              </w:rPr>
              <w:t>Vesting of restricted common stock and common</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653,272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stock subject to repurchase</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Vesting of founder shares</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360,576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2,345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2,345</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4"/>
                <w:szCs w:val="14"/>
                <w:color w:val="auto"/>
              </w:rPr>
              <w:t>1,168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(72,900)</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(72,900)</w:t>
            </w:r>
          </w:p>
        </w:tc>
        <w:tc>
          <w:tcPr>
            <w:tcW w:w="0" w:type="dxa"/>
            <w:vAlign w:val="bottom"/>
          </w:tcPr>
          <w:p>
            <w:pPr>
              <w:spacing w:after="0"/>
              <w:rPr>
                <w:sz w:val="1"/>
                <w:szCs w:val="1"/>
                <w:color w:val="auto"/>
              </w:rPr>
            </w:pPr>
          </w:p>
        </w:tc>
      </w:tr>
      <w:tr>
        <w:trPr>
          <w:trHeight w:val="129"/>
        </w:trPr>
        <w:tc>
          <w:tcPr>
            <w:tcW w:w="310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b w:val="1"/>
                <w:bCs w:val="1"/>
                <w:color w:val="auto"/>
              </w:rPr>
              <w:t>Balance at December 31, 2015</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64,817,359</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199,915</w:t>
            </w:r>
          </w:p>
        </w:tc>
        <w:tc>
          <w:tcPr>
            <w:tcW w:w="1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3,233,638</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5,234</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(88,348)</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(83,114)</w:t>
            </w:r>
          </w:p>
        </w:tc>
        <w:tc>
          <w:tcPr>
            <w:tcW w:w="0" w:type="dxa"/>
            <w:vAlign w:val="bottom"/>
          </w:tcPr>
          <w:p>
            <w:pPr>
              <w:spacing w:after="0"/>
              <w:rPr>
                <w:sz w:val="1"/>
                <w:szCs w:val="1"/>
                <w:color w:val="auto"/>
              </w:rPr>
            </w:pPr>
          </w:p>
        </w:tc>
      </w:tr>
      <w:tr>
        <w:trPr>
          <w:trHeight w:val="88"/>
        </w:trPr>
        <w:tc>
          <w:tcPr>
            <w:tcW w:w="3100" w:type="dxa"/>
            <w:vAlign w:val="bottom"/>
            <w:shd w:val="clear" w:color="auto" w:fill="CCEEFF"/>
          </w:tcPr>
          <w:p>
            <w:pPr>
              <w:spacing w:after="0" w:line="88" w:lineRule="exact"/>
              <w:rPr>
                <w:sz w:val="20"/>
                <w:szCs w:val="20"/>
                <w:color w:val="auto"/>
              </w:rPr>
            </w:pPr>
            <w:r>
              <w:rPr>
                <w:rFonts w:ascii="Arial" w:cs="Arial" w:eastAsia="Arial" w:hAnsi="Arial"/>
                <w:sz w:val="10"/>
                <w:szCs w:val="10"/>
                <w:color w:val="auto"/>
              </w:rPr>
              <w:t>Accretion of redeemable convertible preferred</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stock to redemption value</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line="108" w:lineRule="exact"/>
              <w:rPr>
                <w:sz w:val="20"/>
                <w:szCs w:val="20"/>
                <w:color w:val="auto"/>
              </w:rPr>
            </w:pPr>
            <w:r>
              <w:rPr>
                <w:rFonts w:ascii="Arial" w:cs="Arial" w:eastAsia="Arial" w:hAnsi="Arial"/>
                <w:sz w:val="12"/>
                <w:szCs w:val="12"/>
                <w:color w:val="auto"/>
              </w:rPr>
              <w:t>Conversion of redeemable convertible preferred</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4"/>
                <w:szCs w:val="14"/>
                <w:color w:val="auto"/>
                <w:w w:val="99"/>
              </w:rPr>
              <w:t>stock into common stock upon closing of the initial</w:t>
            </w: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3"/>
              </w:rPr>
              <w:t>(64,817,359)</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6"/>
              </w:rPr>
              <w:t>(199,962)</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24,929,709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8"/>
              </w:rPr>
              <w:t>199,954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199,962</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public offering</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Conversion of preferred stock warrant to common</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w w:val="99"/>
              </w:rPr>
              <w:t>stock warrant upon closing of initial public offering</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line="108" w:lineRule="exact"/>
              <w:rPr>
                <w:sz w:val="20"/>
                <w:szCs w:val="20"/>
                <w:color w:val="auto"/>
              </w:rPr>
            </w:pPr>
            <w:r>
              <w:rPr>
                <w:rFonts w:ascii="Arial" w:cs="Arial" w:eastAsia="Arial" w:hAnsi="Arial"/>
                <w:sz w:val="12"/>
                <w:szCs w:val="12"/>
                <w:color w:val="auto"/>
              </w:rPr>
              <w:t>Issuance of common stock from initial public</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6,785,000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97,487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97,488</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offering, net of issuance costs of $11.1 million</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Exercise of common stock warrant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19,271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4"/>
                <w:szCs w:val="14"/>
                <w:color w:val="auto"/>
              </w:rPr>
              <w:t>Exercise of stock options</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58,915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4"/>
                <w:szCs w:val="14"/>
                <w:color w:val="auto"/>
              </w:rPr>
              <w:t>233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08"/>
        </w:trPr>
        <w:tc>
          <w:tcPr>
            <w:tcW w:w="31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Vesting of restricted common stock and common</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431,018</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stock subject to repurchase</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4"/>
                <w:szCs w:val="14"/>
                <w:color w:val="auto"/>
              </w:rPr>
              <w:t>Vesting of founder shares</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360,580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4"/>
                <w:szCs w:val="14"/>
                <w:color w:val="auto"/>
              </w:rPr>
              <w:t>8,315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8,315</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8,566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8,566</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(97,183)</w:t>
            </w:r>
          </w:p>
        </w:tc>
        <w:tc>
          <w:tcPr>
            <w:tcW w:w="1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(97,183)</w:t>
            </w:r>
          </w:p>
        </w:tc>
        <w:tc>
          <w:tcPr>
            <w:tcW w:w="0" w:type="dxa"/>
            <w:vAlign w:val="bottom"/>
          </w:tcPr>
          <w:p>
            <w:pPr>
              <w:spacing w:after="0"/>
              <w:rPr>
                <w:sz w:val="1"/>
                <w:szCs w:val="1"/>
                <w:color w:val="auto"/>
              </w:rPr>
            </w:pPr>
          </w:p>
        </w:tc>
      </w:tr>
      <w:tr>
        <w:trPr>
          <w:trHeight w:val="149"/>
        </w:trPr>
        <w:tc>
          <w:tcPr>
            <w:tcW w:w="31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December 31, 2016</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1"/>
              </w:rPr>
              <w:t>35,818,131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8"/>
              </w:rPr>
              <w:t>320,129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(185,526)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134,607</w:t>
            </w:r>
          </w:p>
        </w:tc>
        <w:tc>
          <w:tcPr>
            <w:tcW w:w="0" w:type="dxa"/>
            <w:vAlign w:val="bottom"/>
          </w:tcPr>
          <w:p>
            <w:pPr>
              <w:spacing w:after="0"/>
              <w:rPr>
                <w:sz w:val="1"/>
                <w:szCs w:val="1"/>
                <w:color w:val="auto"/>
              </w:rPr>
            </w:pPr>
          </w:p>
        </w:tc>
      </w:tr>
      <w:tr>
        <w:trPr>
          <w:trHeight w:val="82"/>
        </w:trPr>
        <w:tc>
          <w:tcPr>
            <w:tcW w:w="3100" w:type="dxa"/>
            <w:vAlign w:val="bottom"/>
          </w:tcPr>
          <w:p>
            <w:pPr>
              <w:spacing w:after="0" w:line="82" w:lineRule="exact"/>
              <w:rPr>
                <w:sz w:val="20"/>
                <w:szCs w:val="20"/>
                <w:color w:val="auto"/>
              </w:rPr>
            </w:pPr>
            <w:r>
              <w:rPr>
                <w:rFonts w:ascii="Arial" w:cs="Arial" w:eastAsia="Arial" w:hAnsi="Arial"/>
                <w:sz w:val="9"/>
                <w:szCs w:val="9"/>
                <w:color w:val="auto"/>
              </w:rPr>
              <w:t>Issuance of common stock from public offering,</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7"/>
                <w:szCs w:val="7"/>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4,600,000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96,685</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7"/>
                <w:szCs w:val="7"/>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96,685</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net of issuance costs of $0.6 million</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Issuance of common stock for repayment of notes</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750,617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14,823</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14,823</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payable</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00" w:type="dxa"/>
            <w:vAlign w:val="bottom"/>
          </w:tcPr>
          <w:p>
            <w:pPr>
              <w:spacing w:after="0" w:line="108" w:lineRule="exact"/>
              <w:rPr>
                <w:sz w:val="20"/>
                <w:szCs w:val="20"/>
                <w:color w:val="auto"/>
              </w:rPr>
            </w:pPr>
            <w:r>
              <w:rPr>
                <w:rFonts w:ascii="Arial" w:cs="Arial" w:eastAsia="Arial" w:hAnsi="Arial"/>
                <w:sz w:val="12"/>
                <w:szCs w:val="12"/>
                <w:color w:val="auto"/>
              </w:rPr>
              <w:t>Issuance of common stock from public offering,</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2,265,500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57,223</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57,223</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net of issuance costs of $1.7 million</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Exercise of stock options</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272,210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1,768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108"/>
        </w:trPr>
        <w:tc>
          <w:tcPr>
            <w:tcW w:w="3100" w:type="dxa"/>
            <w:vAlign w:val="bottom"/>
          </w:tcPr>
          <w:p>
            <w:pPr>
              <w:spacing w:after="0" w:line="108" w:lineRule="exact"/>
              <w:rPr>
                <w:sz w:val="20"/>
                <w:szCs w:val="20"/>
                <w:color w:val="auto"/>
              </w:rPr>
            </w:pPr>
            <w:r>
              <w:rPr>
                <w:rFonts w:ascii="Arial" w:cs="Arial" w:eastAsia="Arial" w:hAnsi="Arial"/>
                <w:sz w:val="12"/>
                <w:szCs w:val="12"/>
                <w:color w:val="auto"/>
              </w:rPr>
              <w:t>Vesting of restricted common stock and common</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561,118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4,096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4,096</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stock subject to repurchase</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Vesting of founder shares</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240,384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3,989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3,989</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4"/>
                <w:szCs w:val="14"/>
                <w:color w:val="auto"/>
              </w:rPr>
              <w:t>15,289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15,289</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Unrealized losses on marketable securities</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w w:val="96"/>
              </w:rPr>
              <w:t>(120,324)</w:t>
            </w:r>
          </w:p>
        </w:tc>
        <w:tc>
          <w:tcPr>
            <w:tcW w:w="1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w w:val="93"/>
              </w:rPr>
              <w:t>(120,324)</w:t>
            </w:r>
          </w:p>
        </w:tc>
        <w:tc>
          <w:tcPr>
            <w:tcW w:w="0" w:type="dxa"/>
            <w:vAlign w:val="bottom"/>
          </w:tcPr>
          <w:p>
            <w:pPr>
              <w:spacing w:after="0"/>
              <w:rPr>
                <w:sz w:val="1"/>
                <w:szCs w:val="1"/>
                <w:color w:val="auto"/>
              </w:rPr>
            </w:pPr>
          </w:p>
        </w:tc>
      </w:tr>
      <w:tr>
        <w:trPr>
          <w:trHeight w:val="136"/>
        </w:trPr>
        <w:tc>
          <w:tcPr>
            <w:tcW w:w="31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December 31, 2017</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1"/>
              </w:rPr>
              <w:t>44,507,960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8"/>
              </w:rPr>
              <w:t>514,002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(305,850)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208,080</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609727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97270" cy="17145"/>
                    </a:xfrm>
                    <a:prstGeom prst="rect">
                      <a:avLst/>
                    </a:prstGeom>
                    <a:noFill/>
                  </pic:spPr>
                </pic:pic>
              </a:graphicData>
            </a:graphic>
          </wp:anchor>
        </w:drawing>
      </w:r>
    </w:p>
    <w:p>
      <w:pPr>
        <w:sectPr>
          <w:pgSz w:w="11900" w:h="16838" w:orient="portrait"/>
          <w:cols w:equalWidth="0" w:num="1">
            <w:col w:w="9580"/>
          </w:cols>
          <w:pgMar w:left="1160" w:top="111" w:right="115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29"/>
        </w:trPr>
        <w:tc>
          <w:tcPr>
            <w:tcW w:w="65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0"/>
              <w:spacing w:after="0" w:line="129"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70"/>
              <w:spacing w:after="0" w:line="129"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0"/>
              <w:spacing w:after="0" w:line="129" w:lineRule="exact"/>
              <w:rPr>
                <w:sz w:val="20"/>
                <w:szCs w:val="20"/>
                <w:color w:val="auto"/>
              </w:rPr>
            </w:pPr>
            <w:r>
              <w:rPr>
                <w:rFonts w:ascii="Arial" w:cs="Arial" w:eastAsia="Arial" w:hAnsi="Arial"/>
                <w:sz w:val="14"/>
                <w:szCs w:val="14"/>
                <w:b w:val="1"/>
                <w:bCs w:val="1"/>
                <w:color w:val="auto"/>
              </w:rPr>
              <w:t>2015</w:t>
            </w:r>
          </w:p>
        </w:tc>
      </w:tr>
      <w:tr>
        <w:trPr>
          <w:trHeight w:val="183"/>
        </w:trPr>
        <w:tc>
          <w:tcPr>
            <w:tcW w:w="65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 from operating activities</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ind w:right="45"/>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(120,324)</w:t>
            </w:r>
          </w:p>
        </w:tc>
        <w:tc>
          <w:tcPr>
            <w:tcW w:w="480" w:type="dxa"/>
            <w:vAlign w:val="bottom"/>
            <w:gridSpan w:val="2"/>
          </w:tcPr>
          <w:p>
            <w:pPr>
              <w:ind w:left="260"/>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(97,183)</w:t>
            </w:r>
          </w:p>
        </w:tc>
        <w:tc>
          <w:tcPr>
            <w:tcW w:w="46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(72,900)</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23,364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16,881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3,513</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Depreciation</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2,683</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1,202</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471</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Non-cash research and development expenses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14,500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10,000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Re-measurement of warrant to purchase redeemable securities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241</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Change in fair value of preferred stock tranche asset or liability</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35,551</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Changes in fair value of anti-dilutive protection liability</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1,609</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Other non-cash items, net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(300)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869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53</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9"/>
        </w:trPr>
        <w:tc>
          <w:tcPr>
            <w:tcW w:w="6500" w:type="dxa"/>
            <w:vAlign w:val="bottom"/>
          </w:tcPr>
          <w:p>
            <w:pPr>
              <w:ind w:left="220"/>
              <w:spacing w:after="0" w:line="189" w:lineRule="exact"/>
              <w:rPr>
                <w:sz w:val="20"/>
                <w:szCs w:val="20"/>
                <w:color w:val="auto"/>
              </w:rPr>
            </w:pPr>
            <w:r>
              <w:rPr>
                <w:rFonts w:ascii="Arial" w:cs="Arial" w:eastAsia="Arial" w:hAnsi="Arial"/>
                <w:sz w:val="18"/>
                <w:szCs w:val="18"/>
                <w:color w:val="auto"/>
              </w:rPr>
              <w:t>Accounts receivable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(591)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931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(1,019)</w:t>
            </w:r>
          </w:p>
        </w:tc>
      </w:tr>
      <w:tr>
        <w:trPr>
          <w:trHeight w:val="189"/>
        </w:trPr>
        <w:tc>
          <w:tcPr>
            <w:tcW w:w="65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(1,306)</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(373)</w:t>
            </w:r>
          </w:p>
        </w:tc>
      </w:tr>
      <w:tr>
        <w:trPr>
          <w:trHeight w:val="189"/>
        </w:trPr>
        <w:tc>
          <w:tcPr>
            <w:tcW w:w="6500" w:type="dxa"/>
            <w:vAlign w:val="bottom"/>
          </w:tcPr>
          <w:p>
            <w:pPr>
              <w:ind w:left="220"/>
              <w:spacing w:after="0" w:line="189" w:lineRule="exact"/>
              <w:rPr>
                <w:sz w:val="20"/>
                <w:szCs w:val="20"/>
                <w:color w:val="auto"/>
              </w:rPr>
            </w:pPr>
            <w:r>
              <w:rPr>
                <w:rFonts w:ascii="Arial" w:cs="Arial" w:eastAsia="Arial" w:hAnsi="Arial"/>
                <w:sz w:val="18"/>
                <w:szCs w:val="18"/>
                <w:color w:val="auto"/>
              </w:rPr>
              <w:t>Other non-current assets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2,246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5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(1,515)</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3,251</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(1,436)</w:t>
            </w:r>
          </w:p>
        </w:tc>
      </w:tr>
      <w:tr>
        <w:trPr>
          <w:trHeight w:val="189"/>
        </w:trPr>
        <w:tc>
          <w:tcPr>
            <w:tcW w:w="6500" w:type="dxa"/>
            <w:vAlign w:val="bottom"/>
          </w:tcPr>
          <w:p>
            <w:pPr>
              <w:ind w:left="220"/>
              <w:spacing w:after="0" w:line="189" w:lineRule="exact"/>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(8,334)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11,841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3,526</w:t>
            </w:r>
          </w:p>
        </w:tc>
      </w:tr>
      <w:tr>
        <w:trPr>
          <w:trHeight w:val="189"/>
        </w:trPr>
        <w:tc>
          <w:tcPr>
            <w:tcW w:w="65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Deferred revenue</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81,707</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935</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25,321</w:t>
            </w:r>
          </w:p>
        </w:tc>
      </w:tr>
      <w:tr>
        <w:trPr>
          <w:trHeight w:val="189"/>
        </w:trPr>
        <w:tc>
          <w:tcPr>
            <w:tcW w:w="650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Other current and non-current liabilities</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650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Net cash used in operating activities</w:t>
            </w: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(9,417)</w:t>
            </w:r>
          </w:p>
        </w:tc>
        <w:tc>
          <w:tcPr>
            <w:tcW w:w="2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(50,246)</w:t>
            </w:r>
          </w:p>
        </w:tc>
        <w:tc>
          <w:tcPr>
            <w:tcW w:w="2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(5,443)</w:t>
            </w:r>
          </w:p>
        </w:tc>
      </w:tr>
      <w:tr>
        <w:trPr>
          <w:trHeight w:val="183"/>
        </w:trPr>
        <w:tc>
          <w:tcPr>
            <w:tcW w:w="6500" w:type="dxa"/>
            <w:vAlign w:val="bottom"/>
          </w:tcPr>
          <w:p>
            <w:pPr>
              <w:spacing w:after="0" w:line="182" w:lineRule="exact"/>
              <w:rPr>
                <w:sz w:val="20"/>
                <w:szCs w:val="20"/>
                <w:color w:val="auto"/>
              </w:rPr>
            </w:pPr>
            <w:r>
              <w:rPr>
                <w:rFonts w:ascii="Arial" w:cs="Arial" w:eastAsia="Arial" w:hAnsi="Arial"/>
                <w:sz w:val="18"/>
                <w:szCs w:val="18"/>
                <w:b w:val="1"/>
                <w:bCs w:val="1"/>
                <w:color w:val="auto"/>
              </w:rPr>
              <w:t>Cash flow from investing activities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Purchases of property and equipment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(2,059)</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(3,493)</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(1,431)</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Proceeds from the sale of equipment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Purchases of marketable securities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(375,266)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5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Proceeds from maturities of marketable securities</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193,500</w:t>
            </w:r>
          </w:p>
        </w:tc>
        <w:tc>
          <w:tcPr>
            <w:tcW w:w="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650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Net cash used in investing activities</w:t>
            </w: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(183,810)</w:t>
            </w:r>
          </w:p>
        </w:tc>
        <w:tc>
          <w:tcPr>
            <w:tcW w:w="2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(3,473)</w:t>
            </w:r>
          </w:p>
        </w:tc>
        <w:tc>
          <w:tcPr>
            <w:tcW w:w="2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(1,431)</w:t>
            </w:r>
          </w:p>
        </w:tc>
      </w:tr>
      <w:tr>
        <w:trPr>
          <w:trHeight w:val="183"/>
        </w:trPr>
        <w:tc>
          <w:tcPr>
            <w:tcW w:w="6500" w:type="dxa"/>
            <w:vAlign w:val="bottom"/>
          </w:tcPr>
          <w:p>
            <w:pPr>
              <w:spacing w:after="0" w:line="182" w:lineRule="exact"/>
              <w:rPr>
                <w:sz w:val="20"/>
                <w:szCs w:val="20"/>
                <w:color w:val="auto"/>
              </w:rPr>
            </w:pPr>
            <w:r>
              <w:rPr>
                <w:rFonts w:ascii="Arial" w:cs="Arial" w:eastAsia="Arial" w:hAnsi="Arial"/>
                <w:sz w:val="18"/>
                <w:szCs w:val="18"/>
                <w:b w:val="1"/>
                <w:bCs w:val="1"/>
                <w:color w:val="auto"/>
              </w:rPr>
              <w:t>Cash flow from financing activities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Proceeds from equipment loan, net of issuance costs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1,500</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Proceeds from offering of common stock, net of issuance costs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154,143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97,488</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Proceeds from exercise of stock options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1,755</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Payments on construction financing lease obligation</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(764)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(560)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61"/>
        </w:trPr>
        <w:tc>
          <w:tcPr>
            <w:tcW w:w="65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0"/>
              </w:rPr>
              <w:t>Proceeds from the issuance of redeemable convertible preferred stock and tranche rights,</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17"/>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of issuance costs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141,711</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Payments of notes payable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(600)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Payments of equipment loan principal</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(2,000)</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Payments of final fee for loan payoff</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(80)</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Proceeds from the issuance of common stock and restricted stock</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w:t>
            </w:r>
          </w:p>
        </w:tc>
      </w:tr>
      <w:tr>
        <w:trPr>
          <w:trHeight w:val="189"/>
        </w:trPr>
        <w:tc>
          <w:tcPr>
            <w:tcW w:w="65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Payments of initial public offering costs</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(1,746)</w:t>
            </w:r>
          </w:p>
        </w:tc>
      </w:tr>
      <w:tr>
        <w:trPr>
          <w:trHeight w:val="183"/>
        </w:trPr>
        <w:tc>
          <w:tcPr>
            <w:tcW w:w="650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Net cash provided by financing activities</w:t>
            </w:r>
          </w:p>
        </w:tc>
        <w:tc>
          <w:tcPr>
            <w:tcW w:w="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154,534</w:t>
            </w:r>
          </w:p>
        </w:tc>
        <w:tc>
          <w:tcPr>
            <w:tcW w:w="2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97,161</w:t>
            </w:r>
          </w:p>
        </w:tc>
        <w:tc>
          <w:tcPr>
            <w:tcW w:w="2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139,391</w:t>
            </w:r>
          </w:p>
        </w:tc>
      </w:tr>
      <w:tr>
        <w:trPr>
          <w:trHeight w:val="183"/>
        </w:trPr>
        <w:tc>
          <w:tcPr>
            <w:tcW w:w="6500" w:type="dxa"/>
            <w:vAlign w:val="bottom"/>
          </w:tcPr>
          <w:p>
            <w:pPr>
              <w:spacing w:after="0" w:line="182" w:lineRule="exact"/>
              <w:rPr>
                <w:sz w:val="20"/>
                <w:szCs w:val="20"/>
                <w:color w:val="auto"/>
              </w:rPr>
            </w:pPr>
            <w:r>
              <w:rPr>
                <w:rFonts w:ascii="Arial" w:cs="Arial" w:eastAsia="Arial" w:hAnsi="Arial"/>
                <w:sz w:val="18"/>
                <w:szCs w:val="18"/>
                <w:color w:val="auto"/>
              </w:rPr>
              <w:t>Net increase (decrease) in cash, cash equivalents, and restricted cash</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(38,693)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43,442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132,517</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186,942</w:t>
            </w:r>
          </w:p>
        </w:tc>
        <w:tc>
          <w:tcPr>
            <w:tcW w:w="2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143,500</w:t>
            </w:r>
          </w:p>
        </w:tc>
        <w:tc>
          <w:tcPr>
            <w:tcW w:w="2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10,983</w:t>
            </w:r>
          </w:p>
        </w:tc>
      </w:tr>
      <w:tr>
        <w:trPr>
          <w:trHeight w:val="190"/>
        </w:trPr>
        <w:tc>
          <w:tcPr>
            <w:tcW w:w="65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Cash, cash equivalents, and restricted cash, end of period</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148,249</w:t>
            </w:r>
          </w:p>
        </w:tc>
        <w:tc>
          <w:tcPr>
            <w:tcW w:w="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186,942</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143,500</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disclosure of cash and non-cash activities: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Accretion of redeemable convertible preferred stock to redemption value</w:t>
            </w:r>
          </w:p>
        </w:tc>
        <w:tc>
          <w:tcPr>
            <w:tcW w:w="260" w:type="dxa"/>
            <w:vAlign w:val="bottom"/>
            <w:gridSpan w:val="2"/>
          </w:tcPr>
          <w:p>
            <w:pPr>
              <w:jc w:val="right"/>
              <w:ind w:right="45"/>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80" w:type="dxa"/>
            <w:vAlign w:val="bottom"/>
            <w:gridSpan w:val="2"/>
          </w:tcPr>
          <w:p>
            <w:pPr>
              <w:ind w:left="260"/>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47</w:t>
            </w:r>
          </w:p>
        </w:tc>
        <w:tc>
          <w:tcPr>
            <w:tcW w:w="46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394</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Fixed asset additions included in accounts payable and accrued expenses</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623</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Construction financing lease obligation</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35,941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Conversion of anti-dilutive protection liability to common stock</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1,936</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Reclassification of warrants to additional paid in capital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376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Conversion of preferred stock to common stock upon closing of the initial public offering</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199,962</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Reclassification of liability for common stock subject to repurchase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Interest paid</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465</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w:t>
            </w:r>
          </w:p>
        </w:tc>
      </w:tr>
      <w:tr>
        <w:trPr>
          <w:trHeight w:val="189"/>
        </w:trPr>
        <w:tc>
          <w:tcPr>
            <w:tcW w:w="6500" w:type="dxa"/>
            <w:vAlign w:val="bottom"/>
          </w:tcPr>
          <w:p>
            <w:pPr>
              <w:spacing w:after="0" w:line="189" w:lineRule="exact"/>
              <w:rPr>
                <w:sz w:val="20"/>
                <w:szCs w:val="20"/>
                <w:color w:val="auto"/>
              </w:rPr>
            </w:pPr>
            <w:r>
              <w:rPr>
                <w:rFonts w:ascii="Arial" w:cs="Arial" w:eastAsia="Arial" w:hAnsi="Arial"/>
                <w:sz w:val="18"/>
                <w:szCs w:val="18"/>
                <w:color w:val="auto"/>
              </w:rPr>
              <w:t>Offering expenses included in accounts payable and accrued expenses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235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502</w:t>
            </w: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Reclassification of preferred stock tranche liability upon settlement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37,038</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Issuance of common stock for settlement of notes payable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14,823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41" w:name="page142"/>
    <w:bookmarkEnd w:id="1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Editas Medicine,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48" w:lineRule="exact"/>
        <w:rPr>
          <w:sz w:val="20"/>
          <w:szCs w:val="20"/>
          <w:color w:val="auto"/>
        </w:rPr>
      </w:pPr>
    </w:p>
    <w:p>
      <w:pPr>
        <w:ind w:right="200" w:firstLine="648"/>
        <w:spacing w:after="0" w:line="194" w:lineRule="exact"/>
        <w:rPr>
          <w:sz w:val="20"/>
          <w:szCs w:val="20"/>
          <w:color w:val="auto"/>
        </w:rPr>
      </w:pPr>
      <w:r>
        <w:rPr>
          <w:rFonts w:ascii="Arial" w:cs="Arial" w:eastAsia="Arial" w:hAnsi="Arial"/>
          <w:sz w:val="18"/>
          <w:szCs w:val="18"/>
          <w:color w:val="auto"/>
        </w:rPr>
        <w:t>Editas Medicine, Inc. (the “Company”) is a research stage company dedicated to treating patients with genetically defined diseases by correcting their disease</w:t>
      </w:r>
      <w:r>
        <w:rPr>
          <w:rFonts w:ascii="MS PGothic" w:cs="MS PGothic" w:eastAsia="MS PGothic" w:hAnsi="MS PGothic"/>
          <w:sz w:val="18"/>
          <w:szCs w:val="18"/>
          <w:color w:val="auto"/>
        </w:rPr>
        <w:t>‑</w:t>
      </w:r>
      <w:r>
        <w:rPr>
          <w:rFonts w:ascii="Arial" w:cs="Arial" w:eastAsia="Arial" w:hAnsi="Arial"/>
          <w:sz w:val="18"/>
          <w:szCs w:val="18"/>
          <w:color w:val="auto"/>
        </w:rPr>
        <w:t>causing genes. The Company was incorporated in the state of Delaware in September 2013. Its principal offices are in Cambridge, Massachusetts.</w:t>
      </w:r>
    </w:p>
    <w:p>
      <w:pPr>
        <w:spacing w:after="0" w:line="123"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Since its inception, the Company has devoted substantially all of its efforts to business planning, research and development, recruiting management and technical staff, and raising capital. The Company has primarily financed its operations through various equity and debt financings, including the initial public offering of its common stock (the “IPO”), its follow-on public offerings of its common stock in March 2017 and December 2017, and private placements of preferred stock, from upfront, milestone and research and development fees paid under a research collaboration with Juno Therapeutics, Inc. (“Juno Therapeutics”), and from an upfront payment paid under a strategic alliance and option agreement with Allergan Pharmaceuticals International Limited (“Allergan”).</w:t>
      </w:r>
    </w:p>
    <w:p>
      <w:pPr>
        <w:spacing w:after="0" w:line="122"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8"/>
          <w:szCs w:val="18"/>
          <w:color w:val="auto"/>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protection of proprietary technology, compliance with government regulations, development by competitors of technological innovations and ability to transition from pilot</w:t>
      </w:r>
      <w:r>
        <w:rPr>
          <w:rFonts w:ascii="MS PGothic" w:cs="MS PGothic" w:eastAsia="MS PGothic" w:hAnsi="MS PGothic"/>
          <w:sz w:val="18"/>
          <w:szCs w:val="18"/>
          <w:color w:val="auto"/>
        </w:rPr>
        <w:t>‑</w:t>
      </w:r>
      <w:r>
        <w:rPr>
          <w:rFonts w:ascii="Arial" w:cs="Arial" w:eastAsia="Arial" w:hAnsi="Arial"/>
          <w:sz w:val="18"/>
          <w:szCs w:val="18"/>
          <w:color w:val="auto"/>
        </w:rPr>
        <w:t>scale manufacturing to large</w:t>
      </w:r>
      <w:r>
        <w:rPr>
          <w:rFonts w:ascii="MS PGothic" w:cs="MS PGothic" w:eastAsia="MS PGothic" w:hAnsi="MS PGothic"/>
          <w:sz w:val="18"/>
          <w:szCs w:val="18"/>
          <w:color w:val="auto"/>
        </w:rPr>
        <w:t>‑</w:t>
      </w:r>
      <w:r>
        <w:rPr>
          <w:rFonts w:ascii="Arial" w:cs="Arial" w:eastAsia="Arial" w:hAnsi="Arial"/>
          <w:sz w:val="18"/>
          <w:szCs w:val="18"/>
          <w:color w:val="auto"/>
        </w:rPr>
        <w:t>scale production of products.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144"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In February 2016, the Company completed its IPO whereby the Company sold 6,785,000 shares of its common stock, inclusive of 885,000 shares of common stock sold by the Company pursuant to the full exercise of an option granted to the underwriters in connection with the offering, at a price to the public of $16.00 per share. The shares began trading on the Nasdaq Global Select Market on February 3, 2016. The aggregate net proceeds received by the Company from the offering were $97.5 million, after deducting underwriting discounts and commissions and other offering expenses payable by the Company.</w:t>
      </w:r>
    </w:p>
    <w:p>
      <w:pPr>
        <w:spacing w:after="0" w:line="122" w:lineRule="exact"/>
        <w:rPr>
          <w:sz w:val="20"/>
          <w:szCs w:val="20"/>
          <w:color w:val="auto"/>
        </w:rPr>
      </w:pPr>
    </w:p>
    <w:p>
      <w:pPr>
        <w:ind w:right="100" w:firstLine="648"/>
        <w:spacing w:after="0" w:line="219" w:lineRule="auto"/>
        <w:rPr>
          <w:sz w:val="20"/>
          <w:szCs w:val="20"/>
          <w:color w:val="auto"/>
        </w:rPr>
      </w:pPr>
      <w:r>
        <w:rPr>
          <w:rFonts w:ascii="Arial" w:cs="Arial" w:eastAsia="Arial" w:hAnsi="Arial"/>
          <w:sz w:val="17"/>
          <w:szCs w:val="17"/>
          <w:color w:val="auto"/>
        </w:rPr>
        <w:t>In March 2017, the Company completed a follow-on offering whereby the Company sold 4,600,000 shares of its common stock, inclusive of 600,000 shares of common stock sold by the Company pursuant to the full exercise of an option granted to the underwriters in connection with the offering, at a price to the public of $22.50 per share (the “March Offering”). The aggregate net proceeds received by the Company from the March Offering were $96.7 million, after deducting underwriting discounts and commissions and other offering expenses payable by the Company.</w:t>
      </w:r>
    </w:p>
    <w:p>
      <w:pPr>
        <w:spacing w:after="0" w:line="2"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color w:val="auto"/>
        </w:rPr>
        <w:t>In December 2017, the Company completed a public offering whereby the Company sold 2,265,500 shares of its common stock, inclusive of 295,500 shares of common stock sold by the Company pursuant to the full exercise of an option granted to the underwriter in connection with the offering, at a price to the public of $26.00 per share (the “December Offering”). The aggregate net proceeds received by the Company from the December Offering were $57.2 million, after deducting underwriting discounts and other offering expenses payable by the Company.</w:t>
      </w:r>
    </w:p>
    <w:p>
      <w:pPr>
        <w:spacing w:after="0" w:line="121" w:lineRule="exact"/>
        <w:rPr>
          <w:sz w:val="20"/>
          <w:szCs w:val="20"/>
          <w:color w:val="auto"/>
        </w:rPr>
      </w:pPr>
    </w:p>
    <w:p>
      <w:pPr>
        <w:ind w:right="120" w:firstLine="648"/>
        <w:spacing w:after="0" w:line="248" w:lineRule="auto"/>
        <w:rPr>
          <w:sz w:val="20"/>
          <w:szCs w:val="20"/>
          <w:color w:val="auto"/>
        </w:rPr>
      </w:pPr>
      <w:r>
        <w:rPr>
          <w:rFonts w:ascii="Arial" w:cs="Arial" w:eastAsia="Arial" w:hAnsi="Arial"/>
          <w:sz w:val="16"/>
          <w:szCs w:val="16"/>
          <w:color w:val="auto"/>
        </w:rPr>
        <w:t>The Company has incurred annual net operating losses in every year since its inception. The Company expects that its existing cash, cash equivalents, and marketable securities at December 31, 2017, anticipated interest income, and</w:t>
      </w:r>
    </w:p>
    <w:p>
      <w:pPr>
        <w:spacing w:after="0" w:line="221" w:lineRule="auto"/>
        <w:rPr>
          <w:sz w:val="20"/>
          <w:szCs w:val="20"/>
          <w:color w:val="auto"/>
        </w:rPr>
      </w:pPr>
      <w:r>
        <w:rPr>
          <w:rFonts w:ascii="Arial" w:cs="Arial" w:eastAsia="Arial" w:hAnsi="Arial"/>
          <w:sz w:val="17"/>
          <w:szCs w:val="17"/>
          <w:color w:val="auto"/>
        </w:rPr>
        <w:t>anticipated research support under the Company’s collaboration agreement with Juno Therapeutics will enable it to fund its operating expenses and capital expenditure requirements for at least the next 24 months following the date of this Annual Report on Form 10-K. The Company had an accumulated deficit of $305.9 million at December 31, 2017, and will require substantial additional capital to fund its operations. The Company has never generated any product revenue. There can be no assurance that the Company will be able to obtain additional debt or equity financing or generate product revenue or revenues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48" w:lineRule="exact"/>
        <w:rPr>
          <w:sz w:val="20"/>
          <w:szCs w:val="20"/>
          <w:color w:val="auto"/>
        </w:rPr>
      </w:pPr>
    </w:p>
    <w:p>
      <w:pPr>
        <w:ind w:left="660" w:right="5580" w:hanging="657"/>
        <w:spacing w:after="0" w:line="460" w:lineRule="auto"/>
        <w:tabs>
          <w:tab w:leader="none" w:pos="19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Principles of Consolidation</w:t>
      </w:r>
    </w:p>
    <w:p>
      <w:pPr>
        <w:spacing w:after="0" w:line="1"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The accompanying consolidated financial statements include the accounts of Editas Medicine, Inc. and its wholly owned subsidiary, Editas Securities Corporation, which is a Delaware subsidiary created to buy, sell and hold securities. All intercompany transactions and balances have been eliminated.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Updates (“ASU”) of the Financial Accounting Standards Board (“FASB”).</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44"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color w:val="auto"/>
        </w:rPr>
        <w:t>Certain prior period amounts have been reclassified for consistency with the current period presentation. These reclassifications had no effect on previously reported 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On an ongoing basis, the Company’s management evaluates its estimates, which include, but are not limited to, estimates related to revenue recognition, accrued expenses, stock-based compensation expense, deferred tax valuation allowances and sub-license fees due to certain of its licensors. The Company bases its estimates on historical experience and other market-specific or relevant assumptions that it believes to be reasonable under the circumstances. Actual results may differ from those estimates or assumptions.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44"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25" w:lineRule="exact"/>
        <w:rPr>
          <w:sz w:val="20"/>
          <w:szCs w:val="20"/>
          <w:color w:val="auto"/>
        </w:rPr>
      </w:pPr>
    </w:p>
    <w:p>
      <w:pPr>
        <w:ind w:right="160" w:firstLine="648"/>
        <w:spacing w:after="0" w:line="189" w:lineRule="exact"/>
        <w:rPr>
          <w:sz w:val="20"/>
          <w:szCs w:val="20"/>
          <w:color w:val="auto"/>
        </w:rPr>
      </w:pPr>
      <w:r>
        <w:rPr>
          <w:rFonts w:ascii="Arial" w:cs="Arial" w:eastAsia="Arial" w:hAnsi="Arial"/>
          <w:sz w:val="18"/>
          <w:szCs w:val="18"/>
          <w:color w:val="auto"/>
        </w:rPr>
        <w:t>ASC 820 identifies fair value as the exchange price representing the amount that would be received to sell an asset or paid to transfer a liability in an orderly transaction between market participants. As a basis for considering market participant assumptions in fair value measurements, ASC 820 establishes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that distinguishes between the following:</w:t>
      </w:r>
    </w:p>
    <w:p>
      <w:pPr>
        <w:spacing w:after="0" w:line="122" w:lineRule="exact"/>
        <w:rPr>
          <w:sz w:val="20"/>
          <w:szCs w:val="20"/>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market prices in active markets for identical assets or liabilities.</w:t>
      </w:r>
    </w:p>
    <w:p>
      <w:pPr>
        <w:spacing w:after="0" w:line="14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inputs that are either directly or indirectly observable, such as quoted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interest rates, and yield curves.</w:t>
      </w:r>
    </w:p>
    <w:p>
      <w:pPr>
        <w:spacing w:after="0" w:line="121" w:lineRule="exact"/>
        <w:rPr>
          <w:rFonts w:ascii="Arial" w:cs="Arial" w:eastAsia="Arial" w:hAnsi="Arial"/>
          <w:sz w:val="18"/>
          <w:szCs w:val="18"/>
          <w:color w:val="auto"/>
        </w:rPr>
      </w:pPr>
    </w:p>
    <w:p>
      <w:pPr>
        <w:ind w:left="980" w:right="300" w:hanging="329"/>
        <w:spacing w:after="0" w:line="235"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developed using estimates of assumptions developed by the Company,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those that a market participant would use.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3" w:name="page144"/>
    <w:bookmarkEnd w:id="1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22" w:lineRule="exact"/>
        <w:rPr>
          <w:sz w:val="20"/>
          <w:szCs w:val="20"/>
          <w:color w:val="auto"/>
        </w:rPr>
      </w:pPr>
    </w:p>
    <w:p>
      <w:pPr>
        <w:ind w:right="260" w:firstLine="648"/>
        <w:spacing w:after="0" w:line="189" w:lineRule="exact"/>
        <w:rPr>
          <w:sz w:val="20"/>
          <w:szCs w:val="20"/>
          <w:color w:val="auto"/>
        </w:rPr>
      </w:pPr>
      <w:r>
        <w:rPr>
          <w:rFonts w:ascii="Arial" w:cs="Arial" w:eastAsia="Arial" w:hAnsi="Arial"/>
          <w:sz w:val="16"/>
          <w:szCs w:val="16"/>
          <w:color w:val="auto"/>
        </w:rPr>
        <w:t>The carrying amounts reflected in the consolidated balance sheets for cash and cash equivalents, restricted cash, marketable securities, accounts receivable, prepaid expenses and other current assets, accounts payable, accrued expenses, and other current liabilities approximate their fair values, due to their short</w:t>
      </w:r>
      <w:r>
        <w:rPr>
          <w:rFonts w:ascii="MS PGothic" w:cs="MS PGothic" w:eastAsia="MS PGothic" w:hAnsi="MS PGothic"/>
          <w:sz w:val="16"/>
          <w:szCs w:val="16"/>
          <w:color w:val="auto"/>
        </w:rPr>
        <w:t>‑</w:t>
      </w:r>
      <w:r>
        <w:rPr>
          <w:rFonts w:ascii="Arial" w:cs="Arial" w:eastAsia="Arial" w:hAnsi="Arial"/>
          <w:sz w:val="16"/>
          <w:szCs w:val="16"/>
          <w:color w:val="auto"/>
        </w:rPr>
        <w:t>term nature. The Company believes that the carrying value of the notes payable approximates their fair value based on Level 3 inputs including a quoted rate.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44"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money market funds and U.S. government-backed securities.</w:t>
      </w:r>
    </w:p>
    <w:p>
      <w:pPr>
        <w:spacing w:after="0" w:line="123"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The Company had restricted cash of $1.6 million, $1.6 million, and $0.3 million held in the form of money market accounts as collateral for the Company’s facility lease obligation as of December 31, 2017, 2016 and 2015, respectively.</w:t>
      </w:r>
    </w:p>
    <w:p>
      <w:pPr>
        <w:spacing w:after="0" w:line="84" w:lineRule="exact"/>
        <w:rPr>
          <w:sz w:val="20"/>
          <w:szCs w:val="20"/>
          <w:color w:val="auto"/>
        </w:rPr>
      </w:pPr>
    </w:p>
    <w:p>
      <w:pPr>
        <w:ind w:right="400" w:firstLine="648"/>
        <w:spacing w:after="0" w:line="258" w:lineRule="auto"/>
        <w:rPr>
          <w:sz w:val="20"/>
          <w:szCs w:val="20"/>
          <w:color w:val="auto"/>
        </w:rPr>
      </w:pPr>
      <w:r>
        <w:rPr>
          <w:rFonts w:ascii="Arial" w:cs="Arial" w:eastAsia="Arial" w:hAnsi="Arial"/>
          <w:sz w:val="17"/>
          <w:szCs w:val="17"/>
          <w:color w:val="auto"/>
        </w:rPr>
        <w:t>The following table presents cash, cash equivalents, and restricted cash as reported on the consolidated balance sheets that equal the total amounts on the consolidated statements of cash flows (in thousands):</w:t>
      </w:r>
    </w:p>
    <w:p>
      <w:pPr>
        <w:spacing w:after="0" w:line="142"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Year Ended</w:t>
      </w:r>
    </w:p>
    <w:p>
      <w:pPr>
        <w:ind w:left="6780"/>
        <w:spacing w:after="0" w:line="221" w:lineRule="auto"/>
        <w:rPr>
          <w:sz w:val="20"/>
          <w:szCs w:val="20"/>
          <w:color w:val="auto"/>
        </w:rPr>
      </w:pPr>
      <w:r>
        <w:rPr>
          <w:rFonts w:ascii="Arial" w:cs="Arial" w:eastAsia="Arial" w:hAnsi="Arial"/>
          <w:sz w:val="14"/>
          <w:szCs w:val="14"/>
          <w:b w:val="1"/>
          <w:bCs w:val="1"/>
          <w:color w:val="auto"/>
        </w:rPr>
        <w:t>As of December 31,</w:t>
      </w:r>
    </w:p>
    <w:tbl>
      <w:tblPr>
        <w:tblLayout w:type="fixed"/>
        <w:tblInd w:w="0" w:type="dxa"/>
        <w:tblCellMar>
          <w:top w:w="0" w:type="dxa"/>
          <w:left w:w="0" w:type="dxa"/>
          <w:bottom w:w="0" w:type="dxa"/>
          <w:right w:w="0" w:type="dxa"/>
        </w:tblCellMar>
      </w:tblPr>
      <w:tr>
        <w:trPr>
          <w:trHeight w:val="136"/>
        </w:trPr>
        <w:tc>
          <w:tcPr>
            <w:tcW w:w="57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14"/>
              <w:spacing w:after="0" w:line="136"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2015</w:t>
            </w:r>
          </w:p>
        </w:tc>
      </w:tr>
      <w:tr>
        <w:trPr>
          <w:trHeight w:val="169"/>
        </w:trPr>
        <w:tc>
          <w:tcPr>
            <w:tcW w:w="57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146,630</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185,323</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143,180</w:t>
            </w:r>
          </w:p>
        </w:tc>
      </w:tr>
      <w:tr>
        <w:trPr>
          <w:trHeight w:val="176"/>
        </w:trPr>
        <w:tc>
          <w:tcPr>
            <w:tcW w:w="5720" w:type="dxa"/>
            <w:vAlign w:val="bottom"/>
          </w:tcPr>
          <w:p>
            <w:pPr>
              <w:spacing w:after="0" w:line="176" w:lineRule="exact"/>
              <w:rPr>
                <w:sz w:val="20"/>
                <w:szCs w:val="20"/>
                <w:color w:val="auto"/>
              </w:rPr>
            </w:pPr>
            <w:r>
              <w:rPr>
                <w:rFonts w:ascii="Arial" w:cs="Arial" w:eastAsia="Arial" w:hAnsi="Arial"/>
                <w:sz w:val="18"/>
                <w:szCs w:val="18"/>
                <w:color w:val="auto"/>
                <w:w w:val="98"/>
              </w:rPr>
              <w:t>Restricted cash included in "Prepaid expenses and other current assets"</w:t>
            </w: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32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320</w:t>
            </w:r>
          </w:p>
        </w:tc>
      </w:tr>
      <w:tr>
        <w:trPr>
          <w:trHeight w:val="176"/>
        </w:trPr>
        <w:tc>
          <w:tcPr>
            <w:tcW w:w="5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6"/>
              </w:rPr>
              <w:t>Restricted cash included in "Restricted cash and other non-current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1,619</w:t>
            </w:r>
          </w:p>
        </w:tc>
        <w:tc>
          <w:tcPr>
            <w:tcW w:w="2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1,619</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720" w:type="dxa"/>
            <w:vAlign w:val="bottom"/>
          </w:tcPr>
          <w:p>
            <w:pPr>
              <w:ind w:left="220"/>
              <w:spacing w:after="0" w:line="170"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148,249</w:t>
            </w:r>
          </w:p>
        </w:tc>
        <w:tc>
          <w:tcPr>
            <w:tcW w:w="280" w:type="dxa"/>
            <w:vAlign w:val="bottom"/>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186,942</w:t>
            </w: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143,500</w:t>
            </w: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44"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The Company classifies marketable securities with a remaining maturity when purchased of greater than three months and less than one year from the balance sheet date as current. Marketable securities with a remaining maturity date greater than one year are classified as non-current. The Company classifies all of its marketable securities as available-for-sale securities. Available-for-sale securities are carried at fair value with the unrealized gains and losses included in other comprehensive loss as a component of stockholders’ equity (deficit) until realized. Any premium or discount arising at purchase is amortized and/or accreted to interest income and/or expense over the life of the of the underlying security. Realized gains and losses are included in other income (expense). If any adjustment to fair value reflects a decline in value of the investment, the Company considers all available evidence to evaluate the extent to which the decline is “other-than-temporary.”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does not intend to sell the investments and it is not likely that the Company will be required to sell the investments before recovery of their amortized cost bases, which may be maturity.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4"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Company makes judgments as to its ability to collect outstanding receivables and provides an allowance for receivables when collection becomes doubtful. Provisions are made based upon a specific review of all significant outstanding invoices and the overall quality and age of those invoices not specifically reviewed. The Company's receivables primarily relate to amounts reimbursed under its collaboration agreement with Juno Therapeutics. The Company believes that credit risks associated with its collaborations partner is not significant. To date, the Company has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4" w:name="page145"/>
    <w:bookmarkEnd w:id="1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color w:val="auto"/>
        </w:rPr>
        <w:t>not had any write-offs of bad debt, and the Company did not have an allowance for doubtful accounts as of December 31, 2017 and 2016.</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44" w:lineRule="exact"/>
        <w:rPr>
          <w:sz w:val="20"/>
          <w:szCs w:val="20"/>
          <w:color w:val="auto"/>
        </w:rPr>
      </w:pPr>
    </w:p>
    <w:p>
      <w:pPr>
        <w:ind w:right="19" w:firstLine="648"/>
        <w:spacing w:after="0" w:line="185" w:lineRule="exact"/>
        <w:rPr>
          <w:sz w:val="20"/>
          <w:szCs w:val="20"/>
          <w:color w:val="auto"/>
        </w:rPr>
      </w:pPr>
      <w:r>
        <w:rPr>
          <w:rFonts w:ascii="Arial" w:cs="Arial" w:eastAsia="Arial" w:hAnsi="Arial"/>
          <w:sz w:val="18"/>
          <w:szCs w:val="18"/>
          <w:color w:val="auto"/>
        </w:rPr>
        <w:t>Property and equipment consists of computers,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 betterments are capitalized. Depreciation is calculated over the estimated useful lives of the assets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The Company capitalizes laboratory equipment used for research and development if it has alternative future use in research and development or otherwise.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w:t>
            </w:r>
          </w:p>
        </w:tc>
        <w:tc>
          <w:tcPr>
            <w:tcW w:w="160" w:type="dxa"/>
            <w:vAlign w:val="bottom"/>
            <w:tcBorders>
              <w:bottom w:val="single" w:sz="8" w:color="CCEEFF"/>
            </w:tcBorders>
          </w:tcPr>
          <w:p>
            <w:pPr>
              <w:spacing w:after="0"/>
              <w:rPr>
                <w:sz w:val="14"/>
                <w:szCs w:val="14"/>
                <w:color w:val="auto"/>
              </w:rPr>
            </w:pPr>
          </w:p>
        </w:tc>
        <w:tc>
          <w:tcPr>
            <w:tcW w:w="34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Estimated Useful life</w:t>
            </w:r>
          </w:p>
        </w:tc>
      </w:tr>
      <w:tr>
        <w:trPr>
          <w:trHeight w:val="169"/>
        </w:trPr>
        <w:tc>
          <w:tcPr>
            <w:tcW w:w="36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Lab equipment</w:t>
            </w:r>
          </w:p>
        </w:tc>
        <w:tc>
          <w:tcPr>
            <w:tcW w:w="16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5 years</w:t>
            </w:r>
          </w:p>
        </w:tc>
      </w:tr>
      <w:tr>
        <w:trPr>
          <w:trHeight w:val="176"/>
        </w:trPr>
        <w:tc>
          <w:tcPr>
            <w:tcW w:w="3680" w:type="dxa"/>
            <w:vAlign w:val="bottom"/>
          </w:tcPr>
          <w:p>
            <w:pPr>
              <w:spacing w:after="0" w:line="176" w:lineRule="exact"/>
              <w:rPr>
                <w:sz w:val="20"/>
                <w:szCs w:val="20"/>
                <w:color w:val="auto"/>
              </w:rPr>
            </w:pPr>
            <w:r>
              <w:rPr>
                <w:rFonts w:ascii="Arial" w:cs="Arial" w:eastAsia="Arial" w:hAnsi="Arial"/>
                <w:sz w:val="18"/>
                <w:szCs w:val="18"/>
                <w:color w:val="auto"/>
              </w:rPr>
              <w:t>Computer equipment and software</w:t>
            </w:r>
          </w:p>
        </w:tc>
        <w:tc>
          <w:tcPr>
            <w:tcW w:w="356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3 years</w:t>
            </w:r>
          </w:p>
        </w:tc>
      </w:tr>
      <w:tr>
        <w:trPr>
          <w:trHeight w:val="176"/>
        </w:trPr>
        <w:tc>
          <w:tcPr>
            <w:tcW w:w="3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Furniture and equipment</w:t>
            </w:r>
          </w:p>
        </w:tc>
        <w:tc>
          <w:tcPr>
            <w:tcW w:w="35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5 years</w:t>
            </w:r>
          </w:p>
        </w:tc>
      </w:tr>
      <w:tr>
        <w:trPr>
          <w:trHeight w:val="176"/>
        </w:trPr>
        <w:tc>
          <w:tcPr>
            <w:tcW w:w="3680" w:type="dxa"/>
            <w:vAlign w:val="bottom"/>
          </w:tcPr>
          <w:p>
            <w:pPr>
              <w:spacing w:after="0" w:line="176" w:lineRule="exact"/>
              <w:rPr>
                <w:sz w:val="20"/>
                <w:szCs w:val="20"/>
                <w:color w:val="auto"/>
              </w:rPr>
            </w:pPr>
            <w:r>
              <w:rPr>
                <w:rFonts w:ascii="Arial" w:cs="Arial" w:eastAsia="Arial" w:hAnsi="Arial"/>
                <w:sz w:val="18"/>
                <w:szCs w:val="18"/>
                <w:color w:val="auto"/>
              </w:rPr>
              <w:t>Leasehold improvements</w:t>
            </w:r>
          </w:p>
        </w:tc>
        <w:tc>
          <w:tcPr>
            <w:tcW w:w="356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5"/>
              </w:rPr>
              <w:t>Shorter of useful life or remaining lease term</w:t>
            </w:r>
          </w:p>
        </w:tc>
      </w:tr>
      <w:tr>
        <w:trPr>
          <w:trHeight w:val="176"/>
        </w:trPr>
        <w:tc>
          <w:tcPr>
            <w:tcW w:w="3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Building</w:t>
            </w:r>
          </w:p>
        </w:tc>
        <w:tc>
          <w:tcPr>
            <w:tcW w:w="356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30 years</w:t>
            </w:r>
          </w:p>
        </w:tc>
      </w:tr>
    </w:tbl>
    <w:p>
      <w:pPr>
        <w:spacing w:after="0" w:line="148" w:lineRule="exact"/>
        <w:rPr>
          <w:sz w:val="20"/>
          <w:szCs w:val="20"/>
          <w:color w:val="auto"/>
        </w:rPr>
      </w:pPr>
    </w:p>
    <w:p>
      <w:pPr>
        <w:ind w:right="99" w:firstLine="648"/>
        <w:spacing w:after="0" w:line="224" w:lineRule="auto"/>
        <w:rPr>
          <w:sz w:val="20"/>
          <w:szCs w:val="20"/>
          <w:color w:val="auto"/>
        </w:rPr>
      </w:pPr>
      <w:r>
        <w:rPr>
          <w:rFonts w:ascii="Arial" w:cs="Arial" w:eastAsia="Arial" w:hAnsi="Arial"/>
          <w:sz w:val="18"/>
          <w:szCs w:val="18"/>
          <w:color w:val="auto"/>
        </w:rPr>
        <w:t>The Company records certain estimated costs incurred and reported by a landlord as an asset and corresponding financing lease obligation on the consolidated balance sheets. See Note 8, “Commitments and contingencies,” for additional information.</w:t>
      </w:r>
    </w:p>
    <w:p>
      <w:pPr>
        <w:spacing w:after="0" w:line="12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44" w:lineRule="exact"/>
        <w:rPr>
          <w:sz w:val="20"/>
          <w:szCs w:val="20"/>
          <w:color w:val="auto"/>
        </w:rPr>
      </w:pPr>
    </w:p>
    <w:p>
      <w:pPr>
        <w:ind w:right="19" w:firstLine="648"/>
        <w:spacing w:after="0" w:line="185" w:lineRule="exact"/>
        <w:rPr>
          <w:sz w:val="20"/>
          <w:szCs w:val="20"/>
          <w:color w:val="auto"/>
        </w:rPr>
      </w:pPr>
      <w:r>
        <w:rPr>
          <w:rFonts w:ascii="Arial" w:cs="Arial" w:eastAsia="Arial" w:hAnsi="Arial"/>
          <w:sz w:val="18"/>
          <w:szCs w:val="18"/>
          <w:color w:val="auto"/>
        </w:rPr>
        <w:t>The Company evaluates long</w:t>
      </w:r>
      <w:r>
        <w:rPr>
          <w:rFonts w:ascii="MS PGothic" w:cs="MS PGothic" w:eastAsia="MS PGothic" w:hAnsi="MS PGothic"/>
          <w:sz w:val="18"/>
          <w:szCs w:val="18"/>
          <w:color w:val="auto"/>
        </w:rPr>
        <w:t>‑</w:t>
      </w:r>
      <w:r>
        <w:rPr>
          <w:rFonts w:ascii="Arial" w:cs="Arial" w:eastAsia="Arial" w:hAnsi="Arial"/>
          <w:sz w:val="18"/>
          <w:szCs w:val="18"/>
          <w:color w:val="auto"/>
        </w:rPr>
        <w:t>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has not recognized any impairment losses from inception through December 31, 2017.</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559" w:firstLine="648"/>
        <w:spacing w:after="0" w:line="235" w:lineRule="auto"/>
        <w:rPr>
          <w:sz w:val="20"/>
          <w:szCs w:val="20"/>
          <w:color w:val="auto"/>
        </w:rPr>
      </w:pPr>
      <w:r>
        <w:rPr>
          <w:rFonts w:ascii="Arial" w:cs="Arial" w:eastAsia="Arial" w:hAnsi="Arial"/>
          <w:sz w:val="18"/>
          <w:szCs w:val="18"/>
          <w:color w:val="auto"/>
        </w:rPr>
        <w:t>To date, the Company has primarily earned revenue under the collaboration and license agreement with Juno Therapeutics and the strategic research alliance with Allergan (see Note 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Company recognizes revenue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w:t>
      </w:r>
    </w:p>
    <w:p>
      <w:pPr>
        <w:spacing w:after="0"/>
        <w:rPr>
          <w:sz w:val="20"/>
          <w:szCs w:val="20"/>
          <w:color w:val="auto"/>
        </w:rPr>
      </w:pPr>
      <w:r>
        <w:rPr>
          <w:rFonts w:ascii="Arial" w:cs="Arial" w:eastAsia="Arial" w:hAnsi="Arial"/>
          <w:sz w:val="18"/>
          <w:szCs w:val="18"/>
          <w:color w:val="auto"/>
        </w:rPr>
        <w:t>Accordingly, revenue is recognized for each unit of accounting when all of the following criteria are met:</w:t>
      </w:r>
    </w:p>
    <w:p>
      <w:pPr>
        <w:spacing w:after="0" w:line="128" w:lineRule="exact"/>
        <w:rPr>
          <w:sz w:val="20"/>
          <w:szCs w:val="20"/>
          <w:color w:val="auto"/>
        </w:rPr>
      </w:pPr>
    </w:p>
    <w:p>
      <w:pPr>
        <w:ind w:left="980" w:hanging="329"/>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44" w:lineRule="exact"/>
        <w:rPr>
          <w:sz w:val="20"/>
          <w:szCs w:val="20"/>
          <w:color w:val="auto"/>
        </w:rPr>
      </w:pPr>
    </w:p>
    <w:p>
      <w:pPr>
        <w:ind w:right="299" w:firstLine="648"/>
        <w:spacing w:after="0" w:line="219" w:lineRule="auto"/>
        <w:rPr>
          <w:sz w:val="20"/>
          <w:szCs w:val="20"/>
          <w:color w:val="auto"/>
        </w:rPr>
      </w:pPr>
      <w:r>
        <w:rPr>
          <w:rFonts w:ascii="Arial" w:cs="Arial" w:eastAsia="Arial" w:hAnsi="Arial"/>
          <w:sz w:val="18"/>
          <w:szCs w:val="18"/>
          <w:color w:val="auto"/>
        </w:rPr>
        <w:t>Amounts received prior to satisfying the revenue recognition criteria are recorded as deferred revenue. Amounts expected to be recognized as revenue within the 12 months following the balance sheet date are classified in current liabilities. Amounts not expected to be recognized as revenue within the 12 months following the balance sheet date are classified as deferred revenue, net of current portion.</w:t>
      </w:r>
    </w:p>
    <w:p>
      <w:pPr>
        <w:spacing w:after="0" w:line="122" w:lineRule="exact"/>
        <w:rPr>
          <w:sz w:val="20"/>
          <w:szCs w:val="20"/>
          <w:color w:val="auto"/>
        </w:rPr>
      </w:pPr>
    </w:p>
    <w:p>
      <w:pPr>
        <w:ind w:right="439" w:firstLine="648"/>
        <w:spacing w:after="0" w:line="203" w:lineRule="exact"/>
        <w:rPr>
          <w:sz w:val="20"/>
          <w:szCs w:val="20"/>
          <w:color w:val="auto"/>
        </w:rPr>
      </w:pPr>
      <w:r>
        <w:rPr>
          <w:rFonts w:ascii="Arial" w:cs="Arial" w:eastAsia="Arial" w:hAnsi="Arial"/>
          <w:sz w:val="16"/>
          <w:szCs w:val="16"/>
          <w:color w:val="auto"/>
        </w:rPr>
        <w:t>The Company evaluates multiple</w:t>
      </w:r>
      <w:r>
        <w:rPr>
          <w:rFonts w:ascii="MS PGothic" w:cs="MS PGothic" w:eastAsia="MS PGothic" w:hAnsi="MS PGothic"/>
          <w:sz w:val="16"/>
          <w:szCs w:val="16"/>
          <w:color w:val="auto"/>
        </w:rPr>
        <w:t>‑</w:t>
      </w:r>
      <w:r>
        <w:rPr>
          <w:rFonts w:ascii="Arial" w:cs="Arial" w:eastAsia="Arial" w:hAnsi="Arial"/>
          <w:sz w:val="16"/>
          <w:szCs w:val="16"/>
          <w:color w:val="auto"/>
        </w:rPr>
        <w:t>element arrangements based on the guidance in ASC Topic 605</w:t>
      </w:r>
      <w:r>
        <w:rPr>
          <w:rFonts w:ascii="MS PGothic" w:cs="MS PGothic" w:eastAsia="MS PGothic" w:hAnsi="MS PGothic"/>
          <w:sz w:val="16"/>
          <w:szCs w:val="16"/>
          <w:color w:val="auto"/>
        </w:rPr>
        <w:t>‑</w:t>
      </w:r>
      <w:r>
        <w:rPr>
          <w:rFonts w:ascii="Arial" w:cs="Arial" w:eastAsia="Arial" w:hAnsi="Arial"/>
          <w:sz w:val="16"/>
          <w:szCs w:val="16"/>
          <w:color w:val="auto"/>
        </w:rPr>
        <w:t xml:space="preserve">25,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Multiple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Element Arrangements </w:t>
      </w:r>
      <w:r>
        <w:rPr>
          <w:rFonts w:ascii="Arial" w:cs="Arial" w:eastAsia="Arial" w:hAnsi="Arial"/>
          <w:sz w:val="16"/>
          <w:szCs w:val="16"/>
          <w:color w:val="auto"/>
        </w:rPr>
        <w:t>(“ASC 605</w:t>
      </w:r>
      <w:r>
        <w:rPr>
          <w:rFonts w:ascii="MS PGothic" w:cs="MS PGothic" w:eastAsia="MS PGothic" w:hAnsi="MS PGothic"/>
          <w:sz w:val="16"/>
          <w:szCs w:val="16"/>
          <w:color w:val="auto"/>
        </w:rPr>
        <w:t>‑</w:t>
      </w:r>
      <w:r>
        <w:rPr>
          <w:rFonts w:ascii="Arial" w:cs="Arial" w:eastAsia="Arial" w:hAnsi="Arial"/>
          <w:sz w:val="16"/>
          <w:szCs w:val="16"/>
          <w:color w:val="auto"/>
        </w:rPr>
        <w:t>25”). Pursuant to the guidance in ASC 605</w:t>
      </w:r>
      <w:r>
        <w:rPr>
          <w:rFonts w:ascii="MS PGothic" w:cs="MS PGothic" w:eastAsia="MS PGothic" w:hAnsi="MS PGothic"/>
          <w:sz w:val="16"/>
          <w:szCs w:val="16"/>
          <w:color w:val="auto"/>
        </w:rPr>
        <w:t>‑</w:t>
      </w:r>
      <w:r>
        <w:rPr>
          <w:rFonts w:ascii="Arial" w:cs="Arial" w:eastAsia="Arial" w:hAnsi="Arial"/>
          <w:sz w:val="16"/>
          <w:szCs w:val="16"/>
          <w:color w:val="auto"/>
        </w:rPr>
        <w:t>25, the Company</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45" w:name="page146"/>
    <w:bookmarkEnd w:id="1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180" w:lineRule="exact"/>
        <w:rPr>
          <w:sz w:val="20"/>
          <w:szCs w:val="20"/>
          <w:color w:val="auto"/>
        </w:rPr>
      </w:pPr>
      <w:r>
        <w:rPr>
          <w:rFonts w:ascii="Arial" w:cs="Arial" w:eastAsia="Arial" w:hAnsi="Arial"/>
          <w:sz w:val="17"/>
          <w:szCs w:val="17"/>
          <w:color w:val="auto"/>
        </w:rPr>
        <w:t>evaluates multiple</w:t>
      </w:r>
      <w:r>
        <w:rPr>
          <w:rFonts w:ascii="MS PGothic" w:cs="MS PGothic" w:eastAsia="MS PGothic" w:hAnsi="MS PGothic"/>
          <w:sz w:val="17"/>
          <w:szCs w:val="17"/>
          <w:color w:val="auto"/>
        </w:rPr>
        <w:t>‑</w:t>
      </w:r>
      <w:r>
        <w:rPr>
          <w:rFonts w:ascii="Arial" w:cs="Arial" w:eastAsia="Arial" w:hAnsi="Arial"/>
          <w:sz w:val="17"/>
          <w:szCs w:val="17"/>
          <w:color w:val="auto"/>
        </w:rPr>
        <w:t>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the Company to make judgments about the individual deliverables and whether such deliverables are separable from the other aspects of the contractual relationship. Deliverables are considered separate units of accounting provided that the delivered item has value to the customer on a standalone basis and, if the arrangement includes a general right of return relative to the delivered item, delivery or performance of the undelivered item is considered probable and substantially in the Company’s control. In assessing whether an item has standalone value,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use a deliverable for its intended purpose without the receipt of the remaining deliverable, whether the value of the deliverable is dependent on the undelivered item and whether there are other vendors that can provide the undelivered items.</w:t>
      </w:r>
    </w:p>
    <w:p>
      <w:pPr>
        <w:spacing w:after="0" w:line="122" w:lineRule="exact"/>
        <w:rPr>
          <w:sz w:val="20"/>
          <w:szCs w:val="20"/>
          <w:color w:val="auto"/>
        </w:rPr>
      </w:pPr>
    </w:p>
    <w:p>
      <w:pPr>
        <w:ind w:right="100" w:firstLine="648"/>
        <w:spacing w:after="0" w:line="235" w:lineRule="auto"/>
        <w:rPr>
          <w:sz w:val="20"/>
          <w:szCs w:val="20"/>
          <w:color w:val="auto"/>
        </w:rPr>
      </w:pPr>
      <w:r>
        <w:rPr>
          <w:rFonts w:ascii="Arial" w:cs="Arial" w:eastAsia="Arial" w:hAnsi="Arial"/>
          <w:sz w:val="16"/>
          <w:szCs w:val="16"/>
          <w:color w:val="auto"/>
        </w:rPr>
        <w:t>Options are considered substantive if, at the inception of the arrangement, the Company is at risk as to whether the collaboration partner will choose to exercise the option. Factors that the Company considers in evaluating whether an option is substantive include the cost to exercise the option, the overall objective of the arrangement, the benefit the collaborator might obtain from the arrangement without exercising the option and the likelihood the option will be exercised. When an option is considered substantive, the Company does not consider the option or item underlying the option to be a deliverable at the inception of the arrangement and the associated option fees are not included in allocable consideration, assuming the option is not priced at a significant and incremental discount. Conversely, when an option is not considered substantive, the Company would consider the option, including other deliverables contingent upon the exercise of the option, to be a deliverable at the inception of the arrangement and a corresponding amount would be included in allocable arrangement consideration. In addition, if the price of the option includes a significant incremental discount, the discount would be included as a deliverable at the inception of the arrangement.</w:t>
      </w:r>
    </w:p>
    <w:p>
      <w:pPr>
        <w:spacing w:after="0" w:line="125"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The consideration received under the arrangement that is fixed or determinable is then allocated among the separate units of accounting using the relative selling price method. The Company determines the estimated selling price for units of accounting within each arrangement using vendor</w:t>
      </w:r>
      <w:r>
        <w:rPr>
          <w:rFonts w:ascii="MS PGothic" w:cs="MS PGothic" w:eastAsia="MS PGothic" w:hAnsi="MS PGothic"/>
          <w:sz w:val="16"/>
          <w:szCs w:val="16"/>
          <w:color w:val="auto"/>
        </w:rPr>
        <w:t>‑</w:t>
      </w:r>
      <w:r>
        <w:rPr>
          <w:rFonts w:ascii="Arial" w:cs="Arial" w:eastAsia="Arial" w:hAnsi="Arial"/>
          <w:sz w:val="16"/>
          <w:szCs w:val="16"/>
          <w:color w:val="auto"/>
        </w:rPr>
        <w:t>specific objective evidence (“VSOE”) of selling price, if available, third</w:t>
      </w:r>
      <w:r>
        <w:rPr>
          <w:rFonts w:ascii="MS PGothic" w:cs="MS PGothic" w:eastAsia="MS PGothic" w:hAnsi="MS PGothic"/>
          <w:sz w:val="16"/>
          <w:szCs w:val="16"/>
          <w:color w:val="auto"/>
        </w:rPr>
        <w:t>‑</w:t>
      </w:r>
      <w:r>
        <w:rPr>
          <w:rFonts w:ascii="Arial" w:cs="Arial" w:eastAsia="Arial" w:hAnsi="Arial"/>
          <w:sz w:val="16"/>
          <w:szCs w:val="16"/>
          <w:color w:val="auto"/>
        </w:rPr>
        <w:t>party evidence (“TPE”) of selling price if VSOE is not available, or best estimate of selling price (“BESP”) if neither VSOE nor TPE is available. Determining the BESP for a unit of accounting requires significant judgment. In developing the BESP for a unit of accounting, the Company considers applicable market conditions and relevant entity</w:t>
      </w:r>
      <w:r>
        <w:rPr>
          <w:rFonts w:ascii="MS PGothic" w:cs="MS PGothic" w:eastAsia="MS PGothic" w:hAnsi="MS PGothic"/>
          <w:sz w:val="16"/>
          <w:szCs w:val="16"/>
          <w:color w:val="auto"/>
        </w:rPr>
        <w:t>‑</w:t>
      </w:r>
      <w:r>
        <w:rPr>
          <w:rFonts w:ascii="Arial" w:cs="Arial" w:eastAsia="Arial" w:hAnsi="Arial"/>
          <w:sz w:val="16"/>
          <w:szCs w:val="16"/>
          <w:color w:val="auto"/>
        </w:rPr>
        <w:t>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127"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The Company recognizes arrangement consideration allocated to each unit of accounting when all of the revenue recognition criteria in ASC 605 are satisfied for that particular unit of accounting. In the event that a deliverable does not represent a separate unit of accounting, the Company recognizes revenue from the combined unit of accounting over the Company’s contractual or estimated performance period for the undelivered elements, which is typically the term of the Company’s research and development obligations. If there is no discernible pattern of performance or objectively measurable performance measures do not exist, then the Company recognizes revenue under the arrangement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period the Company is expected to complete its performance obligations. Conversely, if the pattern of performance in which the service is provided to the customer can be determined and objectively measurable performance measures exist, then the Company recognizes revenue under the arrangement using the proportional performance method. Revenue recognized is limited to the lesser of the cumulative amount of payments received or the cumulative amount of revenue earned, as determined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or proportional performance method, as applicable, as of the period ending date.</w:t>
      </w:r>
    </w:p>
    <w:p>
      <w:pPr>
        <w:spacing w:after="0" w:line="12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(1) the consideration is commensurate with either the Company’s performance to achieve the milestone or the enhancement of the value of the delivered item(s) as a result of a specific outcome resulting from its performance to achieve the milestone, (2) the consideration relates solely to past performance and (3) the consideration is reasonable relative to all of the deliverables and payment terms within the arrangement. The Company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6" w:name="page147"/>
    <w:bookmarkEnd w:id="1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evaluates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Milestones that are not considered substantive are recognized as earned if there are no remaining performance obligations or over the remaining period of performance, assuming all other revenue recognition criteria are met.</w:t>
      </w:r>
    </w:p>
    <w:p>
      <w:pPr>
        <w:spacing w:after="0" w:line="122"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44" w:lineRule="exact"/>
        <w:rPr>
          <w:sz w:val="20"/>
          <w:szCs w:val="20"/>
          <w:color w:val="auto"/>
        </w:rPr>
      </w:pPr>
    </w:p>
    <w:p>
      <w:pPr>
        <w:ind w:right="60" w:firstLine="648"/>
        <w:spacing w:after="0" w:line="180" w:lineRule="exact"/>
        <w:rPr>
          <w:sz w:val="20"/>
          <w:szCs w:val="20"/>
          <w:color w:val="auto"/>
        </w:rPr>
      </w:pPr>
      <w:r>
        <w:rPr>
          <w:rFonts w:ascii="Arial" w:cs="Arial" w:eastAsia="Arial" w:hAnsi="Arial"/>
          <w:sz w:val="16"/>
          <w:szCs w:val="16"/>
          <w:color w:val="auto"/>
        </w:rPr>
        <w:t>Research and development costs are charged to expense as incurred in performing research and development activities. The costs include employee</w:t>
      </w:r>
      <w:r>
        <w:rPr>
          <w:rFonts w:ascii="MS PGothic" w:cs="MS PGothic" w:eastAsia="MS PGothic" w:hAnsi="MS PGothic"/>
          <w:sz w:val="16"/>
          <w:szCs w:val="16"/>
          <w:color w:val="auto"/>
        </w:rPr>
        <w:t>‑</w:t>
      </w:r>
      <w:r>
        <w:rPr>
          <w:rFonts w:ascii="Arial" w:cs="Arial" w:eastAsia="Arial" w:hAnsi="Arial"/>
          <w:sz w:val="16"/>
          <w:szCs w:val="16"/>
          <w:color w:val="auto"/>
        </w:rPr>
        <w:t>related expenses including salaries, benefits,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costs of funding research performed by third parties that conduct research and development and preclinical activities on the Company’s behalf, the cost of purchasing lab supplies and non</w:t>
      </w:r>
      <w:r>
        <w:rPr>
          <w:rFonts w:ascii="MS PGothic" w:cs="MS PGothic" w:eastAsia="MS PGothic" w:hAnsi="MS PGothic"/>
          <w:sz w:val="16"/>
          <w:szCs w:val="16"/>
          <w:color w:val="auto"/>
        </w:rPr>
        <w:t>‑</w:t>
      </w:r>
      <w:r>
        <w:rPr>
          <w:rFonts w:ascii="Arial" w:cs="Arial" w:eastAsia="Arial" w:hAnsi="Arial"/>
          <w:sz w:val="16"/>
          <w:szCs w:val="16"/>
          <w:color w:val="auto"/>
        </w:rPr>
        <w:t>capital equipment used in preclinical activities and in manufacturing preclinical study materials, consultant fees, facility costs including rent, depreciation, and maintenance expenses, and fees for acquiring and maintaining licenses under third party licensing agreements, including any sublicensing or success payments made to the Company’s licensors. In accruing service fees, the Company estimates the time period over which services will be performed and the level of effort to be expended in each period. If the actual timing of the performance of services or the level of effort varies from the Company’s estimate, the accrual or prepaid is adjusted accordingly. The Company defers and capitalizes non-refundable advance payments made by the Company for research and development activities until the related goods are received or the related services are performed. In circumstances where amounts have been paid in excess of costs incurred, the Company records a prepaid expense.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Patent Costs</w:t>
      </w:r>
    </w:p>
    <w:p>
      <w:pPr>
        <w:spacing w:after="0" w:line="144" w:lineRule="exact"/>
        <w:rPr>
          <w:sz w:val="20"/>
          <w:szCs w:val="20"/>
          <w:color w:val="auto"/>
        </w:rPr>
      </w:pPr>
    </w:p>
    <w:p>
      <w:pPr>
        <w:ind w:right="400" w:firstLine="648"/>
        <w:spacing w:after="0" w:line="259" w:lineRule="auto"/>
        <w:rPr>
          <w:sz w:val="20"/>
          <w:szCs w:val="20"/>
          <w:color w:val="auto"/>
        </w:rPr>
      </w:pPr>
      <w:r>
        <w:rPr>
          <w:rFonts w:ascii="Arial" w:cs="Arial" w:eastAsia="Arial" w:hAnsi="Arial"/>
          <w:sz w:val="16"/>
          <w:szCs w:val="16"/>
          <w:color w:val="auto"/>
        </w:rPr>
        <w:t>The Company expenses patent and patent application costs and related legal costs for the prosecution and maintenance of such patents and patent applications, including patents and patent applications the Company licenses, as incurred and classifies such costs as general and administrative expenses in the accompanying statements of operations.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Construction Financing Lease Obligation</w:t>
      </w:r>
    </w:p>
    <w:p>
      <w:pPr>
        <w:spacing w:after="0" w:line="14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Beginning in 2016, the Company began recording certain estimated construction costs incurred and reported to the Company by a landlord as an asset and corresponding construction financing lease obligation on the Company’s consolidated balance sheets because it was deemed to be the owner of the building during the construction period for accounting purposes. In each reporting period, the landlord estimated and reported to the Company the costs incurred to date and provided supporting invoices for the Company to review. The Company periodically met with the landlord and its construction manager to review the estimates and observe construction progress prior to recording such amounts. Construction was completed in October 2016 and the Company considered the requirements for sale-leaseback accounting treatment, which included an evaluation of whether all risks of ownership had transferred back to the landlord as evidenced by a lack of continuing involvement in the lease property. The Company determined that the arrangement did not qualify for sale lease-back accounting treatment, the building asset will remain on the Company’s balance sheet at its historical cost, and such asset would be depreciated over its estimated useful life of thirty years.</w:t>
      </w:r>
    </w:p>
    <w:p>
      <w:pPr>
        <w:spacing w:after="0" w:line="127"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44"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 xml:space="preserve">The Company accounts for stock-based compensation awards in accordance with ASC Topic 718,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(“ASC 718”). ASC 718 requires all share-based payments to employees, including grants of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to be recognized as expense in the consolidated statements of operations based on their grant date fair values. For stock options granted to employees and to members of the Company’s board of directors for their services on the board of directors, the Company estimates the grant date fair value of each option award using the Black-Scholes option-pricing model. For stock options subject to service-based vesting conditions, the Company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47" w:name="page148"/>
    <w:bookmarkEnd w:id="1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recognizes stock-based compensation expense equal to the grant date fair value of stock options on a straight-line basis over the requisite service period</w:t>
      </w:r>
      <w:r>
        <w:rPr>
          <w:rFonts w:ascii="Arial" w:cs="Arial" w:eastAsia="Arial" w:hAnsi="Arial"/>
          <w:sz w:val="18"/>
          <w:szCs w:val="18"/>
          <w:i w:val="1"/>
          <w:iCs w:val="1"/>
          <w:color w:val="auto"/>
        </w:rPr>
        <w:t>.</w:t>
      </w:r>
    </w:p>
    <w:p>
      <w:pPr>
        <w:spacing w:after="0" w:line="121"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 xml:space="preserve">Share-based payments issued to non-employees are initially recorded at their fair values, and are revalued at each reporting date and as the equity instruments vest and are recognized as expense over the related service period in accordance with the provisions of ASC Topic 505-50, </w:t>
      </w:r>
      <w:r>
        <w:rPr>
          <w:rFonts w:ascii="Arial" w:cs="Arial" w:eastAsia="Arial" w:hAnsi="Arial"/>
          <w:sz w:val="17"/>
          <w:szCs w:val="17"/>
          <w:i w:val="1"/>
          <w:iCs w:val="1"/>
          <w:color w:val="auto"/>
        </w:rPr>
        <w:t>Equity-Based Payments to Non-Employees.</w:t>
      </w:r>
    </w:p>
    <w:p>
      <w:pPr>
        <w:spacing w:after="0" w:line="121"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requires the input of certain subjective assumptions, including (1) the expected stock price volatility, (2) the calculation of expected term of the award, (3)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and (4) the expected dividend yield. Because there had been no public market for the Company’s common stock prior to the IPO, there was a lack of company</w:t>
      </w:r>
      <w:r>
        <w:rPr>
          <w:rFonts w:ascii="MS PGothic" w:cs="MS PGothic" w:eastAsia="MS PGothic" w:hAnsi="MS PGothic"/>
          <w:sz w:val="16"/>
          <w:szCs w:val="16"/>
          <w:color w:val="auto"/>
        </w:rPr>
        <w:t>‑</w:t>
      </w:r>
      <w:r>
        <w:rPr>
          <w:rFonts w:ascii="Arial" w:cs="Arial" w:eastAsia="Arial" w:hAnsi="Arial"/>
          <w:sz w:val="16"/>
          <w:szCs w:val="16"/>
          <w:color w:val="auto"/>
        </w:rPr>
        <w:t xml:space="preserve">specific historical and implied volatility data. Accordingly, the Company bases its estimates of expected volatility on the historical volatility of a group of similar companies that are publicly traded. The Company calculates historical volatility based on a period of time commensurate with the expected term. The Company computes expected volatility based on the historical volatility of a representative group of companies with similar characteristics to the Company, including their stages of product development and focus on the life science industry. The Company uses the simplified method as prescribed by the Securities and Exchange Commission’s Staff Accounting Bulletin No. 107, </w:t>
      </w:r>
      <w:r>
        <w:rPr>
          <w:rFonts w:ascii="Arial" w:cs="Arial" w:eastAsia="Arial" w:hAnsi="Arial"/>
          <w:sz w:val="16"/>
          <w:szCs w:val="16"/>
          <w:i w:val="1"/>
          <w:iCs w:val="1"/>
          <w:color w:val="auto"/>
        </w:rPr>
        <w:t>Share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Based Payment</w:t>
      </w:r>
      <w:r>
        <w:rPr>
          <w:rFonts w:ascii="Arial" w:cs="Arial" w:eastAsia="Arial" w:hAnsi="Arial"/>
          <w:sz w:val="16"/>
          <w:szCs w:val="16"/>
          <w:color w:val="auto"/>
        </w:rPr>
        <w:t>, to calculate the expected term for options granted to employees as the Company does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historical exercise data to provide a reasonable basis upon which to estimate the expected term. For options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the Company utilizes the contractual term of the arrangement as the basis for the expected term. The Company determines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based on a treasury instrument whose term is consistent with the expected term of the stock options. The Company uses an assumed dividend yield of zero as the Company has never paid dividends and does not have current plans to pay any dividends on common stock. If factors change or different assumptions are used, the Company’s stock-based compensation expense could be materially different in the future.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Determination of Fair Value of Common Stock on Grant Dates prior to our Initial Public Offering</w:t>
      </w:r>
    </w:p>
    <w:p>
      <w:pPr>
        <w:spacing w:after="0" w:line="144"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 xml:space="preserve">Prior to the IPO, the Company utilized significant estimates and assumptions in determining the fair value of its common stock. The board of directors determined the estimated fair value of the Company’s common stock based on a number of objective and subjective factors, including the lack of an active public market for the Company’s common and convertible preferred stock; the prices of shares of the Company’s convertible preferred stock that the Company had sold to outside investors in arm’s length transactions, and the rights, preferences, and privileges of that convertible preferred stock relative to the Company’s common stock; the Company’s results of operations and financial condition; the Company’s entry into license agreements, pursuant to which the Company obtained rights to important intellectual property; the material risks related to the Company’s business; the Company’s business strategy; the market performance of publicly traded companies in the life sciences and biotechnology sectors; and the likelihood of achieving a liquidity event for the holders of the Company’s common stock, such as an initial public offering, given prevailing market conditions. The Company utilized various valuation methodologies in accordance with the framework of the American Institute of Certified Public Accountants, </w:t>
      </w:r>
      <w:r>
        <w:rPr>
          <w:rFonts w:ascii="Arial" w:cs="Arial" w:eastAsia="Arial" w:hAnsi="Arial"/>
          <w:sz w:val="17"/>
          <w:szCs w:val="17"/>
          <w:i w:val="1"/>
          <w:iCs w:val="1"/>
          <w:color w:val="auto"/>
        </w:rPr>
        <w:t>Audit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Practice Aid Series: Valuation of Privately Held Company Equity Securities Issued as Compensation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“AICPA Practice Aid”), to estimate the fair value of its common stock and in performing retrospective valuation analyses for certain grant dates prior to the IPO. The methodologies included the option pricing method utilizing the back-solve method (a form of the market approach defined in the AICPA Practice Aid) and the probability-weighted expected return method based upon the probability of occurrence of certain future liquidity events such as an initial public offering or sale of the Company. Each valuation methodology included estimates and assumptions that required the Company’s judgment. Significant changes to the key assumptions used in the valuations could have resulted in different fair values of the Company’s common stock at each valuation date.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8" w:name="page149"/>
    <w:bookmarkEnd w:id="1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2"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The Company accounts for uncertain tax positions in accordance with the provisions of ASC 740. When uncertain tax positions exist, the Company recognized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ind w:right="360" w:firstLine="648"/>
        <w:spacing w:after="0" w:line="219" w:lineRule="auto"/>
        <w:rPr>
          <w:sz w:val="20"/>
          <w:szCs w:val="20"/>
          <w:color w:val="auto"/>
        </w:rPr>
      </w:pPr>
      <w:r>
        <w:rPr>
          <w:rFonts w:ascii="Arial" w:cs="Arial" w:eastAsia="Arial" w:hAnsi="Arial"/>
          <w:sz w:val="18"/>
          <w:szCs w:val="18"/>
          <w:color w:val="auto"/>
        </w:rPr>
        <w:t>Other income (expense), net consists primarily of interest income earned on cash equivalents and marketable securities, interest expense on the construction financing lease obligation and promissory notes, rental income from the Company’s subtenant, interest income, accretion of discounts, and amortization of premiums associated with marketable securities.</w:t>
      </w:r>
    </w:p>
    <w:p>
      <w:pPr>
        <w:spacing w:after="0" w:line="122"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Prior to 2017, other income (expense), net consisted primarily of interest income earned on cash equivalents and government grant income, net of re-measurement losses associated with changes in the fair value of the Company’s liability for a warrant to purchase preferred stock. Upon the completion of the IPO, the outstanding warrant to purchase preferred stock converted into a warrant to purchase common stock and the Company reclassified the fair value of the warrant to additional paid-in capital. As a result, there were no further remeasurement gains or losses associated with the warrant after the first quarter of 2016.</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44"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Comprehensive loss is comprised of net loss and other comprehensive income or loss. Comprehensive loss includes net loss as well as other changes in stockholders’ equity (deficit) that result from transactions and economic events other than those with stockholders. Comprehensive loss currently consists of net loss and changes in unrealized losses on marketable securities.</w:t>
      </w:r>
    </w:p>
    <w:p>
      <w:pPr>
        <w:spacing w:after="0" w:line="12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i w:val="1"/>
          <w:iCs w:val="1"/>
          <w:color w:val="auto"/>
        </w:rPr>
        <w:t>Concentrations of Credit Risk and Off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Balance Sheet Risk</w:t>
      </w:r>
    </w:p>
    <w:p>
      <w:pPr>
        <w:spacing w:after="0" w:line="144"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The Company has no financial instruments with off</w:t>
      </w:r>
      <w:r>
        <w:rPr>
          <w:rFonts w:ascii="MS PGothic" w:cs="MS PGothic" w:eastAsia="MS PGothic" w:hAnsi="MS PGothic"/>
          <w:sz w:val="17"/>
          <w:szCs w:val="17"/>
          <w:color w:val="auto"/>
        </w:rPr>
        <w:t>‑</w:t>
      </w:r>
      <w:r>
        <w:rPr>
          <w:rFonts w:ascii="Arial" w:cs="Arial" w:eastAsia="Arial" w:hAnsi="Arial"/>
          <w:sz w:val="17"/>
          <w:szCs w:val="17"/>
          <w:color w:val="auto"/>
        </w:rPr>
        <w:t>balance sheet risk such as foreign exchange contracts, option contracts, or other foreign hedging arrangements. Financial instruments that potentially subject the Company to a concentration of credit risk are cash, cash equivalents, marketable securities and accounts receivable. The Company’s cash, cash equivalents and marketable securities are held in accounts at a financial institution that may exceed federally insured limits. The Company has not experienced any credit losses in such accounts and does not believe it is exposed to any significant credit risk on these funds. Accounts receivable primarily consist of amounts due under the collaboration agreement with Juno Therapeutics (see Note 9) for which the Company does not obtain collateral. As of December 31, 2017, substantially all of the Company’s revenue to date has been generated from the strategic alliance with Allergan and the collaboration with Juno Therapeutics.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44"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 the Company’s operations and manage the Company’s business as a single operating segment, which is the business of developing and commercializing genome editing technology.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most industry-specific guidance. The new standard requires that an entity recognize revenue to depict the transfer of promised goods or services to customers in an amount that reflects the consideration to which the entity expects to be entitled in exchange for those goods or services. The update also requires additional disclosure about the nature, amount, timing and uncertainty of revenue and cash flows arising from customer contracts, including significant judgments and changes in judgments and</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49" w:name="page150"/>
    <w:bookmarkEnd w:id="1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assets recognized from costs incurred to obtain or fulfill a contract. ASU 2014-09 is effective for fiscal years, and interim periods within those years, beginning after December 15, 2017 and should be applied retrospectively to each prior reporting period presented or retrospectively with the cumulative effect of initially applying this update recognized at the date of initial application. In April 2016, the FASB issued ASU No. 2016-10</w:t>
      </w:r>
      <w:r>
        <w:rPr>
          <w:rFonts w:ascii="Arial" w:cs="Arial" w:eastAsia="Arial" w:hAnsi="Arial"/>
          <w:sz w:val="16"/>
          <w:szCs w:val="16"/>
          <w:i w:val="1"/>
          <w:iCs w:val="1"/>
          <w:color w:val="auto"/>
        </w:rPr>
        <w:t>, Revenue from Contracts with Customers: Identifying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Performance Obligations and Licensing </w:t>
      </w:r>
      <w:r>
        <w:rPr>
          <w:rFonts w:ascii="Arial" w:cs="Arial" w:eastAsia="Arial" w:hAnsi="Arial"/>
          <w:sz w:val="16"/>
          <w:szCs w:val="16"/>
          <w:color w:val="auto"/>
        </w:rPr>
        <w:t>(“ASU 2016-10”), which clarifies certain aspects of identifying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obligations and licensing implementation guidance. In May 2016, the FASB issued ASU No. 2016-12,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Narrow-Scope Improvements and Practical Expedients </w:t>
      </w:r>
      <w:r>
        <w:rPr>
          <w:rFonts w:ascii="Arial" w:cs="Arial" w:eastAsia="Arial" w:hAnsi="Arial"/>
          <w:sz w:val="16"/>
          <w:szCs w:val="16"/>
          <w:color w:val="auto"/>
        </w:rPr>
        <w:t>(“ASU 2016-12”), related to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of remaining performance obligations, as well as other amendments to guidance on collectability, non-cash consideration and the presentation of sales and other similar taxes collected from customers. These standards have the same effective date and transition date as ASU 2014-09. The Company has three revenue arrangements, its license and collaboration with Juno Therapeutics, its award arrangement with the Cystic Fibrosis Foundation Therapeutics, Inc. (“CFFT”), and its strategic alliance with Allergan, pursuant to which it has recognized since inception a total of $12.2 million, $0.3 million, and $8.8 million, respectively, through December 31, 2017. The Company is analyzing the potential impact that ASU 2014-09, ASU 2016-10 and ASU 2016-12 may have on its historical revenue recognition under these three arrangements. This analysis includes, but is not limited to, reviewing variable consideration as it relates to its agreements and in particular, milestone payments as the inclusion of milestone payments in the transaction price could accelerate revenue recognized under ASC 606 compared to ASC 605, evaluating whether a significant financing component is present, determining the revenue recognition method for services performed under the arrangement, and assessing potential disclosures and evaluating the impact of each potential method of adoption on the Company’s consolidated financial statements. The Company adopted the new standard effective January 1, 2018 and will use the modified retrospective approach with a cumulative-effect adjustment to retained earnings in the first quarter of 2018. As the Company is still in the process of completing its assessment of its arrangements, an estimate of the potential impact has not yet been made. The Company will complete its assessment in the first quarter of 2018. However, the Company expects the adoption of ASU 2014-09 will have a significant change on the financial statement disclosures.</w:t>
      </w:r>
    </w:p>
    <w:p>
      <w:pPr>
        <w:spacing w:after="0" w:line="15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applies to all leases and will require lessees to record most leases on the balance sheet, but recognize expense in a manner similar to the current standard. ASU 2016-02 is effective for fiscal years beginning after December 15, 2018 and interim periods within those years. Entities are required to use a modified retrospective approach of adoption for leases that exist or are entered into after the beginning of the earliest comparative period in the financial statements. Full retrospective application is prohibited. The Company is evaluating the potential impact that the adoption of ASU 2016-02 will have on the Company’s consolidated financial statements.</w:t>
      </w:r>
    </w:p>
    <w:p>
      <w:pPr>
        <w:spacing w:after="0" w:line="12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(“ASU 2016-09”). ASU 2016-09 simplifies several aspects of the accounting for employee share-based payment transactions, including the accounting for income taxes, forfeitures, and statutory tax withholding requirements, as well as classification in the statement of cash flows. Under this guidance, a company recognizes all excess tax benefits and tax deficiencies as income tax expense or benefit in the income statement as the awards vest or are settled. ASU 2016-09 is effective for public companies for annual reporting periods beginning after December 15, 2016, including interim periods within those annual reporting periods. Upon adoption of this standard on January 1, 2017, the Company recognized previously unrecognized excess tax benefits using the modified retrospective transition method, which resulted in a cumulative-effect increase of $179,000 to deferred tax assets which is offset by a corresponding decrease to the valuation allowance. The implementation of ASU 2016-09 did not have a material impact on stock-based compensation expense. As part of the adoption of ASU 2016-09, the Company elected to record forfeitures as they occur.</w:t>
      </w:r>
    </w:p>
    <w:p>
      <w:pPr>
        <w:spacing w:after="0" w:line="12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 xml:space="preserve">In October 2016, the FASB issued ASU No. 2016-18,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(“ASU 2016-18”), which requires that a statement of cash flows explain the change during the period in the total of cash, cash equivalents, and restricted cash or restricted cash equivalents. Therefore, amounts described as restricted cash and restricted cash equivalents should be included with cash and cash equivalents when reconciling the beginning-of-period and end-of-period total amounts shown on the statement of cash flows. ASU 2016-18 was effective for fiscal years beginning after December 15, 2017, and interim periods within those years. Early adoption was permitted. The guidance is effective on a retrospective basis. The Company elected to early adopt this guidance as of October 1, 2017. The Company reclassified restricted cash in the statements of cash flows to be included in the cash and cash equivalents balance. The reclassification was not material to the periods presented. See the “Cash, cash equivalents, and restricted cash” section of this note for additional information.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0" w:name="page151"/>
    <w:bookmarkEnd w:id="1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2"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(“ASU 2017-01”), which clarified the definition of a business and provides a screen to determine when an integrated set of assets and activities is not a business. The screen requires that when substantially all of the fair value of the gross assets acquired, or disposed of, is concentrated in a single identifiable asset or a group of similar identifiable assets, the set is not a business. This new standard was effective for fiscal years beginning after December 15, 2017, and interim periods within those years. Early adoption was permitted. The Company adopted this new standard as of January 1, 2017, with prospective application to any business development transactions.</w:t>
      </w:r>
    </w:p>
    <w:p>
      <w:pPr>
        <w:spacing w:after="0" w:line="125"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(“ASU 2017-09”), which provided guidance about which changes to the terms or conditions of a share-based payment award require an entity to apply modification accounting. The new guidance requires modification accounting if the vesting condition, fair value or award classification is not the same both before and after a change to the terms and conditions of the award. This new standard was effective for fiscal years beginning after December 15, 2017, and interim periods within those years. Early adoption was permitted. The Company does not anticipate a material impact to its consolidated financial statements as a result of the adoption of this standard.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&amp; Marketable Securities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equivalents and marketable securities consisted of the following at December 31, 2017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134,635</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ind w:left="640"/>
              <w:spacing w:after="0" w:line="176"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5"/>
              <w:spacing w:after="0" w:line="17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134,635</w:t>
            </w: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Treasuries</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11,995</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11,995</w:t>
            </w:r>
          </w:p>
        </w:tc>
        <w:tc>
          <w:tcPr>
            <w:tcW w:w="0" w:type="dxa"/>
            <w:vAlign w:val="bottom"/>
          </w:tcPr>
          <w:p>
            <w:pPr>
              <w:spacing w:after="0"/>
              <w:rPr>
                <w:sz w:val="1"/>
                <w:szCs w:val="1"/>
                <w:color w:val="auto"/>
              </w:rPr>
            </w:pPr>
          </w:p>
        </w:tc>
      </w:tr>
      <w:tr>
        <w:trPr>
          <w:trHeight w:val="176"/>
        </w:trPr>
        <w:tc>
          <w:tcPr>
            <w:tcW w:w="4140" w:type="dxa"/>
            <w:vAlign w:val="bottom"/>
          </w:tcPr>
          <w:p>
            <w:pPr>
              <w:spacing w:after="0" w:line="176" w:lineRule="exact"/>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Treasuries</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123,606</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123,559</w:t>
            </w:r>
          </w:p>
        </w:tc>
        <w:tc>
          <w:tcPr>
            <w:tcW w:w="0" w:type="dxa"/>
            <w:vAlign w:val="bottom"/>
          </w:tcPr>
          <w:p>
            <w:pPr>
              <w:spacing w:after="0"/>
              <w:rPr>
                <w:sz w:val="1"/>
                <w:szCs w:val="1"/>
                <w:color w:val="auto"/>
              </w:rPr>
            </w:pPr>
          </w:p>
        </w:tc>
      </w:tr>
      <w:tr>
        <w:trPr>
          <w:trHeight w:val="189"/>
        </w:trPr>
        <w:tc>
          <w:tcPr>
            <w:tcW w:w="414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Government agency securities</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58,979</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40"/>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58,950</w:t>
            </w:r>
          </w:p>
        </w:tc>
        <w:tc>
          <w:tcPr>
            <w:tcW w:w="0" w:type="dxa"/>
            <w:vAlign w:val="bottom"/>
          </w:tcPr>
          <w:p>
            <w:pPr>
              <w:spacing w:after="0"/>
              <w:rPr>
                <w:sz w:val="1"/>
                <w:szCs w:val="1"/>
                <w:color w:val="auto"/>
              </w:rPr>
            </w:pPr>
          </w:p>
        </w:tc>
      </w:tr>
      <w:tr>
        <w:trPr>
          <w:trHeight w:val="176"/>
        </w:trPr>
        <w:tc>
          <w:tcPr>
            <w:tcW w:w="4140" w:type="dxa"/>
            <w:vAlign w:val="bottom"/>
            <w:tcBorders>
              <w:bottom w:val="single" w:sz="8" w:color="CCEEFF"/>
            </w:tcBorders>
            <w:shd w:val="clear" w:color="auto" w:fill="CCEEFF"/>
          </w:tcPr>
          <w:p>
            <w:pPr>
              <w:ind w:left="440"/>
              <w:spacing w:after="0" w:line="170" w:lineRule="exact"/>
              <w:rPr>
                <w:sz w:val="20"/>
                <w:szCs w:val="20"/>
                <w:color w:val="auto"/>
              </w:rPr>
            </w:pPr>
            <w:r>
              <w:rPr>
                <w:rFonts w:ascii="Arial" w:cs="Arial" w:eastAsia="Arial" w:hAnsi="Arial"/>
                <w:sz w:val="18"/>
                <w:szCs w:val="18"/>
                <w:color w:val="auto"/>
                <w:w w:val="94"/>
              </w:rPr>
              <w:t>Total cash equivalents and marketable securities</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329,215</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640"/>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329,139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Cash equivalents and marketable securities consisted of the following at December 31, 2016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ind w:left="220"/>
              <w:spacing w:after="0" w:line="176" w:lineRule="exact"/>
              <w:rPr>
                <w:sz w:val="20"/>
                <w:szCs w:val="20"/>
                <w:color w:val="auto"/>
              </w:rPr>
            </w:pPr>
            <w:r>
              <w:rPr>
                <w:rFonts w:ascii="Arial" w:cs="Arial" w:eastAsia="Arial" w:hAnsi="Arial"/>
                <w:sz w:val="18"/>
                <w:szCs w:val="18"/>
                <w:color w:val="auto"/>
                <w:w w:val="95"/>
              </w:rPr>
              <w:t>185,323</w:t>
            </w:r>
          </w:p>
        </w:tc>
        <w:tc>
          <w:tcPr>
            <w:tcW w:w="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ind w:left="640"/>
              <w:spacing w:after="0" w:line="176"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ind w:left="640"/>
              <w:spacing w:after="0" w:line="176"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5"/>
              <w:spacing w:after="0" w:line="176" w:lineRule="exact"/>
              <w:rPr>
                <w:sz w:val="20"/>
                <w:szCs w:val="20"/>
                <w:color w:val="auto"/>
              </w:rPr>
            </w:pPr>
            <w:r>
              <w:rPr>
                <w:rFonts w:ascii="Arial" w:cs="Arial" w:eastAsia="Arial" w:hAnsi="Arial"/>
                <w:sz w:val="18"/>
                <w:szCs w:val="18"/>
                <w:color w:val="auto"/>
              </w:rPr>
              <w:t>$</w:t>
            </w:r>
          </w:p>
        </w:tc>
        <w:tc>
          <w:tcPr>
            <w:tcW w:w="800" w:type="dxa"/>
            <w:vAlign w:val="bottom"/>
          </w:tcPr>
          <w:p>
            <w:pPr>
              <w:ind w:left="160"/>
              <w:spacing w:after="0" w:line="176" w:lineRule="exact"/>
              <w:rPr>
                <w:sz w:val="20"/>
                <w:szCs w:val="20"/>
                <w:color w:val="auto"/>
              </w:rPr>
            </w:pPr>
            <w:r>
              <w:rPr>
                <w:rFonts w:ascii="Arial" w:cs="Arial" w:eastAsia="Arial" w:hAnsi="Arial"/>
                <w:sz w:val="18"/>
                <w:szCs w:val="18"/>
                <w:color w:val="auto"/>
                <w:w w:val="95"/>
              </w:rPr>
              <w:t>185,323</w:t>
            </w:r>
          </w:p>
        </w:tc>
        <w:tc>
          <w:tcPr>
            <w:tcW w:w="0" w:type="dxa"/>
            <w:vAlign w:val="bottom"/>
          </w:tcPr>
          <w:p>
            <w:pPr>
              <w:spacing w:after="0"/>
              <w:rPr>
                <w:sz w:val="1"/>
                <w:szCs w:val="1"/>
                <w:color w:val="auto"/>
              </w:rPr>
            </w:pPr>
          </w:p>
        </w:tc>
      </w:tr>
      <w:tr>
        <w:trPr>
          <w:trHeight w:val="176"/>
        </w:trPr>
        <w:tc>
          <w:tcPr>
            <w:tcW w:w="4140" w:type="dxa"/>
            <w:vAlign w:val="bottom"/>
            <w:tcBorders>
              <w:top w:val="single" w:sz="8" w:color="CCEEFF"/>
              <w:bottom w:val="single" w:sz="8" w:color="CCEEFF"/>
            </w:tcBorders>
            <w:shd w:val="clear" w:color="auto" w:fill="CCEEFF"/>
          </w:tcPr>
          <w:p>
            <w:pPr>
              <w:ind w:left="440"/>
              <w:spacing w:after="0" w:line="170" w:lineRule="exact"/>
              <w:rPr>
                <w:sz w:val="20"/>
                <w:szCs w:val="20"/>
                <w:color w:val="auto"/>
              </w:rPr>
            </w:pPr>
            <w:r>
              <w:rPr>
                <w:rFonts w:ascii="Arial" w:cs="Arial" w:eastAsia="Arial" w:hAnsi="Arial"/>
                <w:sz w:val="18"/>
                <w:szCs w:val="18"/>
                <w:color w:val="auto"/>
                <w:w w:val="94"/>
              </w:rPr>
              <w:t>Total cash equivalents and marketable securities</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220"/>
              <w:spacing w:after="0" w:line="170" w:lineRule="exact"/>
              <w:rPr>
                <w:sz w:val="20"/>
                <w:szCs w:val="20"/>
                <w:color w:val="auto"/>
              </w:rPr>
            </w:pPr>
            <w:r>
              <w:rPr>
                <w:rFonts w:ascii="Arial" w:cs="Arial" w:eastAsia="Arial" w:hAnsi="Arial"/>
                <w:sz w:val="18"/>
                <w:szCs w:val="18"/>
                <w:color w:val="auto"/>
                <w:w w:val="95"/>
              </w:rPr>
              <w:t>185,323</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640"/>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640"/>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160"/>
              <w:spacing w:after="0" w:line="170" w:lineRule="exact"/>
              <w:rPr>
                <w:sz w:val="20"/>
                <w:szCs w:val="20"/>
                <w:color w:val="auto"/>
              </w:rPr>
            </w:pPr>
            <w:r>
              <w:rPr>
                <w:rFonts w:ascii="Arial" w:cs="Arial" w:eastAsia="Arial" w:hAnsi="Arial"/>
                <w:sz w:val="18"/>
                <w:szCs w:val="18"/>
                <w:color w:val="auto"/>
                <w:w w:val="95"/>
              </w:rPr>
              <w:t>185,323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2017, the Company held 25 securities that were in an unrealized loss position. The aggregate fair</w:t>
      </w:r>
    </w:p>
    <w:p>
      <w:pPr>
        <w:spacing w:after="0"/>
        <w:rPr>
          <w:sz w:val="20"/>
          <w:szCs w:val="20"/>
          <w:color w:val="auto"/>
        </w:rPr>
      </w:pPr>
      <w:r>
        <w:rPr>
          <w:rFonts w:ascii="Arial" w:cs="Arial" w:eastAsia="Arial" w:hAnsi="Arial"/>
          <w:sz w:val="16"/>
          <w:szCs w:val="16"/>
          <w:color w:val="auto"/>
        </w:rPr>
        <w:t>value of securities held by the Company in an unrealized loss position for less than 12 months at December 31, 2017 was</w:t>
      </w:r>
    </w:p>
    <w:p>
      <w:pPr>
        <w:spacing w:after="0" w:line="229" w:lineRule="auto"/>
        <w:rPr>
          <w:sz w:val="20"/>
          <w:szCs w:val="20"/>
          <w:color w:val="auto"/>
        </w:rPr>
      </w:pPr>
      <w:r>
        <w:rPr>
          <w:rFonts w:ascii="Arial" w:cs="Arial" w:eastAsia="Arial" w:hAnsi="Arial"/>
          <w:sz w:val="16"/>
          <w:szCs w:val="16"/>
          <w:color w:val="auto"/>
        </w:rPr>
        <w:t>$174.0 million, and there were no securities held by the Company in an unrealized loss position for more than 12 months. As</w:t>
      </w:r>
    </w:p>
    <w:p>
      <w:pPr>
        <w:spacing w:after="0" w:line="215" w:lineRule="auto"/>
        <w:rPr>
          <w:sz w:val="20"/>
          <w:szCs w:val="20"/>
          <w:color w:val="auto"/>
        </w:rPr>
      </w:pPr>
      <w:r>
        <w:rPr>
          <w:rFonts w:ascii="Arial" w:cs="Arial" w:eastAsia="Arial" w:hAnsi="Arial"/>
          <w:sz w:val="17"/>
          <w:szCs w:val="17"/>
          <w:color w:val="auto"/>
        </w:rPr>
        <w:t>of December 31, 2017, the Company did not intend to sell, and would not be more likely than not required to sell, the</w:t>
      </w:r>
    </w:p>
    <w:p>
      <w:pPr>
        <w:spacing w:after="0" w:line="216" w:lineRule="auto"/>
        <w:rPr>
          <w:sz w:val="20"/>
          <w:szCs w:val="20"/>
          <w:color w:val="auto"/>
        </w:rPr>
      </w:pPr>
      <w:r>
        <w:rPr>
          <w:rFonts w:ascii="Arial" w:cs="Arial" w:eastAsia="Arial" w:hAnsi="Arial"/>
          <w:sz w:val="17"/>
          <w:szCs w:val="17"/>
          <w:color w:val="auto"/>
        </w:rPr>
        <w:t>securities in an unrealized loss position before recovery of their amortized cost bases. Furthermore, the Company has</w:t>
      </w:r>
    </w:p>
    <w:p>
      <w:pPr>
        <w:spacing w:after="0" w:line="229" w:lineRule="auto"/>
        <w:rPr>
          <w:sz w:val="20"/>
          <w:szCs w:val="20"/>
          <w:color w:val="auto"/>
        </w:rPr>
      </w:pPr>
      <w:r>
        <w:rPr>
          <w:rFonts w:ascii="Arial" w:cs="Arial" w:eastAsia="Arial" w:hAnsi="Arial"/>
          <w:sz w:val="16"/>
          <w:szCs w:val="16"/>
          <w:color w:val="auto"/>
        </w:rPr>
        <w:t>determined that there was no material change in the credit risk of these securities. As a result, the Company determined it did</w:t>
      </w:r>
    </w:p>
    <w:p>
      <w:pPr>
        <w:spacing w:after="0"/>
        <w:rPr>
          <w:sz w:val="20"/>
          <w:szCs w:val="20"/>
          <w:color w:val="auto"/>
        </w:rPr>
      </w:pPr>
      <w:r>
        <w:rPr>
          <w:rFonts w:ascii="Arial" w:cs="Arial" w:eastAsia="Arial" w:hAnsi="Arial"/>
          <w:sz w:val="18"/>
          <w:szCs w:val="18"/>
          <w:color w:val="auto"/>
        </w:rPr>
        <w:t>not hold any securities with any other-than-temporary impairment as of December 31, 2017.</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realized gains or losses on available-for-sale securities during the year ended December 31, 2017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1" w:name="page152"/>
    <w:bookmarkEnd w:id="1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Assets measured at fair value on a recurring basis as of December 31, 2017 are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Quoted Prices</w:t>
            </w:r>
          </w:p>
        </w:tc>
        <w:tc>
          <w:tcPr>
            <w:tcW w:w="8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20" w:type="dxa"/>
            <w:vAlign w:val="bottom"/>
          </w:tcPr>
          <w:p>
            <w:pPr>
              <w:spacing w:after="0"/>
              <w:rPr>
                <w:sz w:val="14"/>
                <w:szCs w:val="14"/>
                <w:color w:val="auto"/>
              </w:rPr>
            </w:pPr>
          </w:p>
        </w:tc>
        <w:tc>
          <w:tcPr>
            <w:tcW w:w="8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in Active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0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96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Observable</w:t>
            </w:r>
          </w:p>
        </w:tc>
        <w:tc>
          <w:tcPr>
            <w:tcW w:w="8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35"/>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Financial Assets</w:t>
            </w:r>
          </w:p>
        </w:tc>
        <w:tc>
          <w:tcPr>
            <w:tcW w:w="1040" w:type="dxa"/>
            <w:vAlign w:val="bottom"/>
            <w:gridSpan w:val="3"/>
            <w:vMerge w:val="continue"/>
          </w:tcPr>
          <w:p>
            <w:pPr>
              <w:spacing w:after="0"/>
              <w:rPr>
                <w:sz w:val="11"/>
                <w:szCs w:val="11"/>
                <w:color w:val="auto"/>
              </w:rPr>
            </w:pPr>
          </w:p>
        </w:tc>
        <w:tc>
          <w:tcPr>
            <w:tcW w:w="120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9"/>
        </w:trPr>
        <w:tc>
          <w:tcPr>
            <w:tcW w:w="50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2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w w:val="98"/>
              </w:rPr>
              <w:t>134,635</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134,635</w:t>
            </w:r>
          </w:p>
        </w:tc>
        <w:tc>
          <w:tcPr>
            <w:tcW w:w="80" w:type="dxa"/>
            <w:vAlign w:val="bottom"/>
          </w:tcPr>
          <w:p>
            <w:pPr>
              <w:spacing w:after="0"/>
              <w:rPr>
                <w:sz w:val="15"/>
                <w:szCs w:val="15"/>
                <w:color w:val="auto"/>
              </w:rPr>
            </w:pP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Treasuries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11,995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line="176" w:lineRule="exact"/>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Treasuries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123,559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123,559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20"/>
              <w:spacing w:after="0" w:line="176" w:lineRule="exact"/>
              <w:rPr>
                <w:sz w:val="20"/>
                <w:szCs w:val="20"/>
                <w:color w:val="auto"/>
              </w:rPr>
            </w:pPr>
            <w:r>
              <w:rPr>
                <w:rFonts w:ascii="Arial" w:cs="Arial" w:eastAsia="Arial" w:hAnsi="Arial"/>
                <w:sz w:val="18"/>
                <w:szCs w:val="18"/>
                <w:color w:val="auto"/>
              </w:rPr>
              <w:t>Government agency securities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58,950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58,950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Money market funds, included in restricted cash</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1,619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20"/>
              <w:spacing w:after="0" w:line="170" w:lineRule="exact"/>
              <w:rPr>
                <w:sz w:val="20"/>
                <w:szCs w:val="20"/>
                <w:color w:val="auto"/>
              </w:rPr>
            </w:pPr>
            <w:r>
              <w:rPr>
                <w:rFonts w:ascii="Arial" w:cs="Arial" w:eastAsia="Arial" w:hAnsi="Arial"/>
                <w:sz w:val="18"/>
                <w:szCs w:val="18"/>
                <w:color w:val="auto"/>
              </w:rPr>
              <w:t>Total financial assets</w:t>
            </w: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330,758</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330,758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4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00"/>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700" w:firstLine="648"/>
        <w:spacing w:after="0" w:line="235" w:lineRule="auto"/>
        <w:rPr>
          <w:sz w:val="20"/>
          <w:szCs w:val="20"/>
          <w:color w:val="auto"/>
        </w:rPr>
      </w:pPr>
      <w:r>
        <w:rPr>
          <w:rFonts w:ascii="Arial" w:cs="Arial" w:eastAsia="Arial" w:hAnsi="Arial"/>
          <w:sz w:val="18"/>
          <w:szCs w:val="18"/>
          <w:color w:val="auto"/>
        </w:rPr>
        <w:t>Assets and liabilities measured at fair value on a recurring basis as of December 31, 2016 are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Quoted Prices</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Financial Assets</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49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185,323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185,323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420"/>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6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9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Money market funds, included in other current assets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1,619</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1,619</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20"/>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5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98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186,942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186,942</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20"/>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6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transfers between fair value measurement levels during the years ended December 31, 2017 or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 and other current assets consisted of the following (in thousands):</w:t>
      </w:r>
    </w:p>
    <w:p>
      <w:pPr>
        <w:spacing w:after="0" w:line="139"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As of</w:t>
      </w:r>
    </w:p>
    <w:p>
      <w:pPr>
        <w:ind w:left="600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2820" w:type="dxa"/>
            <w:vAlign w:val="bottom"/>
            <w:tcBorders>
              <w:bottom w:val="single" w:sz="8" w:color="CCEEFF"/>
            </w:tcBorders>
          </w:tcPr>
          <w:p>
            <w:pPr>
              <w:spacing w:after="0"/>
              <w:rPr>
                <w:sz w:val="11"/>
                <w:szCs w:val="11"/>
                <w:color w:val="auto"/>
              </w:rPr>
            </w:pPr>
          </w:p>
        </w:tc>
        <w:tc>
          <w:tcPr>
            <w:tcW w:w="28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4"/>
              <w:spacing w:after="0" w:line="136"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4"/>
              <w:spacing w:after="0" w:line="136" w:lineRule="exact"/>
              <w:rPr>
                <w:sz w:val="20"/>
                <w:szCs w:val="20"/>
                <w:color w:val="auto"/>
              </w:rPr>
            </w:pPr>
            <w:r>
              <w:rPr>
                <w:rFonts w:ascii="Arial" w:cs="Arial" w:eastAsia="Arial" w:hAnsi="Arial"/>
                <w:sz w:val="14"/>
                <w:szCs w:val="14"/>
                <w:b w:val="1"/>
                <w:bCs w:val="1"/>
                <w:color w:val="auto"/>
              </w:rPr>
              <w:t>2016</w:t>
            </w:r>
          </w:p>
        </w:tc>
        <w:tc>
          <w:tcPr>
            <w:tcW w:w="1820" w:type="dxa"/>
            <w:vAlign w:val="bottom"/>
          </w:tcPr>
          <w:p>
            <w:pPr>
              <w:spacing w:after="0"/>
              <w:rPr>
                <w:sz w:val="11"/>
                <w:szCs w:val="11"/>
                <w:color w:val="auto"/>
              </w:rPr>
            </w:pPr>
          </w:p>
        </w:tc>
      </w:tr>
      <w:tr>
        <w:trPr>
          <w:trHeight w:val="169"/>
        </w:trPr>
        <w:tc>
          <w:tcPr>
            <w:tcW w:w="2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Prepaid expenses</w:t>
            </w:r>
          </w:p>
        </w:tc>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1,864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1,662</w:t>
            </w:r>
          </w:p>
        </w:tc>
        <w:tc>
          <w:tcPr>
            <w:tcW w:w="1820" w:type="dxa"/>
            <w:vAlign w:val="bottom"/>
          </w:tcPr>
          <w:p>
            <w:pPr>
              <w:spacing w:after="0"/>
              <w:rPr>
                <w:sz w:val="14"/>
                <w:szCs w:val="14"/>
                <w:color w:val="auto"/>
              </w:rPr>
            </w:pPr>
          </w:p>
        </w:tc>
      </w:tr>
      <w:tr>
        <w:trPr>
          <w:trHeight w:val="176"/>
        </w:trPr>
        <w:tc>
          <w:tcPr>
            <w:tcW w:w="28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2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517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110</w:t>
            </w:r>
          </w:p>
        </w:tc>
        <w:tc>
          <w:tcPr>
            <w:tcW w:w="1820" w:type="dxa"/>
            <w:vAlign w:val="bottom"/>
          </w:tcPr>
          <w:p>
            <w:pPr>
              <w:spacing w:after="0"/>
              <w:rPr>
                <w:sz w:val="15"/>
                <w:szCs w:val="15"/>
                <w:color w:val="auto"/>
              </w:rPr>
            </w:pPr>
          </w:p>
        </w:tc>
      </w:tr>
      <w:tr>
        <w:trPr>
          <w:trHeight w:val="189"/>
        </w:trPr>
        <w:tc>
          <w:tcPr>
            <w:tcW w:w="282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28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2,381</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1,772</w:t>
            </w:r>
          </w:p>
        </w:tc>
        <w:tc>
          <w:tcPr>
            <w:tcW w:w="1820" w:type="dxa"/>
            <w:vAlign w:val="bottom"/>
          </w:tcPr>
          <w:p>
            <w:pPr>
              <w:spacing w:after="0"/>
              <w:rPr>
                <w:sz w:val="16"/>
                <w:szCs w:val="16"/>
                <w:color w:val="auto"/>
              </w:rPr>
            </w:pPr>
          </w:p>
        </w:tc>
      </w:tr>
      <w:tr>
        <w:trPr>
          <w:trHeight w:val="797"/>
        </w:trPr>
        <w:tc>
          <w:tcPr>
            <w:tcW w:w="2820" w:type="dxa"/>
            <w:vAlign w:val="bottom"/>
          </w:tcPr>
          <w:p>
            <w:pPr>
              <w:spacing w:after="0"/>
              <w:rPr>
                <w:sz w:val="24"/>
                <w:szCs w:val="24"/>
                <w:color w:val="auto"/>
              </w:rPr>
            </w:pPr>
          </w:p>
        </w:tc>
        <w:tc>
          <w:tcPr>
            <w:tcW w:w="2820" w:type="dxa"/>
            <w:vAlign w:val="bottom"/>
          </w:tcPr>
          <w:p>
            <w:pPr>
              <w:jc w:val="right"/>
              <w:ind w:right="89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02"/>
        </w:trPr>
        <w:tc>
          <w:tcPr>
            <w:tcW w:w="282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bl>
    <w:p>
      <w:pPr>
        <w:sectPr>
          <w:pgSz w:w="11900" w:h="16838" w:orient="portrait"/>
          <w:cols w:equalWidth="0" w:num="1">
            <w:col w:w="9080"/>
          </w:cols>
          <w:pgMar w:left="1420" w:top="111" w:right="1399" w:bottom="1440" w:gutter="0" w:footer="0" w:header="0"/>
        </w:sectPr>
      </w:pPr>
    </w:p>
    <w:bookmarkStart w:id="152" w:name="page153"/>
    <w:bookmarkEnd w:id="1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39"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auto"/>
        </w:rPr>
        <w:t>As of</w:t>
      </w:r>
    </w:p>
    <w:p>
      <w:pPr>
        <w:ind w:left="576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372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52"/>
              <w:spacing w:after="0" w:line="136"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2"/>
              <w:spacing w:after="0" w:line="136" w:lineRule="exact"/>
              <w:rPr>
                <w:sz w:val="20"/>
                <w:szCs w:val="20"/>
                <w:color w:val="auto"/>
              </w:rPr>
            </w:pPr>
            <w:r>
              <w:rPr>
                <w:rFonts w:ascii="Arial" w:cs="Arial" w:eastAsia="Arial" w:hAnsi="Arial"/>
                <w:sz w:val="14"/>
                <w:szCs w:val="14"/>
                <w:b w:val="1"/>
                <w:bCs w:val="1"/>
                <w:color w:val="auto"/>
              </w:rPr>
              <w:t>2016</w:t>
            </w:r>
          </w:p>
        </w:tc>
      </w:tr>
      <w:tr>
        <w:trPr>
          <w:trHeight w:val="169"/>
        </w:trPr>
        <w:tc>
          <w:tcPr>
            <w:tcW w:w="37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Building</w:t>
            </w: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35,167</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35,941</w:t>
            </w: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Laboratory equipment</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7,415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5,130</w:t>
            </w: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Computer equipment</w:t>
            </w: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392</w:t>
            </w: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Leasehold improvements</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177</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Furniture and office equipment</w:t>
            </w: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170</w:t>
            </w:r>
          </w:p>
        </w:tc>
      </w:tr>
      <w:tr>
        <w:trPr>
          <w:trHeight w:val="176"/>
        </w:trPr>
        <w:tc>
          <w:tcPr>
            <w:tcW w:w="37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Software</w:t>
            </w:r>
          </w:p>
        </w:tc>
        <w:tc>
          <w:tcPr>
            <w:tcW w:w="14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95</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101</w:t>
            </w:r>
          </w:p>
        </w:tc>
      </w:tr>
      <w:tr>
        <w:trPr>
          <w:trHeight w:val="169"/>
        </w:trPr>
        <w:tc>
          <w:tcPr>
            <w:tcW w:w="37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property and equipment</w:t>
            </w: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43,500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41,934</w:t>
            </w:r>
          </w:p>
        </w:tc>
      </w:tr>
      <w:tr>
        <w:trPr>
          <w:trHeight w:val="176"/>
        </w:trPr>
        <w:tc>
          <w:tcPr>
            <w:tcW w:w="37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accumulated depreciation</w:t>
            </w:r>
          </w:p>
        </w:tc>
        <w:tc>
          <w:tcPr>
            <w:tcW w:w="14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(4,058)</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(1,556)</w:t>
            </w:r>
          </w:p>
        </w:tc>
      </w:tr>
      <w:tr>
        <w:trPr>
          <w:trHeight w:val="176"/>
        </w:trPr>
        <w:tc>
          <w:tcPr>
            <w:tcW w:w="372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Property and equipment, net</w:t>
            </w:r>
          </w:p>
        </w:tc>
        <w:tc>
          <w:tcPr>
            <w:tcW w:w="14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39,442</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40,378</w:t>
            </w:r>
          </w:p>
        </w:tc>
      </w:tr>
    </w:tbl>
    <w:p>
      <w:pPr>
        <w:spacing w:after="0" w:line="148" w:lineRule="exact"/>
        <w:rPr>
          <w:sz w:val="20"/>
          <w:szCs w:val="20"/>
          <w:color w:val="auto"/>
        </w:rPr>
      </w:pPr>
    </w:p>
    <w:p>
      <w:pPr>
        <w:ind w:right="99" w:firstLine="648"/>
        <w:spacing w:after="0" w:line="235" w:lineRule="auto"/>
        <w:rPr>
          <w:sz w:val="20"/>
          <w:szCs w:val="20"/>
          <w:color w:val="auto"/>
        </w:rPr>
      </w:pPr>
      <w:r>
        <w:rPr>
          <w:rFonts w:ascii="Arial" w:cs="Arial" w:eastAsia="Arial" w:hAnsi="Arial"/>
          <w:sz w:val="18"/>
          <w:szCs w:val="18"/>
          <w:color w:val="auto"/>
        </w:rPr>
        <w:t>The Company recorded $2.7 million, $1.2 million, and $0.5 million in depreciation expense during the years ended December 31, 2017, 2016 and 2015,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39"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As of</w:t>
      </w:r>
    </w:p>
    <w:p>
      <w:pPr>
        <w:ind w:left="584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53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2"/>
              <w:spacing w:after="0" w:line="136"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2"/>
              <w:spacing w:after="0" w:line="136" w:lineRule="exact"/>
              <w:rPr>
                <w:sz w:val="20"/>
                <w:szCs w:val="20"/>
                <w:color w:val="auto"/>
              </w:rPr>
            </w:pPr>
            <w:r>
              <w:rPr>
                <w:rFonts w:ascii="Arial" w:cs="Arial" w:eastAsia="Arial" w:hAnsi="Arial"/>
                <w:sz w:val="14"/>
                <w:szCs w:val="14"/>
                <w:b w:val="1"/>
                <w:bCs w:val="1"/>
                <w:color w:val="auto"/>
              </w:rPr>
              <w:t>2016</w:t>
            </w:r>
          </w:p>
        </w:tc>
      </w:tr>
      <w:tr>
        <w:trPr>
          <w:trHeight w:val="169"/>
        </w:trPr>
        <w:tc>
          <w:tcPr>
            <w:tcW w:w="5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Employee related expenses</w:t>
            </w:r>
          </w:p>
        </w:tc>
        <w:tc>
          <w:tcPr>
            <w:tcW w:w="2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3,708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2,480</w:t>
            </w: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8"/>
                <w:szCs w:val="18"/>
                <w:color w:val="auto"/>
              </w:rPr>
              <w:t>Intellectual property and patent related fees</w:t>
            </w:r>
          </w:p>
        </w:tc>
        <w:tc>
          <w:tcPr>
            <w:tcW w:w="20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2,370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13,251</w:t>
            </w:r>
          </w:p>
        </w:tc>
      </w:tr>
      <w:tr>
        <w:trPr>
          <w:trHeight w:val="176"/>
        </w:trPr>
        <w:tc>
          <w:tcPr>
            <w:tcW w:w="5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Process and platform development expenses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2,301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443</w:t>
            </w: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8"/>
                <w:szCs w:val="18"/>
                <w:color w:val="auto"/>
              </w:rPr>
              <w:t>Success payment expenses</w:t>
            </w:r>
          </w:p>
        </w:tc>
        <w:tc>
          <w:tcPr>
            <w:tcW w:w="20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2,000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5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Professional service expenses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729</w:t>
            </w:r>
          </w:p>
        </w:tc>
      </w:tr>
      <w:tr>
        <w:trPr>
          <w:trHeight w:val="176"/>
        </w:trPr>
        <w:tc>
          <w:tcPr>
            <w:tcW w:w="53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 expenses</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536</w:t>
            </w:r>
          </w:p>
        </w:tc>
      </w:tr>
      <w:tr>
        <w:trPr>
          <w:trHeight w:val="176"/>
        </w:trPr>
        <w:tc>
          <w:tcPr>
            <w:tcW w:w="532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11,049</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17,439</w:t>
            </w:r>
          </w:p>
        </w:tc>
      </w:tr>
    </w:tbl>
    <w:p>
      <w:pPr>
        <w:spacing w:after="0" w:line="157" w:lineRule="exact"/>
        <w:rPr>
          <w:sz w:val="20"/>
          <w:szCs w:val="20"/>
          <w:color w:val="auto"/>
        </w:rPr>
      </w:pPr>
    </w:p>
    <w:p>
      <w:pPr>
        <w:ind w:left="660" w:right="6299" w:hanging="657"/>
        <w:spacing w:after="0" w:line="460" w:lineRule="auto"/>
        <w:tabs>
          <w:tab w:leader="none" w:pos="192"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Hurley Street Lease</w:t>
      </w:r>
    </w:p>
    <w:p>
      <w:pPr>
        <w:spacing w:after="0" w:line="1" w:lineRule="exact"/>
        <w:rPr>
          <w:sz w:val="20"/>
          <w:szCs w:val="20"/>
          <w:color w:val="auto"/>
        </w:rPr>
      </w:pPr>
    </w:p>
    <w:p>
      <w:pPr>
        <w:ind w:right="39" w:firstLine="648"/>
        <w:spacing w:after="0" w:line="225" w:lineRule="auto"/>
        <w:rPr>
          <w:sz w:val="20"/>
          <w:szCs w:val="20"/>
          <w:color w:val="auto"/>
        </w:rPr>
      </w:pPr>
      <w:r>
        <w:rPr>
          <w:rFonts w:ascii="Arial" w:cs="Arial" w:eastAsia="Arial" w:hAnsi="Arial"/>
          <w:sz w:val="17"/>
          <w:szCs w:val="17"/>
          <w:color w:val="auto"/>
        </w:rPr>
        <w:t>In February 2016, the Company entered into a lease agreement for 59,783 square feet of office and laboratory space located on Hurley Street in Cambridge, Massachusetts. The term of the lease began on October 1, 2016. In connection with the lease and as a security deposit, the Company deposited with the landlord a letter of credit in the amount of approximately $1.6 million. Subject to the terms of the lease and certain reduction requirements specified therein, the $1.6 million security deposit may decrease over time. The letter of credit, which is collateralized by the Company with cash held in a money market account, is recorded in restricted cash and other non-current assets in the accompanying consolidated financial statement as of December 31, 2017 and December 31, 2016.</w:t>
      </w:r>
    </w:p>
    <w:p>
      <w:pPr>
        <w:spacing w:after="0" w:line="122" w:lineRule="exact"/>
        <w:rPr>
          <w:sz w:val="20"/>
          <w:szCs w:val="20"/>
          <w:color w:val="auto"/>
        </w:rPr>
      </w:pPr>
    </w:p>
    <w:p>
      <w:pPr>
        <w:ind w:right="39" w:firstLine="648"/>
        <w:spacing w:after="0" w:line="239" w:lineRule="auto"/>
        <w:rPr>
          <w:sz w:val="20"/>
          <w:szCs w:val="20"/>
          <w:color w:val="auto"/>
        </w:rPr>
      </w:pPr>
      <w:r>
        <w:rPr>
          <w:rFonts w:ascii="Arial" w:cs="Arial" w:eastAsia="Arial" w:hAnsi="Arial"/>
          <w:sz w:val="16"/>
          <w:szCs w:val="16"/>
          <w:color w:val="auto"/>
        </w:rPr>
        <w:t>In connection with this lease, the landlord provided a tenant improvement allowance for costs associated with the design, engineering, and construction of tenant improvements for the leased facility. For accounting purposes, the Company was deemed the owner of the building during the construction period due to the fact that the Company was involved in the construction project, including having responsibilities for cost overruns for planned tenant improvements that did not qualify as “normal tenant improvements” under the lease accounting guidance. Throughout the construction period, the Company recorded the project construction costs incurred as an asset, along with a corresponding facility lease obligation, on its balance sheet for the total amount of the project costs incurred whether funded by the Company or the landlord.</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53" w:name="page154"/>
    <w:bookmarkEnd w:id="1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Construction was completed in October 2016, and the Company considered the requirements for sale-leaseback accounting treatment, which included an evaluation of whether all risks of ownership had transferred back to the landlord, as evidenced by a lack of continuing involvement in the leased property. The Company determined that the arrangement did not qualify for sale-leaseback accounting treatment, the building asset would remain on the Company’s balance sheet at its historical cost, and such asset would be depreciated over its estimated useful life of 30 years.</w:t>
      </w:r>
    </w:p>
    <w:p>
      <w:pPr>
        <w:spacing w:after="0" w:line="118"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The Company bifurcates its future lease payments pursuant to the Hurley Street lease into (i) a portion that is allocated to the building and (ii) a portion that is allocated to the land on which the building is located, which is recorded as rental expense. Although the Company did not begin making lease payments pursuant to the Hurley Street lease until November 2016, the portion of the lease obligation allocated to the land is treated for accounting purposes as an operating lease that commenced upon execution of the Hurley Street lease in February 2016.</w:t>
      </w:r>
    </w:p>
    <w:p>
      <w:pPr>
        <w:spacing w:after="0" w:line="12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lease will continue until October 2023. The Company has the option to extend the lease for an additional five year term at market-based rates. The Company began using this space as its headquarters in October 2016 and rental payments for this property began in November 2016. The base rent is subject to increases over the term of the lease. The non-cancelable minimum annual lease payments, excluding the Company’s share of the facility operating expenses and other costs that are reimbursable to the landlord under the lease, consist of the following (in thousands):</w:t>
      </w:r>
    </w:p>
    <w:p>
      <w:pPr>
        <w:spacing w:after="0" w:line="126" w:lineRule="exact"/>
        <w:rPr>
          <w:sz w:val="20"/>
          <w:szCs w:val="20"/>
          <w:color w:val="auto"/>
        </w:rPr>
      </w:pPr>
    </w:p>
    <w:tbl>
      <w:tblPr>
        <w:tblLayout w:type="fixed"/>
        <w:tblInd w:w="2080" w:type="dxa"/>
        <w:tblCellMar>
          <w:top w:w="0" w:type="dxa"/>
          <w:left w:w="0" w:type="dxa"/>
          <w:bottom w:w="0" w:type="dxa"/>
          <w:right w:w="0" w:type="dxa"/>
        </w:tblCellMar>
      </w:tblPr>
      <w:tr>
        <w:trPr>
          <w:trHeight w:val="171"/>
        </w:trPr>
        <w:tc>
          <w:tcPr>
            <w:tcW w:w="30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11 Hurley Street Lease</w:t>
            </w:r>
          </w:p>
        </w:tc>
      </w:tr>
      <w:tr>
        <w:trPr>
          <w:trHeight w:val="169"/>
        </w:trPr>
        <w:tc>
          <w:tcPr>
            <w:tcW w:w="3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4,055</w:t>
            </w:r>
          </w:p>
        </w:tc>
      </w:tr>
      <w:tr>
        <w:trPr>
          <w:trHeight w:val="189"/>
        </w:trPr>
        <w:tc>
          <w:tcPr>
            <w:tcW w:w="3020" w:type="dxa"/>
            <w:vAlign w:val="bottom"/>
          </w:tcPr>
          <w:p>
            <w:pPr>
              <w:spacing w:after="0" w:line="189" w:lineRule="exact"/>
              <w:rPr>
                <w:sz w:val="20"/>
                <w:szCs w:val="20"/>
                <w:color w:val="auto"/>
              </w:rPr>
            </w:pPr>
            <w:r>
              <w:rPr>
                <w:rFonts w:ascii="Arial" w:cs="Arial" w:eastAsia="Arial" w:hAnsi="Arial"/>
                <w:sz w:val="18"/>
                <w:szCs w:val="18"/>
                <w:color w:val="auto"/>
              </w:rPr>
              <w:t>2019</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Arial" w:cs="Arial" w:eastAsia="Arial" w:hAnsi="Arial"/>
                <w:sz w:val="18"/>
                <w:szCs w:val="18"/>
                <w:color w:val="auto"/>
              </w:rPr>
              <w:t>4,155</w:t>
            </w:r>
          </w:p>
        </w:tc>
      </w:tr>
      <w:tr>
        <w:trPr>
          <w:trHeight w:val="189"/>
        </w:trPr>
        <w:tc>
          <w:tcPr>
            <w:tcW w:w="3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2020</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4,257</w:t>
            </w:r>
          </w:p>
        </w:tc>
      </w:tr>
      <w:tr>
        <w:trPr>
          <w:trHeight w:val="189"/>
        </w:trPr>
        <w:tc>
          <w:tcPr>
            <w:tcW w:w="3020" w:type="dxa"/>
            <w:vAlign w:val="bottom"/>
          </w:tcPr>
          <w:p>
            <w:pPr>
              <w:spacing w:after="0" w:line="189" w:lineRule="exact"/>
              <w:rPr>
                <w:sz w:val="20"/>
                <w:szCs w:val="20"/>
                <w:color w:val="auto"/>
              </w:rPr>
            </w:pPr>
            <w:r>
              <w:rPr>
                <w:rFonts w:ascii="Arial" w:cs="Arial" w:eastAsia="Arial" w:hAnsi="Arial"/>
                <w:sz w:val="18"/>
                <w:szCs w:val="18"/>
                <w:color w:val="auto"/>
              </w:rPr>
              <w:t>2021</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Arial" w:cs="Arial" w:eastAsia="Arial" w:hAnsi="Arial"/>
                <w:sz w:val="18"/>
                <w:szCs w:val="18"/>
                <w:color w:val="auto"/>
              </w:rPr>
              <w:t>4,362</w:t>
            </w:r>
          </w:p>
        </w:tc>
      </w:tr>
      <w:tr>
        <w:trPr>
          <w:trHeight w:val="189"/>
        </w:trPr>
        <w:tc>
          <w:tcPr>
            <w:tcW w:w="3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2022</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4,470</w:t>
            </w:r>
          </w:p>
        </w:tc>
      </w:tr>
      <w:tr>
        <w:trPr>
          <w:trHeight w:val="189"/>
        </w:trPr>
        <w:tc>
          <w:tcPr>
            <w:tcW w:w="30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2023 and thereafter</w:t>
            </w:r>
          </w:p>
        </w:tc>
        <w:tc>
          <w:tcPr>
            <w:tcW w:w="7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3,801</w:t>
            </w:r>
          </w:p>
        </w:tc>
      </w:tr>
      <w:tr>
        <w:trPr>
          <w:trHeight w:val="176"/>
        </w:trPr>
        <w:tc>
          <w:tcPr>
            <w:tcW w:w="30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minimum lease payments</w:t>
            </w: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25,100</w:t>
            </w:r>
          </w:p>
        </w:tc>
      </w:tr>
    </w:tbl>
    <w:p>
      <w:pPr>
        <w:spacing w:after="0" w:line="148"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Rent expense of approximately $1.2 million, $2.5 million, and $1.0 million was incurred during the years ended December 31, 2017, 2016 and 2015, respectively.</w:t>
      </w:r>
    </w:p>
    <w:p>
      <w:pPr>
        <w:spacing w:after="0" w:line="121"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In February 2017, the Company subleased approximately 10,000 square feet of the Hurley Street premises pursuant to a sublease (the “Sublease”). Under the terms of the Sublease, the total minimum rental revenue to be received in the future is $0.4 million as of December 31, 2017. The Sublease commenced in February 2017 and will expire on the eighteen month anniversary thereof, unless it is extended for an additional eighteen month term by the subtenant. If the subtenant elects to extend the term of the lease, the base rent is subject to a minimal increase for the subsequent eighteen month period, which is recorded as other income in the consolidated statements of operations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Licensor Expense Reimbursement</w:t>
      </w:r>
    </w:p>
    <w:p>
      <w:pPr>
        <w:spacing w:after="0" w:line="144"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Company is obligated to reimburse The Broad Institute, Inc. (“Broad”) and the President and Fellows of Harvard College (“Harvard”) for expenses incurred by each of them associated with the prosecution and maintenance of the patent rights that the Company licenses from them pursuant to the license agreement by and among the Company, Broad and Harvard, including the interference and opposition proceedings involving patents licensed to the Company under the license agreement. As such, the Company anticipates that it has a substantial commitment in connection with these proceedings until such time as these proceedings have been resolved, but the amount of such commitment is not determinable. The Company incurred an aggregate of $18.2 million, $23.1 million, and $9.4 million in expense during the years ended December 31, 2017, 2016 and 2015, respectively, for such reimbursement.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Success Payments</w:t>
      </w:r>
    </w:p>
    <w:p>
      <w:pPr>
        <w:spacing w:after="0" w:line="144" w:lineRule="exact"/>
        <w:rPr>
          <w:sz w:val="20"/>
          <w:szCs w:val="20"/>
          <w:color w:val="auto"/>
        </w:rPr>
      </w:pPr>
    </w:p>
    <w:p>
      <w:pPr>
        <w:ind w:right="100" w:firstLine="648"/>
        <w:spacing w:after="0" w:line="244" w:lineRule="auto"/>
        <w:rPr>
          <w:sz w:val="20"/>
          <w:szCs w:val="20"/>
          <w:color w:val="auto"/>
        </w:rPr>
      </w:pPr>
      <w:r>
        <w:rPr>
          <w:rFonts w:ascii="Arial" w:cs="Arial" w:eastAsia="Arial" w:hAnsi="Arial"/>
          <w:sz w:val="16"/>
          <w:szCs w:val="16"/>
          <w:color w:val="auto"/>
        </w:rPr>
        <w:t>In 2016, the Company entered into patent license agreements with each of The General Hospital Corporation, d/b/a Massachusetts General Hospital (“MGH”), and Broad (collectively, the “2016 License Agreements”). Pursuant to the terms of the 2016 License Agreements, the Company is required to make certain success payments to MGH, Broad and Wageningen University (“Wageningen” and such payments, collectively, the “Success Payments”), payable in cash or, at the Company’s election common stock in the case of MGH or, in the case of Broad and Wageningen, promissory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4" w:name="page155"/>
    <w:bookmarkEnd w:id="1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9"/>
        <w:spacing w:after="0" w:line="219" w:lineRule="auto"/>
        <w:rPr>
          <w:sz w:val="20"/>
          <w:szCs w:val="20"/>
          <w:color w:val="auto"/>
        </w:rPr>
      </w:pPr>
      <w:r>
        <w:rPr>
          <w:rFonts w:ascii="Arial" w:cs="Arial" w:eastAsia="Arial" w:hAnsi="Arial"/>
          <w:sz w:val="18"/>
          <w:szCs w:val="18"/>
          <w:color w:val="auto"/>
        </w:rPr>
        <w:t>notes payable in cash or, at the Company’s election subject to certain conditions, common stock of the Company. The Success Payments are payable, if and when, the Company’s market capitalization reaches specified thresholds for a specific period of time or upon a sale of the Company for consideration in excess of those thresholds, as discussed more fully in Note 9 (collectively, the “Payment Conditions”).</w:t>
      </w:r>
    </w:p>
    <w:p>
      <w:pPr>
        <w:spacing w:after="0" w:line="122" w:lineRule="exact"/>
        <w:rPr>
          <w:sz w:val="20"/>
          <w:szCs w:val="20"/>
          <w:color w:val="auto"/>
        </w:rPr>
      </w:pPr>
    </w:p>
    <w:p>
      <w:pPr>
        <w:ind w:right="39" w:firstLine="648"/>
        <w:spacing w:after="0" w:line="226" w:lineRule="auto"/>
        <w:rPr>
          <w:sz w:val="20"/>
          <w:szCs w:val="20"/>
          <w:color w:val="auto"/>
        </w:rPr>
      </w:pPr>
      <w:r>
        <w:rPr>
          <w:rFonts w:ascii="Arial" w:cs="Arial" w:eastAsia="Arial" w:hAnsi="Arial"/>
          <w:sz w:val="17"/>
          <w:szCs w:val="17"/>
          <w:color w:val="auto"/>
        </w:rPr>
        <w:t xml:space="preserve">The Success Payments were accounted for under the provisions of FASB ASC, Topic 505-50, </w:t>
      </w:r>
      <w:r>
        <w:rPr>
          <w:rFonts w:ascii="Arial" w:cs="Arial" w:eastAsia="Arial" w:hAnsi="Arial"/>
          <w:sz w:val="17"/>
          <w:szCs w:val="17"/>
          <w:i w:val="1"/>
          <w:iCs w:val="1"/>
          <w:color w:val="auto"/>
        </w:rPr>
        <w:t>Equity-Based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Payments to Non-Employees. </w:t>
      </w:r>
      <w:r>
        <w:rPr>
          <w:rFonts w:ascii="Arial" w:cs="Arial" w:eastAsia="Arial" w:hAnsi="Arial"/>
          <w:sz w:val="17"/>
          <w:szCs w:val="17"/>
          <w:color w:val="auto"/>
        </w:rPr>
        <w:t>The Company has the right to terminate any of the 2016 License Agreements at will upon</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notice. Absent any of the Payment Conditions being achieved prior to termination, the Company would not be obligated to pay any Success Payments. As such, the Company will recognize the expense and liability associated with each Success Payment upon achievement of the associated Payment Conditions, if ever. The expense is recorded as a research and development expense in the statements of operations.</w:t>
      </w:r>
    </w:p>
    <w:p>
      <w:pPr>
        <w:spacing w:after="0" w:line="125" w:lineRule="exact"/>
        <w:rPr>
          <w:sz w:val="20"/>
          <w:szCs w:val="20"/>
          <w:color w:val="auto"/>
        </w:rPr>
      </w:pPr>
    </w:p>
    <w:p>
      <w:pPr>
        <w:ind w:right="79" w:firstLine="648"/>
        <w:spacing w:after="0" w:line="219" w:lineRule="auto"/>
        <w:rPr>
          <w:sz w:val="20"/>
          <w:szCs w:val="20"/>
          <w:color w:val="auto"/>
        </w:rPr>
      </w:pPr>
      <w:r>
        <w:rPr>
          <w:rFonts w:ascii="Arial" w:cs="Arial" w:eastAsia="Arial" w:hAnsi="Arial"/>
          <w:sz w:val="18"/>
          <w:szCs w:val="18"/>
          <w:color w:val="auto"/>
        </w:rPr>
        <w:t>The Company triggered the first Success Payment under one of the 2016 License Agreements during the first quarter of 2017 when the Company’s market capitalization reached $750 million. On March 28, 2017, the Company issued promissory notes for an aggregate principal amount of $5.0 million to Broad and Wageningen and the Company settled such notes in August 2017.</w:t>
      </w:r>
    </w:p>
    <w:p>
      <w:pPr>
        <w:spacing w:after="0" w:line="122" w:lineRule="exact"/>
        <w:rPr>
          <w:sz w:val="20"/>
          <w:szCs w:val="20"/>
          <w:color w:val="auto"/>
        </w:rPr>
      </w:pPr>
    </w:p>
    <w:p>
      <w:pPr>
        <w:jc w:val="both"/>
        <w:ind w:right="99" w:firstLine="648"/>
        <w:spacing w:after="0" w:line="219" w:lineRule="auto"/>
        <w:rPr>
          <w:sz w:val="20"/>
          <w:szCs w:val="20"/>
          <w:color w:val="auto"/>
        </w:rPr>
      </w:pPr>
      <w:r>
        <w:rPr>
          <w:rFonts w:ascii="Arial" w:cs="Arial" w:eastAsia="Arial" w:hAnsi="Arial"/>
          <w:sz w:val="18"/>
          <w:szCs w:val="18"/>
          <w:color w:val="auto"/>
        </w:rPr>
        <w:t>The Company triggered the second Success Payment under one of the 2016 License Agreements during the fourth quarter of 2017 when the Company’s market capitalization reached $1.0 billion. On December 6, 2017, the Company issued promissory notes for an aggregate principal amount of $7.5 million to Broad and the Company settled such notes in January 2018.</w:t>
      </w:r>
    </w:p>
    <w:p>
      <w:pPr>
        <w:spacing w:after="0" w:line="122"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The Company triggered the first Success Payment under the MGH license agreement during the fourth quarter of 2017 when the Company’s market capitalization reached $1.0 billion (the “First MGH Success Payment”). The Company accrued $2.0 million relating to the First MGH Success Payment owed to MGH which is included in accrued expense on the consolidated balance sheet for the year ended December 31, 2017. The Company settled this liability in shares of common stock in January 2018.</w:t>
      </w:r>
    </w:p>
    <w:p>
      <w:pPr>
        <w:spacing w:after="0" w:line="122" w:lineRule="exact"/>
        <w:rPr>
          <w:sz w:val="20"/>
          <w:szCs w:val="20"/>
          <w:color w:val="auto"/>
        </w:rPr>
      </w:pPr>
    </w:p>
    <w:p>
      <w:pPr>
        <w:ind w:left="660" w:right="299"/>
        <w:spacing w:after="0" w:line="407" w:lineRule="auto"/>
        <w:rPr>
          <w:sz w:val="20"/>
          <w:szCs w:val="20"/>
          <w:color w:val="auto"/>
        </w:rPr>
      </w:pPr>
      <w:r>
        <w:rPr>
          <w:rFonts w:ascii="Arial" w:cs="Arial" w:eastAsia="Arial" w:hAnsi="Arial"/>
          <w:sz w:val="18"/>
          <w:szCs w:val="18"/>
          <w:color w:val="auto"/>
        </w:rPr>
        <w:t xml:space="preserve">The Broad and Wageningen Success Payments are discussed more fully within the Notes Payable section below. </w:t>
      </w:r>
      <w:r>
        <w:rPr>
          <w:rFonts w:ascii="Arial" w:cs="Arial" w:eastAsia="Arial" w:hAnsi="Arial"/>
          <w:sz w:val="18"/>
          <w:szCs w:val="18"/>
          <w:b w:val="1"/>
          <w:bCs w:val="1"/>
          <w:i w:val="1"/>
          <w:iCs w:val="1"/>
          <w:color w:val="auto"/>
        </w:rPr>
        <w:t>Notes Payable</w:t>
      </w:r>
    </w:p>
    <w:p>
      <w:pPr>
        <w:ind w:right="79" w:firstLine="648"/>
        <w:spacing w:after="0" w:line="211" w:lineRule="auto"/>
        <w:rPr>
          <w:sz w:val="20"/>
          <w:szCs w:val="20"/>
          <w:color w:val="auto"/>
        </w:rPr>
      </w:pPr>
      <w:r>
        <w:rPr>
          <w:rFonts w:ascii="Arial" w:cs="Arial" w:eastAsia="Arial" w:hAnsi="Arial"/>
          <w:sz w:val="18"/>
          <w:szCs w:val="18"/>
          <w:color w:val="auto"/>
        </w:rPr>
        <w:t>In December 2016, in connection with the Company’s entry into the Cpf1 license agreement with Broad (the “Cpf1 License Agreement”), one of the 2016 License Agreements, it issued promissory notes in an aggregate principal amount of $10.0 million to Broad and Wageningen (the “Initial Notes”). Outstanding principal and accrued interest on the Initial Notes were due and payable on the earlier of December 2017 or a specified period of time following a Company sale or change of control event. The Initial Notes accrued interest at a rate of 4.8% per annum. The Company fully settled the outstanding principal and accrued interest on the Initial Notes by paying $0.2 million in cash to Wageningen in August 2017 and issuing 108,104 shares and 371,166 shares of common stock to Broad in August 2017 and September 2017, respectively, in connection with such settlement.</w:t>
      </w:r>
    </w:p>
    <w:p>
      <w:pPr>
        <w:spacing w:after="0" w:line="124" w:lineRule="exact"/>
        <w:rPr>
          <w:sz w:val="20"/>
          <w:szCs w:val="20"/>
          <w:color w:val="auto"/>
        </w:rPr>
      </w:pPr>
    </w:p>
    <w:p>
      <w:pPr>
        <w:ind w:right="39" w:firstLine="648"/>
        <w:spacing w:after="0" w:line="236" w:lineRule="auto"/>
        <w:rPr>
          <w:sz w:val="20"/>
          <w:szCs w:val="20"/>
          <w:color w:val="auto"/>
        </w:rPr>
      </w:pPr>
      <w:r>
        <w:rPr>
          <w:rFonts w:ascii="Arial" w:cs="Arial" w:eastAsia="Arial" w:hAnsi="Arial"/>
          <w:sz w:val="16"/>
          <w:szCs w:val="16"/>
          <w:color w:val="auto"/>
        </w:rPr>
        <w:t>In March 2017, a $5.0 million Success Payment under the Cpf1 License Agreement became due upon the market capitalization of the Company’s common stock reaching $750 million. The Company issued a promissory note to each of Broad and Wageningen in an aggregate original principal amount of $5.0 million (collectively, the “ March Success Payment Notes”). Outstanding principal and accrued interest on the March Success Payment Notes were due and payable in August 2017. The March Success Payment Notes were subject to the same interest and terms as the Initial Notes, other than the maturity date. The Company settled the outstanding principal and accrued interest on the March Success Payment Notes in August 2017 by paying $0.4 million in cash to Wageningen and issuing 271,347 shares of common stock to Broad in August 2017 in connection with the settlement of the March Success Payment Notes. In September 2017, Wageningen designated Broad as the recipient of any future promissory notes that are owed to Wageningen pursuant to the Cpf1 License Agreement.</w:t>
      </w:r>
    </w:p>
    <w:p>
      <w:pPr>
        <w:spacing w:after="0" w:line="127" w:lineRule="exact"/>
        <w:rPr>
          <w:sz w:val="20"/>
          <w:szCs w:val="20"/>
          <w:color w:val="auto"/>
        </w:rPr>
      </w:pPr>
    </w:p>
    <w:p>
      <w:pPr>
        <w:ind w:right="259" w:firstLine="648"/>
        <w:spacing w:after="0" w:line="289" w:lineRule="auto"/>
        <w:rPr>
          <w:sz w:val="20"/>
          <w:szCs w:val="20"/>
          <w:color w:val="auto"/>
        </w:rPr>
      </w:pPr>
      <w:r>
        <w:rPr>
          <w:rFonts w:ascii="Arial" w:cs="Arial" w:eastAsia="Arial" w:hAnsi="Arial"/>
          <w:sz w:val="16"/>
          <w:szCs w:val="16"/>
          <w:color w:val="auto"/>
        </w:rPr>
        <w:t>In December 2017, $7.5 million in Success Payments under the Cpf1 License Agreement and the Cas9-II license agreement with the Broad (the “Cas9-II License Agreement”), one of the 2016 License Agreements, became due</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55" w:name="page156"/>
    <w:bookmarkEnd w:id="1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300"/>
        <w:spacing w:after="0" w:line="244" w:lineRule="auto"/>
        <w:rPr>
          <w:sz w:val="20"/>
          <w:szCs w:val="20"/>
          <w:color w:val="auto"/>
        </w:rPr>
      </w:pPr>
      <w:r>
        <w:rPr>
          <w:rFonts w:ascii="Arial" w:cs="Arial" w:eastAsia="Arial" w:hAnsi="Arial"/>
          <w:sz w:val="16"/>
          <w:szCs w:val="16"/>
          <w:color w:val="auto"/>
        </w:rPr>
        <w:t>upon the Company’s market capitalization reaching $1.0 billion. The Company issued promissory notes to Broad in an aggregate original principal amount of $7.5 million (collectively, the “December Success Payment Notes”). Outstanding principal and accrued interest on the December Success Payment Notes are due and payable in May 2018. The December Success Payment Notes are subject to the same interest and terms as the Initial Notes, other than the maturity date. The December Success Payment Notes were fully settled in shares of common stock in January 2018 (see Note 18).</w:t>
      </w:r>
    </w:p>
    <w:p>
      <w:pPr>
        <w:spacing w:after="0" w:line="118"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The Company believes that the carrying value of the December Success Payments Notes approximates their fair value based on Level 3 inputs including a quoted rate.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144"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Company is not a party to any litigation and did not have contingency reserves established for any litigation liabilities as of December 31,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Significant Agreements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Juno Therapeutics Collaboration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Agreement</w:t>
      </w:r>
    </w:p>
    <w:p>
      <w:pPr>
        <w:spacing w:after="0" w:line="144" w:lineRule="exact"/>
        <w:rPr>
          <w:sz w:val="20"/>
          <w:szCs w:val="20"/>
          <w:color w:val="auto"/>
        </w:rPr>
      </w:pPr>
    </w:p>
    <w:p>
      <w:pPr>
        <w:ind w:right="240" w:firstLine="713"/>
        <w:spacing w:after="0" w:line="244" w:lineRule="auto"/>
        <w:rPr>
          <w:sz w:val="20"/>
          <w:szCs w:val="20"/>
          <w:color w:val="auto"/>
        </w:rPr>
      </w:pPr>
      <w:r>
        <w:rPr>
          <w:rFonts w:ascii="Arial" w:cs="Arial" w:eastAsia="Arial" w:hAnsi="Arial"/>
          <w:sz w:val="16"/>
          <w:szCs w:val="16"/>
          <w:color w:val="auto"/>
        </w:rPr>
        <w:t>In May 2015, the Company entered into a collaboration and license agreement (the “Collaboration Agreement”) with Juno Therapeutics. The collaboration is focused on the research and development of engineered T cells with chimeric antigen receptors (“CARs”) and T cell receptors (“TCRs”) that have been genetically modified to recognize and kill other cells. The parties will pursue the research and development of CAR and TCR engineered T cell products utilizing the Company’s genome editing technologies with Juno Therapeutics’ CAR and TCR technologies across three research areas.</w:t>
      </w:r>
    </w:p>
    <w:p>
      <w:pPr>
        <w:spacing w:after="0" w:line="118" w:lineRule="exact"/>
        <w:rPr>
          <w:sz w:val="20"/>
          <w:szCs w:val="20"/>
          <w:color w:val="auto"/>
        </w:rPr>
      </w:pPr>
    </w:p>
    <w:p>
      <w:pPr>
        <w:ind w:firstLine="713"/>
        <w:spacing w:after="0" w:line="236" w:lineRule="auto"/>
        <w:rPr>
          <w:sz w:val="20"/>
          <w:szCs w:val="20"/>
          <w:color w:val="auto"/>
        </w:rPr>
      </w:pPr>
      <w:r>
        <w:rPr>
          <w:rFonts w:ascii="Arial" w:cs="Arial" w:eastAsia="Arial" w:hAnsi="Arial"/>
          <w:sz w:val="16"/>
          <w:szCs w:val="16"/>
          <w:color w:val="auto"/>
        </w:rPr>
        <w:t>The collaborative program of research to be undertaken by the parties pursuant to the Collaboration Agreement will be conducted in accordance with a mutually agreed upon research plan which outlines each party’s research and development responsibilities across the three research areas. The Company’s research and development responsibilities under the research plan are related to generating genome editing reagents that modify gene targets selected by Juno Therapeutics. Juno Therapeutics is responsible for evaluating and selecting for further research and development CAR and TCR engineered T cell products modified with the Company’s genome editing reagents. Except with respect to the Company’s obligations under the mutually agreed upon research plan, Juno Therapeutics has sole responsibility, at its own cost, for the worldwide research, development, manufacturing and commercialization of products within each of the three research areas for the diagnosis, treatment or prevention of any cancer in humans through the use of engineered T cells, excluding the diagnosis, treatment or prevention of medullary cystic kidney disease 1 (the “Exclusive Field”).</w:t>
      </w:r>
    </w:p>
    <w:p>
      <w:pPr>
        <w:spacing w:after="0" w:line="122" w:lineRule="exact"/>
        <w:rPr>
          <w:sz w:val="20"/>
          <w:szCs w:val="20"/>
          <w:color w:val="auto"/>
        </w:rPr>
      </w:pPr>
    </w:p>
    <w:p>
      <w:pPr>
        <w:ind w:right="180" w:firstLine="713"/>
        <w:spacing w:after="0" w:line="216" w:lineRule="auto"/>
        <w:rPr>
          <w:sz w:val="20"/>
          <w:szCs w:val="20"/>
          <w:color w:val="auto"/>
        </w:rPr>
      </w:pPr>
      <w:r>
        <w:rPr>
          <w:rFonts w:ascii="Arial" w:cs="Arial" w:eastAsia="Arial" w:hAnsi="Arial"/>
          <w:sz w:val="18"/>
          <w:szCs w:val="18"/>
          <w:color w:val="auto"/>
        </w:rPr>
        <w:t>The initial term of the research program commenced on May 26, 2015 and continues for five years ending on May 26, 2020 (the “Initial Research Program Term”). Juno Therapeutics may extend the Initial Research Program Term for up to two additional one year periods upon the payment of extension fees for each one year extension period, assuming the Company has agreed to the extension request(s) (together, the initial term and any extension period(s) are referred to as the “Research Program Term”).</w:t>
      </w:r>
    </w:p>
    <w:p>
      <w:pPr>
        <w:spacing w:after="0" w:line="12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Under the terms of the Collaboration Agreement, the Company granted to Juno Therapeutics during the Research Program Term a nonexclusive,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free, sublicensable (subject to certain conditions) license under certain of the intellectual property controlled by the Company solely for the purpose of conducting the following activities required under the specified research under the Collaboration Agreement: (i) conduct activities assigned to Juno Therapeutics under the research plan, (ii) conduct activities assigned to the Company under the research plan that the Company fails or refuses to conduct in a timely manner, (iii) use certain genome editing reagents generated under the research program to research, evaluate and conduct preclinical testing and development of certain engineered T cells and (iv) evaluate the data developed in the conduct of activities under the research plan (the “Research License”). Additionally, as it relates to two of the three research areas, the Company granted to Juno Therapeutics an exclusive, milestone and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under certain of the intellectual property controlled by the Company to research, develop, make and have made, use, offer for sale, sell, import and export selected CAR and TCR engineered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6" w:name="page157"/>
    <w:bookmarkEnd w:id="1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80"/>
        <w:spacing w:after="0" w:line="179" w:lineRule="exact"/>
        <w:rPr>
          <w:sz w:val="20"/>
          <w:szCs w:val="20"/>
          <w:color w:val="auto"/>
        </w:rPr>
      </w:pPr>
      <w:r>
        <w:rPr>
          <w:rFonts w:ascii="Arial" w:cs="Arial" w:eastAsia="Arial" w:hAnsi="Arial"/>
          <w:sz w:val="17"/>
          <w:szCs w:val="17"/>
          <w:color w:val="auto"/>
        </w:rPr>
        <w:t>T cell products in the Exclusive Field on a worldwide basis, specifically as it relates to certain targets selected by Juno Therapeutics pursuant to the research program. Furthermore, as it relates to the same two research areas, the Company granted to Juno Therapeutics a non</w:t>
      </w:r>
      <w:r>
        <w:rPr>
          <w:rFonts w:ascii="MS PGothic" w:cs="MS PGothic" w:eastAsia="MS PGothic" w:hAnsi="MS PGothic"/>
          <w:sz w:val="17"/>
          <w:szCs w:val="17"/>
          <w:color w:val="auto"/>
        </w:rPr>
        <w:t>‑</w:t>
      </w:r>
      <w:r>
        <w:rPr>
          <w:rFonts w:ascii="Arial" w:cs="Arial" w:eastAsia="Arial" w:hAnsi="Arial"/>
          <w:sz w:val="17"/>
          <w:szCs w:val="17"/>
          <w:color w:val="auto"/>
        </w:rPr>
        <w:t>exclusive, milestone and royalty</w:t>
      </w:r>
      <w:r>
        <w:rPr>
          <w:rFonts w:ascii="MS PGothic" w:cs="MS PGothic" w:eastAsia="MS PGothic" w:hAnsi="MS PGothic"/>
          <w:sz w:val="17"/>
          <w:szCs w:val="17"/>
          <w:color w:val="auto"/>
        </w:rPr>
        <w:t>‑</w:t>
      </w:r>
      <w:r>
        <w:rPr>
          <w:rFonts w:ascii="Arial" w:cs="Arial" w:eastAsia="Arial" w:hAnsi="Arial"/>
          <w:sz w:val="17"/>
          <w:szCs w:val="17"/>
          <w:color w:val="auto"/>
        </w:rPr>
        <w:t>bearing, sub licensable license under certain of the intellectual property controlled by the Company to use genome editing reagents generated under the research program that are used in the creation of certain CAR or TCR engineered T cell products on which Juno Therapeutics has filed an investigational new drug (“IND”) application in the Exclusive Field for the treatment or prevention of a cancer in humans to research, develop, make and have made, use, offer for sale, sell, import and export those CAR or TCR engineered T cell products in all fields outside of the Exclusive Field (the “Non</w:t>
      </w:r>
      <w:r>
        <w:rPr>
          <w:rFonts w:ascii="MS PGothic" w:cs="MS PGothic" w:eastAsia="MS PGothic" w:hAnsi="MS PGothic"/>
          <w:sz w:val="17"/>
          <w:szCs w:val="17"/>
          <w:color w:val="auto"/>
        </w:rPr>
        <w:t>‑</w:t>
      </w:r>
      <w:r>
        <w:rPr>
          <w:rFonts w:ascii="Arial" w:cs="Arial" w:eastAsia="Arial" w:hAnsi="Arial"/>
          <w:sz w:val="17"/>
          <w:szCs w:val="17"/>
          <w:color w:val="auto"/>
        </w:rPr>
        <w:t>Exclusive Field”) on a worldwide basis, specifically as it relates to certain targets selected by Juno Therapeutics pursuant to the research program (together, the license in the Exclusive Field and the license in the Non</w:t>
      </w:r>
      <w:r>
        <w:rPr>
          <w:rFonts w:ascii="MS PGothic" w:cs="MS PGothic" w:eastAsia="MS PGothic" w:hAnsi="MS PGothic"/>
          <w:sz w:val="17"/>
          <w:szCs w:val="17"/>
          <w:color w:val="auto"/>
        </w:rPr>
        <w:t>‑</w:t>
      </w:r>
      <w:r>
        <w:rPr>
          <w:rFonts w:ascii="Arial" w:cs="Arial" w:eastAsia="Arial" w:hAnsi="Arial"/>
          <w:sz w:val="17"/>
          <w:szCs w:val="17"/>
          <w:color w:val="auto"/>
        </w:rPr>
        <w:t>Exclusive Field are referred to as the “Development and Commercialization License” for each particular research area). Lastly, as it relates to the third research area, the Company granted to Juno Therapeutics a milestone and royalty</w:t>
      </w:r>
      <w:r>
        <w:rPr>
          <w:rFonts w:ascii="MS PGothic" w:cs="MS PGothic" w:eastAsia="MS PGothic" w:hAnsi="MS PGothic"/>
          <w:sz w:val="17"/>
          <w:szCs w:val="17"/>
          <w:color w:val="auto"/>
        </w:rPr>
        <w:t>‑</w:t>
      </w:r>
      <w:r>
        <w:rPr>
          <w:rFonts w:ascii="Arial" w:cs="Arial" w:eastAsia="Arial" w:hAnsi="Arial"/>
          <w:sz w:val="17"/>
          <w:szCs w:val="17"/>
          <w:color w:val="auto"/>
        </w:rPr>
        <w:t>bearing, sublicensable license under certain of the intellectual property controlled by the Company to use the genome editing reagents generated under the research program that are associated with certain CAR or TCR engineered T cell products to research, develop, make and have made, use, offer for sale, sell, import or export those CAR or TCR engineered T cell products in the Exclusive Field on a worldwide basis, specifically as it relates to certain products selected by Juno Therapeutics pursuant to the research program. The license associated with the third research area is exclusive as it relates to CAR or TCR engineered T cell products directed to certain targets as selected by Juno Therapeutics, but is otherwise non</w:t>
      </w:r>
      <w:r>
        <w:rPr>
          <w:rFonts w:ascii="MS PGothic" w:cs="MS PGothic" w:eastAsia="MS PGothic" w:hAnsi="MS PGothic"/>
          <w:sz w:val="17"/>
          <w:szCs w:val="17"/>
          <w:color w:val="auto"/>
        </w:rPr>
        <w:t>‑</w:t>
      </w:r>
      <w:r>
        <w:rPr>
          <w:rFonts w:ascii="Arial" w:cs="Arial" w:eastAsia="Arial" w:hAnsi="Arial"/>
          <w:sz w:val="17"/>
          <w:szCs w:val="17"/>
          <w:color w:val="auto"/>
        </w:rPr>
        <w:t>exclusive (referred to as the “Development and Commercialization License” for the third research area).</w:t>
      </w:r>
    </w:p>
    <w:p>
      <w:pPr>
        <w:spacing w:after="0" w:line="122" w:lineRule="exact"/>
        <w:rPr>
          <w:sz w:val="20"/>
          <w:szCs w:val="20"/>
          <w:color w:val="auto"/>
        </w:rPr>
      </w:pPr>
    </w:p>
    <w:p>
      <w:pPr>
        <w:ind w:right="40" w:firstLine="713"/>
        <w:spacing w:after="0" w:line="223" w:lineRule="auto"/>
        <w:rPr>
          <w:sz w:val="20"/>
          <w:szCs w:val="20"/>
          <w:color w:val="auto"/>
        </w:rPr>
      </w:pPr>
      <w:r>
        <w:rPr>
          <w:rFonts w:ascii="Arial" w:cs="Arial" w:eastAsia="Arial" w:hAnsi="Arial"/>
          <w:sz w:val="17"/>
          <w:szCs w:val="17"/>
          <w:color w:val="auto"/>
        </w:rPr>
        <w:t>The Collaboration Agreement will be managed on an overall basis by a project leader from each of the Company and Juno Therapeutics. The project leaders will serve as the contact point between the parties with respect to the research program and will be primarily responsible for facilitating the flow of information, interaction, and collaboration between the parties. In addition, the activities under the Collaboration Agreement during the Research Program Term will be governed by a joint research committee (“JRC”) formed by an equal number of representatives from the Company and Juno Therapeutics. The JRC will oversee, review and recommend direction of the research program. Among other responsibilities, the JRC will monitor and report research progress and ensure open and frequent exchange between the parties regarding research program activities.</w:t>
      </w:r>
    </w:p>
    <w:p>
      <w:pPr>
        <w:spacing w:after="0" w:line="127"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Under the terms of the Collaboration Agreement, the Company received a $25.0 million up</w:t>
      </w:r>
      <w:r>
        <w:rPr>
          <w:rFonts w:ascii="MS PGothic" w:cs="MS PGothic" w:eastAsia="MS PGothic" w:hAnsi="MS PGothic"/>
          <w:sz w:val="16"/>
          <w:szCs w:val="16"/>
          <w:color w:val="auto"/>
        </w:rPr>
        <w:t>‑</w:t>
      </w:r>
      <w:r>
        <w:rPr>
          <w:rFonts w:ascii="Arial" w:cs="Arial" w:eastAsia="Arial" w:hAnsi="Arial"/>
          <w:sz w:val="16"/>
          <w:szCs w:val="16"/>
          <w:color w:val="auto"/>
        </w:rPr>
        <w:t>front, non</w:t>
      </w:r>
      <w:r>
        <w:rPr>
          <w:rFonts w:ascii="MS PGothic" w:cs="MS PGothic" w:eastAsia="MS PGothic" w:hAnsi="MS PGothic"/>
          <w:sz w:val="16"/>
          <w:szCs w:val="16"/>
          <w:color w:val="auto"/>
        </w:rPr>
        <w:t>‑</w:t>
      </w:r>
      <w:r>
        <w:rPr>
          <w:rFonts w:ascii="Arial" w:cs="Arial" w:eastAsia="Arial" w:hAnsi="Arial"/>
          <w:sz w:val="16"/>
          <w:szCs w:val="16"/>
          <w:color w:val="auto"/>
        </w:rPr>
        <w:t>refundable,</w:t>
      </w:r>
    </w:p>
    <w:p>
      <w:pPr>
        <w:spacing w:after="0" w:line="183"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creditable cash payment. In addition, Juno Therapeutics is obligated to pay to the Company an aggregate of up to</w:t>
      </w:r>
    </w:p>
    <w:p>
      <w:pPr>
        <w:spacing w:after="0" w:line="229" w:lineRule="auto"/>
        <w:rPr>
          <w:sz w:val="20"/>
          <w:szCs w:val="20"/>
          <w:color w:val="auto"/>
        </w:rPr>
      </w:pPr>
      <w:r>
        <w:rPr>
          <w:rFonts w:ascii="Arial" w:cs="Arial" w:eastAsia="Arial" w:hAnsi="Arial"/>
          <w:sz w:val="16"/>
          <w:szCs w:val="16"/>
          <w:color w:val="auto"/>
        </w:rPr>
        <w:t>$22.0 million in research and development funding over the Initial Research Program Term across the three research areas</w:t>
      </w:r>
    </w:p>
    <w:p>
      <w:pPr>
        <w:spacing w:after="0" w:line="229" w:lineRule="auto"/>
        <w:rPr>
          <w:sz w:val="20"/>
          <w:szCs w:val="20"/>
          <w:color w:val="auto"/>
        </w:rPr>
      </w:pPr>
      <w:r>
        <w:rPr>
          <w:rFonts w:ascii="Arial" w:cs="Arial" w:eastAsia="Arial" w:hAnsi="Arial"/>
          <w:sz w:val="16"/>
          <w:szCs w:val="16"/>
          <w:color w:val="auto"/>
        </w:rPr>
        <w:t>consisting primarily of funding for up to a specified maximum number of full time equivalents personnel each year over the</w:t>
      </w:r>
    </w:p>
    <w:p>
      <w:pPr>
        <w:spacing w:after="0" w:line="229" w:lineRule="auto"/>
        <w:rPr>
          <w:sz w:val="20"/>
          <w:szCs w:val="20"/>
          <w:color w:val="auto"/>
        </w:rPr>
      </w:pPr>
      <w:r>
        <w:rPr>
          <w:rFonts w:ascii="Arial" w:cs="Arial" w:eastAsia="Arial" w:hAnsi="Arial"/>
          <w:sz w:val="16"/>
          <w:szCs w:val="16"/>
          <w:color w:val="auto"/>
        </w:rPr>
        <w:t>Initial Research Program Term across three research areas. Under the terms of the Collaboration Agreement, there is no</w:t>
      </w:r>
    </w:p>
    <w:p>
      <w:pPr>
        <w:spacing w:after="0" w:line="230" w:lineRule="auto"/>
        <w:rPr>
          <w:sz w:val="20"/>
          <w:szCs w:val="20"/>
          <w:color w:val="auto"/>
        </w:rPr>
      </w:pPr>
      <w:r>
        <w:rPr>
          <w:rFonts w:ascii="Arial" w:cs="Arial" w:eastAsia="Arial" w:hAnsi="Arial"/>
          <w:sz w:val="16"/>
          <w:szCs w:val="16"/>
          <w:color w:val="auto"/>
        </w:rPr>
        <w:t>incremental compensation due to the Company with respect to the Development and Commercialization License granted to</w:t>
      </w:r>
    </w:p>
    <w:p>
      <w:pPr>
        <w:spacing w:after="0" w:line="229" w:lineRule="auto"/>
        <w:rPr>
          <w:sz w:val="20"/>
          <w:szCs w:val="20"/>
          <w:color w:val="auto"/>
        </w:rPr>
      </w:pPr>
      <w:r>
        <w:rPr>
          <w:rFonts w:ascii="Arial" w:cs="Arial" w:eastAsia="Arial" w:hAnsi="Arial"/>
          <w:sz w:val="16"/>
          <w:szCs w:val="16"/>
          <w:color w:val="auto"/>
        </w:rPr>
        <w:t>Juno Therapeutics associated with the first target or product, as applicable, designated by Juno Therapeutics within each of</w:t>
      </w:r>
    </w:p>
    <w:p>
      <w:pPr>
        <w:spacing w:after="0" w:line="229" w:lineRule="auto"/>
        <w:rPr>
          <w:sz w:val="20"/>
          <w:szCs w:val="20"/>
          <w:color w:val="auto"/>
        </w:rPr>
      </w:pPr>
      <w:r>
        <w:rPr>
          <w:rFonts w:ascii="Arial" w:cs="Arial" w:eastAsia="Arial" w:hAnsi="Arial"/>
          <w:sz w:val="16"/>
          <w:szCs w:val="16"/>
          <w:color w:val="auto"/>
        </w:rPr>
        <w:t>the three research areas. However, for two of the three research areas, Juno Therapeutics has the option to purchase up to</w:t>
      </w:r>
    </w:p>
    <w:p>
      <w:pPr>
        <w:spacing w:after="0" w:line="229" w:lineRule="auto"/>
        <w:rPr>
          <w:sz w:val="20"/>
          <w:szCs w:val="20"/>
          <w:color w:val="auto"/>
        </w:rPr>
      </w:pPr>
      <w:r>
        <w:rPr>
          <w:rFonts w:ascii="Arial" w:cs="Arial" w:eastAsia="Arial" w:hAnsi="Arial"/>
          <w:sz w:val="16"/>
          <w:szCs w:val="16"/>
          <w:color w:val="auto"/>
        </w:rPr>
        <w:t>three additional Development and Commercialization Licenses associated with other gene targets for an additional fee of</w:t>
      </w:r>
    </w:p>
    <w:p>
      <w:pPr>
        <w:spacing w:after="0" w:line="229" w:lineRule="auto"/>
        <w:rPr>
          <w:sz w:val="20"/>
          <w:szCs w:val="20"/>
          <w:color w:val="auto"/>
        </w:rPr>
      </w:pPr>
      <w:r>
        <w:rPr>
          <w:rFonts w:ascii="Arial" w:cs="Arial" w:eastAsia="Arial" w:hAnsi="Arial"/>
          <w:sz w:val="16"/>
          <w:szCs w:val="16"/>
          <w:color w:val="auto"/>
        </w:rPr>
        <w:t>approximately $2.5 million per target. In addition, Juno Therapeutics would be required to make certain milestone payments</w:t>
      </w:r>
    </w:p>
    <w:p>
      <w:pPr>
        <w:spacing w:after="0" w:line="229" w:lineRule="auto"/>
        <w:rPr>
          <w:sz w:val="20"/>
          <w:szCs w:val="20"/>
          <w:color w:val="auto"/>
        </w:rPr>
      </w:pPr>
      <w:r>
        <w:rPr>
          <w:rFonts w:ascii="Arial" w:cs="Arial" w:eastAsia="Arial" w:hAnsi="Arial"/>
          <w:sz w:val="16"/>
          <w:szCs w:val="16"/>
          <w:color w:val="auto"/>
        </w:rPr>
        <w:t>to the Company upon the achievement of specified development, regulatory and commercial events. More specifically, for</w:t>
      </w:r>
    </w:p>
    <w:p>
      <w:pPr>
        <w:spacing w:after="0" w:line="229" w:lineRule="auto"/>
        <w:rPr>
          <w:sz w:val="20"/>
          <w:szCs w:val="20"/>
          <w:color w:val="auto"/>
        </w:rPr>
      </w:pPr>
      <w:r>
        <w:rPr>
          <w:rFonts w:ascii="Arial" w:cs="Arial" w:eastAsia="Arial" w:hAnsi="Arial"/>
          <w:sz w:val="16"/>
          <w:szCs w:val="16"/>
          <w:color w:val="auto"/>
        </w:rPr>
        <w:t>the first product to achieve the associated event in each of the three research areas, the Company is eligible to receive up to a</w:t>
      </w:r>
    </w:p>
    <w:p>
      <w:pPr>
        <w:spacing w:after="0" w:line="229" w:lineRule="auto"/>
        <w:rPr>
          <w:sz w:val="20"/>
          <w:szCs w:val="20"/>
          <w:color w:val="auto"/>
        </w:rPr>
      </w:pPr>
      <w:r>
        <w:rPr>
          <w:rFonts w:ascii="Arial" w:cs="Arial" w:eastAsia="Arial" w:hAnsi="Arial"/>
          <w:sz w:val="16"/>
          <w:szCs w:val="16"/>
          <w:color w:val="auto"/>
        </w:rPr>
        <w:t>$77.5 million in development milestone payments and up to $80.0 million in regulatory milestone payments. In addition, the</w:t>
      </w:r>
    </w:p>
    <w:p>
      <w:pPr>
        <w:spacing w:after="0" w:line="229" w:lineRule="auto"/>
        <w:rPr>
          <w:sz w:val="20"/>
          <w:szCs w:val="20"/>
          <w:color w:val="auto"/>
        </w:rPr>
      </w:pPr>
      <w:r>
        <w:rPr>
          <w:rFonts w:ascii="Arial" w:cs="Arial" w:eastAsia="Arial" w:hAnsi="Arial"/>
          <w:sz w:val="16"/>
          <w:szCs w:val="16"/>
          <w:color w:val="auto"/>
        </w:rPr>
        <w:t>Company is eligible to receive additional development and regulatory milestone payments for subsequent products developed</w:t>
      </w:r>
    </w:p>
    <w:p>
      <w:pPr>
        <w:spacing w:after="0" w:line="229" w:lineRule="auto"/>
        <w:rPr>
          <w:sz w:val="20"/>
          <w:szCs w:val="20"/>
          <w:color w:val="auto"/>
        </w:rPr>
      </w:pPr>
      <w:r>
        <w:rPr>
          <w:rFonts w:ascii="Arial" w:cs="Arial" w:eastAsia="Arial" w:hAnsi="Arial"/>
          <w:sz w:val="16"/>
          <w:szCs w:val="16"/>
          <w:color w:val="auto"/>
        </w:rPr>
        <w:t>within each of the three research areas. Moreover, the Company is eligible for up to $75.0 million in commercial milestone</w:t>
      </w:r>
    </w:p>
    <w:p>
      <w:pPr>
        <w:spacing w:after="0" w:line="229" w:lineRule="auto"/>
        <w:rPr>
          <w:sz w:val="20"/>
          <w:szCs w:val="20"/>
          <w:color w:val="auto"/>
        </w:rPr>
      </w:pPr>
      <w:r>
        <w:rPr>
          <w:rFonts w:ascii="Arial" w:cs="Arial" w:eastAsia="Arial" w:hAnsi="Arial"/>
          <w:sz w:val="16"/>
          <w:szCs w:val="16"/>
          <w:color w:val="auto"/>
        </w:rPr>
        <w:t>payments associated with aggregate sales of all products within each of the three research areas. Development milestone</w:t>
      </w:r>
    </w:p>
    <w:p>
      <w:pPr>
        <w:spacing w:after="0" w:line="229" w:lineRule="auto"/>
        <w:rPr>
          <w:sz w:val="20"/>
          <w:szCs w:val="20"/>
          <w:color w:val="auto"/>
        </w:rPr>
      </w:pPr>
      <w:r>
        <w:rPr>
          <w:rFonts w:ascii="Arial" w:cs="Arial" w:eastAsia="Arial" w:hAnsi="Arial"/>
          <w:sz w:val="16"/>
          <w:szCs w:val="16"/>
          <w:color w:val="auto"/>
        </w:rPr>
        <w:t>payments are triggered upon the achievement of certain specified development criteria or upon initiation of a defined phase</w:t>
      </w:r>
    </w:p>
    <w:p>
      <w:pPr>
        <w:spacing w:after="0" w:line="229" w:lineRule="auto"/>
        <w:rPr>
          <w:sz w:val="20"/>
          <w:szCs w:val="20"/>
          <w:color w:val="auto"/>
        </w:rPr>
      </w:pPr>
      <w:r>
        <w:rPr>
          <w:rFonts w:ascii="Arial" w:cs="Arial" w:eastAsia="Arial" w:hAnsi="Arial"/>
          <w:sz w:val="16"/>
          <w:szCs w:val="16"/>
          <w:color w:val="auto"/>
        </w:rPr>
        <w:t>of clinical research for a product candidate. Regulatory milestone payments are triggered upon approval to market a product</w:t>
      </w:r>
    </w:p>
    <w:p>
      <w:pPr>
        <w:spacing w:after="0" w:line="215" w:lineRule="auto"/>
        <w:rPr>
          <w:sz w:val="20"/>
          <w:szCs w:val="20"/>
          <w:color w:val="auto"/>
        </w:rPr>
      </w:pPr>
      <w:r>
        <w:rPr>
          <w:rFonts w:ascii="Arial" w:cs="Arial" w:eastAsia="Arial" w:hAnsi="Arial"/>
          <w:sz w:val="17"/>
          <w:szCs w:val="17"/>
          <w:color w:val="auto"/>
        </w:rPr>
        <w:t>candidate by the United States Food and Drug Administration (“FDA”) or other global regulatory authorities. Commercial</w:t>
      </w:r>
    </w:p>
    <w:p>
      <w:pPr>
        <w:spacing w:after="0" w:line="229" w:lineRule="auto"/>
        <w:rPr>
          <w:sz w:val="20"/>
          <w:szCs w:val="20"/>
          <w:color w:val="auto"/>
        </w:rPr>
      </w:pPr>
      <w:r>
        <w:rPr>
          <w:rFonts w:ascii="Arial" w:cs="Arial" w:eastAsia="Arial" w:hAnsi="Arial"/>
          <w:sz w:val="16"/>
          <w:szCs w:val="16"/>
          <w:color w:val="auto"/>
        </w:rPr>
        <w:t>milestone payments are triggered when an approved pharmaceutical product reaches certain defined levels of net sales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licensee.</w:t>
      </w:r>
    </w:p>
    <w:p>
      <w:pPr>
        <w:spacing w:after="0" w:line="128" w:lineRule="exact"/>
        <w:rPr>
          <w:sz w:val="20"/>
          <w:szCs w:val="20"/>
          <w:color w:val="auto"/>
        </w:rPr>
      </w:pPr>
    </w:p>
    <w:p>
      <w:pPr>
        <w:ind w:right="160" w:firstLine="713"/>
        <w:spacing w:after="0" w:line="259" w:lineRule="auto"/>
        <w:rPr>
          <w:sz w:val="20"/>
          <w:szCs w:val="20"/>
          <w:color w:val="auto"/>
        </w:rPr>
      </w:pPr>
      <w:r>
        <w:rPr>
          <w:rFonts w:ascii="Arial" w:cs="Arial" w:eastAsia="Arial" w:hAnsi="Arial"/>
          <w:sz w:val="16"/>
          <w:szCs w:val="16"/>
          <w:color w:val="auto"/>
        </w:rPr>
        <w:t>In addition, to the extent any of the product candidates covered by the licenses conveyed to Juno Therapeutics are commercialized, the Company would be entitled to receive tiered royalty payments of low double digits based on a percentage of net sales. Royalty payments are subject to certain reductions, including for any royalty payments required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7" w:name="page158"/>
    <w:bookmarkEnd w:id="1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180" w:lineRule="exact"/>
        <w:rPr>
          <w:sz w:val="20"/>
          <w:szCs w:val="20"/>
          <w:color w:val="auto"/>
        </w:rPr>
      </w:pPr>
      <w:r>
        <w:rPr>
          <w:rFonts w:ascii="Arial" w:cs="Arial" w:eastAsia="Arial" w:hAnsi="Arial"/>
          <w:sz w:val="16"/>
          <w:szCs w:val="16"/>
          <w:color w:val="auto"/>
        </w:rPr>
        <w:t>to be made by Juno Therapeutics related to a third</w:t>
      </w:r>
      <w:r>
        <w:rPr>
          <w:rFonts w:ascii="MS PGothic" w:cs="MS PGothic" w:eastAsia="MS PGothic" w:hAnsi="MS PGothic"/>
          <w:sz w:val="16"/>
          <w:szCs w:val="16"/>
          <w:color w:val="auto"/>
        </w:rPr>
        <w:t>‑</w:t>
      </w:r>
      <w:r>
        <w:rPr>
          <w:rFonts w:ascii="Arial" w:cs="Arial" w:eastAsia="Arial" w:hAnsi="Arial"/>
          <w:sz w:val="16"/>
          <w:szCs w:val="16"/>
          <w:color w:val="auto"/>
        </w:rPr>
        <w:t>party’s intellectual property rights, subject to an aggregate minimum floor. Royalties are due on a licensed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licensed 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from the date of the first commercial sale of each product in a country until the later of: (i) the tenth anniversary of the first commercial sale of such licensed product in such country and (ii) the expiration date in such country of the last to expire valid claim within the licensed intellectual property covering the manufacture, use or sale of such licensed product in such country. The Company achieved $2.5 million development milestones under the Collaboration Agreement resulting from technical progress in a research program in each of May 2016 (the “First Milestone”) and July 2017 (the “Second Milestone”). Due to the uncertainty of pharmaceutical development and the high historical failure rates generally associated with drug development, no additional milestone or royalty payments may ever be received from Juno Therapeutics. As of December 31, 2017, the next potential milestone payment that the Company may be entitled to receive under the Collaboration Agreement is a substantive milestone payment of $2.5 million for the achievement of certain development criteria. The Company would recognize the milestone payment as revenue upon achievement. There are no cancellation, termination or refund provisions in the Collaboration Agreement that contain material financial consequences to the Company.</w:t>
      </w:r>
    </w:p>
    <w:p>
      <w:pPr>
        <w:spacing w:after="0" w:line="1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earlier terminated, the Collaboration Agreement will continue in full force and effect, on a</w:t>
      </w:r>
    </w:p>
    <w:p>
      <w:pPr>
        <w:spacing w:after="0" w:line="176" w:lineRule="exact"/>
        <w:rPr>
          <w:sz w:val="20"/>
          <w:szCs w:val="20"/>
          <w:color w:val="auto"/>
        </w:rPr>
      </w:pPr>
      <w:r>
        <w:rPr>
          <w:rFonts w:ascii="Arial" w:cs="Arial" w:eastAsia="Arial" w:hAnsi="Arial"/>
          <w:sz w:val="18"/>
          <w:szCs w:val="18"/>
          <w:color w:val="auto"/>
        </w:rPr>
        <w:t>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until the date no further payments are due to the Company from</w:t>
      </w:r>
    </w:p>
    <w:p>
      <w:pPr>
        <w:spacing w:after="0" w:line="216" w:lineRule="auto"/>
        <w:rPr>
          <w:sz w:val="20"/>
          <w:szCs w:val="20"/>
          <w:color w:val="auto"/>
        </w:rPr>
      </w:pPr>
      <w:r>
        <w:rPr>
          <w:rFonts w:ascii="Arial" w:cs="Arial" w:eastAsia="Arial" w:hAnsi="Arial"/>
          <w:sz w:val="17"/>
          <w:szCs w:val="17"/>
          <w:color w:val="auto"/>
        </w:rPr>
        <w:t>Juno Therapeutics. Either party may terminate the Collaboration Agreement if the other party has materially breached or</w:t>
      </w:r>
    </w:p>
    <w:p>
      <w:pPr>
        <w:spacing w:after="0" w:line="229" w:lineRule="auto"/>
        <w:rPr>
          <w:sz w:val="20"/>
          <w:szCs w:val="20"/>
          <w:color w:val="auto"/>
        </w:rPr>
      </w:pPr>
      <w:r>
        <w:rPr>
          <w:rFonts w:ascii="Arial" w:cs="Arial" w:eastAsia="Arial" w:hAnsi="Arial"/>
          <w:sz w:val="16"/>
          <w:szCs w:val="16"/>
          <w:color w:val="auto"/>
        </w:rPr>
        <w:t>defaulted in the performance of any of its material obligations and such breach or default continues after the specified cure</w:t>
      </w:r>
    </w:p>
    <w:p>
      <w:pPr>
        <w:spacing w:after="0" w:line="229" w:lineRule="auto"/>
        <w:rPr>
          <w:sz w:val="20"/>
          <w:szCs w:val="20"/>
          <w:color w:val="auto"/>
        </w:rPr>
      </w:pPr>
      <w:r>
        <w:rPr>
          <w:rFonts w:ascii="Arial" w:cs="Arial" w:eastAsia="Arial" w:hAnsi="Arial"/>
          <w:sz w:val="16"/>
          <w:szCs w:val="16"/>
          <w:color w:val="auto"/>
        </w:rPr>
        <w:t>period. Either party may terminate the Collaboration Agreement in the event of the commencement of any proceeding in or</w:t>
      </w:r>
    </w:p>
    <w:p>
      <w:pPr>
        <w:spacing w:after="0" w:line="229" w:lineRule="auto"/>
        <w:rPr>
          <w:sz w:val="20"/>
          <w:szCs w:val="20"/>
          <w:color w:val="auto"/>
        </w:rPr>
      </w:pPr>
      <w:r>
        <w:rPr>
          <w:rFonts w:ascii="Arial" w:cs="Arial" w:eastAsia="Arial" w:hAnsi="Arial"/>
          <w:sz w:val="16"/>
          <w:szCs w:val="16"/>
          <w:color w:val="auto"/>
        </w:rPr>
        <w:t>for bankruptcy, insolvency, dissolution or winding up by or against the other party that is not dismissed or otherwise disposed</w:t>
      </w:r>
    </w:p>
    <w:p>
      <w:pPr>
        <w:spacing w:after="0" w:line="229" w:lineRule="auto"/>
        <w:rPr>
          <w:sz w:val="20"/>
          <w:szCs w:val="20"/>
          <w:color w:val="auto"/>
        </w:rPr>
      </w:pPr>
      <w:r>
        <w:rPr>
          <w:rFonts w:ascii="Arial" w:cs="Arial" w:eastAsia="Arial" w:hAnsi="Arial"/>
          <w:sz w:val="16"/>
          <w:szCs w:val="16"/>
          <w:color w:val="auto"/>
        </w:rPr>
        <w:t>of within a specified time period. Juno Therapeutics may terminate the Collaboration Agreement for convenience upon not</w:t>
      </w:r>
    </w:p>
    <w:p>
      <w:pPr>
        <w:spacing w:after="0" w:line="229" w:lineRule="auto"/>
        <w:rPr>
          <w:sz w:val="20"/>
          <w:szCs w:val="20"/>
          <w:color w:val="auto"/>
        </w:rPr>
      </w:pPr>
      <w:r>
        <w:rPr>
          <w:rFonts w:ascii="Arial" w:cs="Arial" w:eastAsia="Arial" w:hAnsi="Arial"/>
          <w:sz w:val="16"/>
          <w:szCs w:val="16"/>
          <w:color w:val="auto"/>
        </w:rPr>
        <w:t>less than six months prior written notice to the Company. The Company may terminate the Collaboration Agreement in the</w:t>
      </w:r>
    </w:p>
    <w:p>
      <w:pPr>
        <w:spacing w:after="0" w:line="215" w:lineRule="auto"/>
        <w:rPr>
          <w:sz w:val="20"/>
          <w:szCs w:val="20"/>
          <w:color w:val="auto"/>
        </w:rPr>
      </w:pPr>
      <w:r>
        <w:rPr>
          <w:rFonts w:ascii="Arial" w:cs="Arial" w:eastAsia="Arial" w:hAnsi="Arial"/>
          <w:sz w:val="17"/>
          <w:szCs w:val="17"/>
          <w:color w:val="auto"/>
        </w:rPr>
        <w:t>event that Juno Therapeutics brings, assumes, or participates in, or knowingly, willfully or recklessly assists in bringing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dispute or challenge against the Company related to its intellectual property.</w:t>
      </w:r>
    </w:p>
    <w:p>
      <w:pPr>
        <w:spacing w:after="0" w:line="128" w:lineRule="exact"/>
        <w:rPr>
          <w:sz w:val="20"/>
          <w:szCs w:val="20"/>
          <w:color w:val="auto"/>
        </w:rPr>
      </w:pPr>
    </w:p>
    <w:p>
      <w:pPr>
        <w:ind w:right="100" w:firstLine="713"/>
        <w:spacing w:after="0" w:line="236" w:lineRule="auto"/>
        <w:rPr>
          <w:sz w:val="20"/>
          <w:szCs w:val="20"/>
          <w:color w:val="auto"/>
        </w:rPr>
      </w:pPr>
      <w:r>
        <w:rPr>
          <w:rFonts w:ascii="Arial" w:cs="Arial" w:eastAsia="Arial" w:hAnsi="Arial"/>
          <w:sz w:val="16"/>
          <w:szCs w:val="16"/>
          <w:color w:val="auto"/>
        </w:rPr>
        <w:t>Termination of the Collaboration Agreement for any reason does not release either party from any liability which, at the time of such termination, has already accrued to the other party or which is attributable to a period prior to such termination nor preclude either party from pursuing any rights and remedies it may have under the agreement or at law or in equity with respect to any breach of the Collaboration Agreement. If Juno Therapeutics terminates the Collaboration Agreement as a result of the Company’s uncured material breach or default, then: (i) the licenses and rights conveyed to Juno Therapeutics will continue as set forth in the agreement, (ii) Juno Therapeutics’ obligations related to milestones and royalties will continue as set forth in the agreement and (iii) Juno Therapeutics’ rights to prosecute, maintain and enforce certain intellectual property rights will continue as set forth in the agreement. If Juno Therapeutics terminates the Collaboration Agreement for convenience or if the Company terminates the Collaboration Agreement as a result of Juno Therapeutics’ uncured material breach or default, then the licenses conveyed to Juno Therapeutics will terminate.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Analysis</w:t>
      </w:r>
    </w:p>
    <w:p>
      <w:pPr>
        <w:spacing w:after="0" w:line="144" w:lineRule="exact"/>
        <w:rPr>
          <w:sz w:val="20"/>
          <w:szCs w:val="20"/>
          <w:color w:val="auto"/>
        </w:rPr>
      </w:pPr>
    </w:p>
    <w:p>
      <w:pPr>
        <w:ind w:right="560" w:firstLine="648"/>
        <w:spacing w:after="0" w:line="239" w:lineRule="auto"/>
        <w:rPr>
          <w:sz w:val="20"/>
          <w:szCs w:val="20"/>
          <w:color w:val="auto"/>
        </w:rPr>
      </w:pPr>
      <w:r>
        <w:rPr>
          <w:rFonts w:ascii="Arial" w:cs="Arial" w:eastAsia="Arial" w:hAnsi="Arial"/>
          <w:sz w:val="16"/>
          <w:szCs w:val="16"/>
          <w:color w:val="auto"/>
        </w:rPr>
        <w:t xml:space="preserve">The Company evaluated the Collaboration Agreement in accordance with the provisions of ASC, Topic 605-25, </w:t>
      </w:r>
      <w:r>
        <w:rPr>
          <w:rFonts w:ascii="Arial" w:cs="Arial" w:eastAsia="Arial" w:hAnsi="Arial"/>
          <w:sz w:val="16"/>
          <w:szCs w:val="16"/>
          <w:i w:val="1"/>
          <w:iCs w:val="1"/>
          <w:color w:val="auto"/>
        </w:rPr>
        <w:t>Revenue Recognition—Multiple Element Arrangements</w:t>
      </w:r>
      <w:r>
        <w:rPr>
          <w:rFonts w:ascii="Arial" w:cs="Arial" w:eastAsia="Arial" w:hAnsi="Arial"/>
          <w:sz w:val="16"/>
          <w:szCs w:val="16"/>
          <w:color w:val="auto"/>
        </w:rPr>
        <w:t xml:space="preserve"> (“ASC 605-25”). The Company’s arrangement with</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Juno Therapeutics contains the following deliverables: (i) research and development services during the Initial Research Program Term (the “R&amp;D Services Deliverable”), (ii) the Research License, (iii) the Development and Commercialization Licenses related to each of the three research areas (each, the “Development and Commercialization License Deliverable” for the respective research area), (iv) significant and incremental discount related to the option to purchase up to three additional Development and Commercialization Licenses for two of the research areas (each, the “Discount Deliverable” for the associated option) and (v) JRC services during the Initial Research Program Term (the “JRC Deliverable”).</w:t>
      </w:r>
    </w:p>
    <w:p>
      <w:pPr>
        <w:spacing w:after="0" w:line="123" w:lineRule="exact"/>
        <w:rPr>
          <w:sz w:val="20"/>
          <w:szCs w:val="20"/>
          <w:color w:val="auto"/>
        </w:rPr>
      </w:pPr>
    </w:p>
    <w:p>
      <w:pPr>
        <w:ind w:right="100" w:firstLine="648"/>
        <w:spacing w:after="0" w:line="244" w:lineRule="auto"/>
        <w:rPr>
          <w:sz w:val="20"/>
          <w:szCs w:val="20"/>
          <w:color w:val="auto"/>
        </w:rPr>
      </w:pPr>
      <w:r>
        <w:rPr>
          <w:rFonts w:ascii="Arial" w:cs="Arial" w:eastAsia="Arial" w:hAnsi="Arial"/>
          <w:sz w:val="16"/>
          <w:szCs w:val="16"/>
          <w:color w:val="auto"/>
        </w:rPr>
        <w:t>The Company has determined that the options to purchase additional development and commercialization licenses within two of the research program areas related to other gene targets are substantive options. Juno Therapeutics is not contractually obligated to exercise the options. Moreover, as a result of the uncertain outcome of the discovery, research and development activities, there is significant uncertainty as to whether Juno Therapeutics will decide to exercise its option for any additional gene targets within either of the two applicable research areas. Consequently, the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58" w:name="page159"/>
    <w:bookmarkEnd w:id="1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Company is at risk with regard to whether Juno Therapeutics will exercise the options. However, the Company has determined that the options to purchase additional development and commercialization licenses with respect to other gene targets within the two applicable research program areas are priced at a significant and incremental discount. As a result, the Company has concluded that the discounts to purchase development and commercialization licenses for up to three additional gene targets within both of the research areas represent separate elements in the arrangement at inception. Accordingly, the deliverables identified at inception of the arrangement include six separate deliverables related to the significant and incremental discount inherent in the pricing of the option to purchase up to three additional development and commercialization licenses for two of the research areas included within the research program.</w:t>
      </w:r>
    </w:p>
    <w:p>
      <w:pPr>
        <w:spacing w:after="0" w:line="127"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The Company has concluded that the Research License deliverable does not qualify for separation from the R&amp;D Services Deliverable. As it relates to the assessment of standalone value, the Company has determined that Juno Therapeutics cannot fully exploit the value of the Research License deliverable without receipt of the R&amp;D Services Deliverable. This is primarily due to the fact that Juno Therapeutics must rely upon the Company to provide the research and development services included in the research plan because the services incorporate technology that is proprietary to the Company. The services to be provided by the Company involve unique skills and specialized expertise, particularly as it relates to genome editing technology that is not available in the marketplace. Accordingly, Juno Therapeutics must obtain the research and development services from the Company which significantly limits the ability for Juno Therapeutics to utilize the Research License for its intended purpose on a standalone basis. Therefore, the Research License deliverable does not have standalone value from the R&amp;D Services Deliverable. As a result, the Research License deliverable and the R&amp;D Services Deliverable have been combined as a single unit of accounting (the “R&amp;D Services Unit of Accounting”). Conversely, the Company has concluded that each of the other deliverables identified at the inception of the arrangement has standalone value from each of the other elements based on their nature. Factors considered in this determination included, among other things, the capabilities of the collaboration partner, whether any other vendor sells the item separately, whether the value of the deliverable is dependent on the other elements in the arrangement, whether there are other vendors that can provide the items and if the customer could use the item for its intended purpose without the other deliverables in the arrangement. Additionally, the Collaboration Agreement does not include a general right of return. Accordingly, each of the other deliverables included in the Juno Therapeutics arrangement qualifies as a separate unit of accounting.</w:t>
      </w:r>
    </w:p>
    <w:p>
      <w:pPr>
        <w:spacing w:after="0" w:line="134"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Therefore, the Company has identified eleven units of accounting in connection with its obligations under the collaboration arrangement with Juno Therapeutics as follows: (i) the R&amp;D Services Unit of Accounting, (ii) three units of accounting related to the Development and Commercialization Licenses for each of the three research areas, (iii) six units of accounting related to each of the Discount Deliverables, and (iv) the JRC Deliverable.</w:t>
      </w:r>
    </w:p>
    <w:p>
      <w:pPr>
        <w:spacing w:after="0" w:line="122"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color w:val="auto"/>
        </w:rPr>
        <w:t>The Company has determined that neither vendor specific objective evidence of selling price nor third-party evidence of selling price is available for any of the units of accounting identified at inception of the arrangement with Juno Therapeutics. Accordingly, the selling price of each unit of accounting was determined based on the Company’s BESP. The Company developed the BESP for all of the units of accounting included in the Collaboration Agreement with the objective of determining the price at which it would sell such an item if it were to be sold regularly on a standalone basis. The Company developed the BESP for the R&amp;D Services Unit of Accounting and the JRC Deliverable primarily based on the nature of the services to be performed and estimates of the associated effort and cost of the services, adjusted for a reasonable profit margin that would be expected to be realized under similar contracts. The Company developed the BESP for each of the Development and Commercialization License units of accounting based on the probability-weighted present value of expected future cash flows associated with each license related to each specific research area. In developing such estimate, the Company also considered applicable market conditions and relevant entity-specific factors, including those factors contemplated in negotiating the agreement, probability of success and the time needed to commercialize a product candidate pursuant to the associated license. The Company developed the BESP for each of the Discount Deliverables based on the estimated value of the associated in-the-money options. In developing such estimate, the Company considered the period to exercise the option, an appropriate discount rate and the likelihood that a market participant who was entitled to the discount would exercise the option.</w:t>
      </w:r>
    </w:p>
    <w:p>
      <w:pPr>
        <w:spacing w:after="0" w:line="131"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6"/>
          <w:szCs w:val="16"/>
          <w:color w:val="auto"/>
        </w:rPr>
        <w:t>Allocable arrangement consideration at inception is comprised of: (i) the up</w:t>
      </w:r>
      <w:r>
        <w:rPr>
          <w:rFonts w:ascii="MS PGothic" w:cs="MS PGothic" w:eastAsia="MS PGothic" w:hAnsi="MS PGothic"/>
          <w:sz w:val="16"/>
          <w:szCs w:val="16"/>
          <w:color w:val="auto"/>
        </w:rPr>
        <w:t>‑</w:t>
      </w:r>
      <w:r>
        <w:rPr>
          <w:rFonts w:ascii="Arial" w:cs="Arial" w:eastAsia="Arial" w:hAnsi="Arial"/>
          <w:sz w:val="16"/>
          <w:szCs w:val="16"/>
          <w:color w:val="auto"/>
        </w:rPr>
        <w:t>front payment of $25.0 million, (ii) the research support of $20.0 million and (iii) payments related to specialized materials costs of $2.0 million. The research support of $20.0 million and payments related to specialized materials costs of $2.0 million represent contingent revenue features because the Company’s retention of the associated arrangement consideration is dependent upon its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9" w:name="page160"/>
    <w:bookmarkEnd w:id="1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future performance of research support services and development of specialized materials. The aggregate allocable arrangement consideration of $47.0 million was allocated among the separate units of accounting using the relative selling price method as follows: (i) R&amp;D Services Unit of Accounting: $16.7 million, (ii) Development and Commercialization License for the first research area: $9.3 million, (iii) Development and Commercialization License for the second research area: $15.4 million, (iv) Development and Commercialization License for the third research area: $0.2 million, (v) the first Discount Deliverable for the first research area: $0.7 million, (vi) the second Discount Deliverable for the first research area: $0.4 million, (vii) the third Discount Deliverable for the first research area: $0.2 million, (viii) the first Discount Deliverable for the second research area: $2.0 million, (ix) the second Discount Deliverable for the second research area: $1.3 million, and (x) the third Discount Deliverable for the second research area: $0.8 million. No amounts were allocated to the JRC Deliverable because the associated BESP was determined to be de minimis. The amounts allocated to each of the development and commercialization licenses are based on the respective BESP calculations, which reflect the level of risk and expected probability of success inherent in the nature of the associated research area.</w:t>
      </w:r>
    </w:p>
    <w:p>
      <w:pPr>
        <w:spacing w:after="0" w:line="130"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Company will recognize revenue related to amounts allocated to the R&amp;D Services Unit of Accounting as the underlying services are performed. The Company will recognize revenue related to amounts allocated to each of the Development and Commercialization Licenses upon delivery of the associated license, assuming the research services are substantially complete at the time the license is delivered. The rights to be conveyed to Juno Therapeutics pursuant to each of the Development and Commercialization Licenses extend exclusively to an individual target or product, as applicable; therefore, delivery is deemed to occur upon the designation by Juno Therapeutics of the specific target or product, as applicable, whereupon the license becomes effective. The Company will recognize revenue related to amounts allocated to each of the Discount Deliverables upon the earlier of exercise of the associated option or upon lapsing of the underlying right, if the respective option expires unexercised.</w:t>
      </w:r>
    </w:p>
    <w:p>
      <w:pPr>
        <w:spacing w:after="0" w:line="121"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Company has evaluated all of the milestones that may be received in connection with the Juno Therapeutics arrangement.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All development and regulatory milestones are considered substantive on the basis of the contingent nature of the milestone, specifically reviewing factors such as the scientific, clinical, regulatory, commercial and other risks that must be overcome to achieve the milestone as well as the level of effort and investment required. Accordingly, such amounts will be recognized as revenue in full in the period in which the associated milestone is achieved, assuming all other revenue recognition criteria are met. All commercial milestones will be accounted for in the same manner as royalties and recorded as revenue upon achievement of the milestone, assuming all other revenue recognition criteria are met. 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22"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During the year ended December 31, 2017, 2016 and 2015, the Company recognized revenue totaling approximately $4.9 million, inclusive of the Second Milestone payment, $5.7 million, inclusive of the First Milestone payment, and $1.6 million, respectively, under the collaboration with Juno Therapeutics.</w:t>
      </w:r>
    </w:p>
    <w:p>
      <w:pPr>
        <w:spacing w:after="0" w:line="123"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The revenue is classified as collaboration and other research and development revenue in the accompanying consolidated statement of operations. As of December 31, 2017 and 2016, there was approximately $26.4 million and $26.0 million of deferred revenue related to the Company’s collaboration with Juno Therapeutics, respectively, all of which is classified as long-term in the accompanying consolidated balance sheet. In addition, as of December 31, 2017, the Company has recorded accounts receivable of $0.5 million related to reimbursable research and development costs under the Collaboration Agreement for activities performed during the fourth quarter of 2017. There was no receivable balance as of December 31, 2016.</w:t>
      </w:r>
    </w:p>
    <w:p>
      <w:pPr>
        <w:spacing w:after="0" w:line="13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During the years ended December 31, 2017 and 2016, the Company paid $0.5 million and $0.5 million in sublicense fees that were owed to certain of the Company’s licensors in connection with the Second Milestone and First Milestone, respectively, which the Company recorded as research and development expenses during such periods.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0" w:name="page161"/>
    <w:bookmarkEnd w:id="1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Allergan Pharmaceuticals Strategic Alliance and Option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Agreement</w:t>
      </w:r>
    </w:p>
    <w:p>
      <w:pPr>
        <w:spacing w:after="0" w:line="212" w:lineRule="exact"/>
        <w:rPr>
          <w:sz w:val="20"/>
          <w:szCs w:val="20"/>
          <w:color w:val="auto"/>
        </w:rPr>
      </w:pPr>
    </w:p>
    <w:p>
      <w:pPr>
        <w:ind w:left="80" w:right="20" w:firstLine="571"/>
        <w:spacing w:after="0" w:line="216" w:lineRule="auto"/>
        <w:rPr>
          <w:sz w:val="20"/>
          <w:szCs w:val="20"/>
          <w:color w:val="auto"/>
        </w:rPr>
      </w:pPr>
      <w:r>
        <w:rPr>
          <w:rFonts w:ascii="Arial" w:cs="Arial" w:eastAsia="Arial" w:hAnsi="Arial"/>
          <w:sz w:val="18"/>
          <w:szCs w:val="18"/>
          <w:color w:val="auto"/>
        </w:rPr>
        <w:t>In March 2017, the Company entered into a Strategic Alliance and Option Agreement with Allergan to discover, develop, and commercialize new gene editing medicines for a range of ocular disorders (the “Allergan Agreement”). Over a seven-year research term, Allergan will have an exclusive option to exclusively license from the Company up to five collaboration development programs for the treatment of ocular disorders (each a “CDP”), including the Company’s Leber’s Congenital Amaurosis type 10 program (the “LCA10 Program”).</w:t>
      </w:r>
    </w:p>
    <w:p>
      <w:pPr>
        <w:spacing w:after="0" w:line="162" w:lineRule="exact"/>
        <w:rPr>
          <w:sz w:val="20"/>
          <w:szCs w:val="20"/>
          <w:color w:val="auto"/>
        </w:rPr>
      </w:pPr>
    </w:p>
    <w:p>
      <w:pPr>
        <w:ind w:left="80" w:firstLine="571"/>
        <w:spacing w:after="0"/>
        <w:rPr>
          <w:sz w:val="20"/>
          <w:szCs w:val="20"/>
          <w:color w:val="auto"/>
        </w:rPr>
      </w:pPr>
      <w:r>
        <w:rPr>
          <w:rFonts w:ascii="Arial" w:cs="Arial" w:eastAsia="Arial" w:hAnsi="Arial"/>
          <w:sz w:val="16"/>
          <w:szCs w:val="16"/>
          <w:color w:val="auto"/>
        </w:rPr>
        <w:t>Under the Allergan Agreement, the Company will use commercially reasonable efforts to develop at least five CDPs and deliver preclinical results and data meeting specified criteria with respect to each CDP (each, an “Option Package” and such criteria, the “Option Package Criteria”) to Allergan. The list of proposed targets that may be subject to a CDP may be amended from time to time by mutual agreement of the Company and Allergan. The Company is responsible for the preparation and delivery of a written development plan for each particular CDP setting forth the discovery and research activities to be conducted which is subject to the approval of the alliance steering committee that was formed under the Allergan Agreement, comprised of three members from each of the Company and Allergan (the “Steering Committee”). The Company will maintain primary responsibility for the development efforts under each CDP. The Company is responsible for all research and development costs prior to the achievement of the Option Package Criteria. Upon achievement of the Option Package Criteria, as determined by the Steering Committee, Allergan will have the ability, for a defined period of time (“Initial Option Period”) to exercise an option (each, an “Option”) to obtain a world-wide right and license to the Company’s background intellectual property and the Company’s interest in the CDP intellectual property to develop, commercialize, make, have made, use, offer for sale, sell, and import any gene editing therapy product that results from such CDP during the term of the Allergan Agreement (a “Licensed Product”) in any category of human diseases and conditions other than the diagnosis, treatment or prevention of any cancer in humans through the use of engineered T-cells and subject to specified other limitations. Allergan has the option to extend the Initial Option Period and require the Company to perform additional research and development services, subject to the payment of additional consideration. After exercise of an Option with respect to a CDP, with the exception of any CDP’s where the Company has exercised its profit-sharing option, Allergan will be responsible for all development, manufacturing, and commercialization activities in connection with licensed products arising from such CDP, other than with respect to the LCA10 Program, if LCA10 is designated as a CDP, for which the Company has retained the right to develop that program through the acceptance for filing of the first IND with respect to the LCA10 Program. Upon achievement of IND approval for LCA10, unless the Company has exercised its profit sharing option on LCA10, Allergan will be responsible for all development, manufacturing, and commercialization activities.</w:t>
      </w:r>
    </w:p>
    <w:p>
      <w:pPr>
        <w:spacing w:after="0" w:line="198"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initial term of the Allergan Agreement commenced on March 14, 2017 (the “Effective Date”) and continues for seven years ending on March 14, 2024 (the “Research Term”). If the Company has not delivered an Option Package, which includes the results and data from the CDP, for five CDPs that satisfy the Option Package Criteria, then the Research Term will automatically extend by one-year increments until such obligation is satisfied, up to a maximum of ten years from the Effective Date.</w:t>
      </w:r>
    </w:p>
    <w:p>
      <w:pPr>
        <w:spacing w:after="0" w:line="122" w:lineRule="exact"/>
        <w:rPr>
          <w:sz w:val="20"/>
          <w:szCs w:val="20"/>
          <w:color w:val="auto"/>
        </w:rPr>
      </w:pPr>
    </w:p>
    <w:p>
      <w:pPr>
        <w:ind w:right="80" w:firstLine="690"/>
        <w:spacing w:after="0" w:line="249" w:lineRule="auto"/>
        <w:rPr>
          <w:sz w:val="20"/>
          <w:szCs w:val="20"/>
          <w:color w:val="auto"/>
        </w:rPr>
      </w:pPr>
      <w:r>
        <w:rPr>
          <w:rFonts w:ascii="Arial" w:cs="Arial" w:eastAsia="Arial" w:hAnsi="Arial"/>
          <w:sz w:val="16"/>
          <w:szCs w:val="16"/>
          <w:color w:val="auto"/>
        </w:rPr>
        <w:t>The activities under the Allergan Agreement during the Research Term will be governed by the Steering Committee. The Steering Committee will review and monitor the direction of the development plan, evaluate and determine which targets are selected to become CDP, establish the Option Package Criteria for each CDP and evaluate the achievement of such criteria as well as oversee the development and commercialization activities after Allergan has licensed a CDP.</w:t>
      </w:r>
    </w:p>
    <w:p>
      <w:pPr>
        <w:spacing w:after="0" w:line="114" w:lineRule="exact"/>
        <w:rPr>
          <w:sz w:val="20"/>
          <w:szCs w:val="20"/>
          <w:color w:val="auto"/>
        </w:rPr>
      </w:pPr>
    </w:p>
    <w:p>
      <w:pPr>
        <w:ind w:right="80" w:firstLine="693"/>
        <w:spacing w:after="0" w:line="184" w:lineRule="exact"/>
        <w:rPr>
          <w:sz w:val="20"/>
          <w:szCs w:val="20"/>
          <w:color w:val="auto"/>
        </w:rPr>
      </w:pPr>
      <w:r>
        <w:rPr>
          <w:rFonts w:ascii="Arial" w:cs="Arial" w:eastAsia="Arial" w:hAnsi="Arial"/>
          <w:sz w:val="16"/>
          <w:szCs w:val="16"/>
          <w:color w:val="auto"/>
        </w:rPr>
        <w:t>Under the terms of the Allergan Agreement, the Company received a $90.0 million up</w:t>
      </w:r>
      <w:r>
        <w:rPr>
          <w:rFonts w:ascii="MS PGothic" w:cs="MS PGothic" w:eastAsia="MS PGothic" w:hAnsi="MS PGothic"/>
          <w:sz w:val="16"/>
          <w:szCs w:val="16"/>
          <w:color w:val="auto"/>
        </w:rPr>
        <w:t>‑</w:t>
      </w:r>
      <w:r>
        <w:rPr>
          <w:rFonts w:ascii="Arial" w:cs="Arial" w:eastAsia="Arial" w:hAnsi="Arial"/>
          <w:sz w:val="16"/>
          <w:szCs w:val="16"/>
          <w:color w:val="auto"/>
        </w:rPr>
        <w:t>front, non</w:t>
      </w:r>
      <w:r>
        <w:rPr>
          <w:rFonts w:ascii="MS PGothic" w:cs="MS PGothic" w:eastAsia="MS PGothic" w:hAnsi="MS PGothic"/>
          <w:sz w:val="16"/>
          <w:szCs w:val="16"/>
          <w:color w:val="auto"/>
        </w:rPr>
        <w:t>‑</w:t>
      </w:r>
      <w:r>
        <w:rPr>
          <w:rFonts w:ascii="Arial" w:cs="Arial" w:eastAsia="Arial" w:hAnsi="Arial"/>
          <w:sz w:val="16"/>
          <w:szCs w:val="16"/>
          <w:color w:val="auto"/>
        </w:rPr>
        <w:t>refundable, non</w:t>
      </w:r>
      <w:r>
        <w:rPr>
          <w:rFonts w:ascii="MS PGothic" w:cs="MS PGothic" w:eastAsia="MS PGothic" w:hAnsi="MS PGothic"/>
          <w:sz w:val="16"/>
          <w:szCs w:val="16"/>
          <w:color w:val="auto"/>
        </w:rPr>
        <w:t>‑</w:t>
      </w:r>
      <w:r>
        <w:rPr>
          <w:rFonts w:ascii="Arial" w:cs="Arial" w:eastAsia="Arial" w:hAnsi="Arial"/>
          <w:sz w:val="16"/>
          <w:szCs w:val="16"/>
          <w:color w:val="auto"/>
        </w:rPr>
        <w:t>creditable cash payment (the “Allergan Upfront”) related to the Company’s research and development costs for Option Packages for at least five CDPs and for reimbursement of the Company’s past out of pocket costs with respect to the prosecution and defense of patents that it owns and in-licenses. Allergan has the option to purchase at least five development and commercialization licenses associated CDP that have satisfied the Option Package Criteria. The option exercise fee during the Initial Option Period is $15.0 million per CDP. If Allergan elects to extend the Initial Option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61" w:name="page162"/>
    <w:bookmarkEnd w:id="1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Period, Allergan is required to pay an additional fee of $5.0 million to extend the option, at which point the Company is required to perform additional research services. If Allergan elects to exercise its option to a development and commercialization license after extending the Initial Option Period, Allergan must pay the Company the option exercise fee of $22.5 million, plus specified costs incurred by the Company in connection with the additional development work.</w:t>
      </w:r>
    </w:p>
    <w:p>
      <w:pPr>
        <w:spacing w:after="0" w:line="122"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Following the exercise by Allergan of an Option with respect to a CDP, Allergan would be required to make certain milestone payments to the Company upon the achievement of specified development, product approval and launch and commercial events, on a CDP by CDP basis. On a CDP by CDP basis, for the first product in the first field to achieve the associated event, the Company is eligible to receive up to an aggregate of $42.0 million for development milestone payments and $75.0 million for product approval and launch milestone payments, in each case, for an indication in the field per CDP. In addition, the Company is eligible to receive additional development and product approval and launch milestone payments for subsequent products developed within two additional fields. The Company is also eligible for up to $90.0 million in sales milestone payments on a CDP by CDP basis, associated with aggregate worldwide sales. Certain product approval milestones are subject to certain reductions under specified circumstances, including for payments required to be made by Allergan to obtain certain third party intellectual property rights. In addition, within 45 days of the acceptance by the applicable regulatory authority of the Company’s submission of an IND application with respect to the LCA10 Program, Allergan is required to pay the Company a one-time payment of $25.0 million (the “LCA10 IND Payment”), whether or not Allergan exercises its option under the Allergan Agreement to acquire an exclusive license with respect to the LCA10 Program. As of December 31, 2017, the next potential milestone payment that the Company may be entitled to receive under the Allergan Agreement is a substantive milestone payment of $8.0 million for the achievement of certain clinical criteria.</w:t>
      </w:r>
    </w:p>
    <w:p>
      <w:pPr>
        <w:spacing w:after="0" w:line="130"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With respect to the LCA10 Program and up to one other CDP of the Company’s choosing, following the exercise by Allergan of its Option to such programs, the Company will have the right to elect to participate in a profit-sharing arrangement with Allergan in the United States, on terms mutually agreed by the Company and Allergan and subject to a right of Allergan to reject such election under certain circumstances, under which the Company and Allergan would share equally in net profits and losses on specific terms to be agreed between the Company and Allergan, in lieu of Allergan paying royalties on net sales of any applicable Licensed Products in the United States, and in such event Allergan’s milestone payment obligations would be reduced, with the Company being eligible to receive development and product approval and launch milestone payments up to a low nine-digit amount in the aggregate and further sales milestone payments up to a high-eight digit amount in the aggregate, subject to reduction under certain circumstances. If the Company elects to participate in a profit-sharing arrangement, the Company is obligated to reimburse Allergan for half of the development costs incurred by Allergan with respect to the applicable CDP, and Allergan will retain control of all development and commercialization activities for the applicable Licensed Products.</w:t>
      </w:r>
    </w:p>
    <w:p>
      <w:pPr>
        <w:spacing w:after="0" w:line="122" w:lineRule="exact"/>
        <w:rPr>
          <w:sz w:val="20"/>
          <w:szCs w:val="20"/>
          <w:color w:val="auto"/>
        </w:rPr>
      </w:pPr>
    </w:p>
    <w:p>
      <w:pPr>
        <w:ind w:right="80" w:firstLine="648"/>
        <w:spacing w:after="0" w:line="181" w:lineRule="exact"/>
        <w:rPr>
          <w:sz w:val="20"/>
          <w:szCs w:val="20"/>
          <w:color w:val="auto"/>
        </w:rPr>
      </w:pPr>
      <w:r>
        <w:rPr>
          <w:rFonts w:ascii="Arial" w:cs="Arial" w:eastAsia="Arial" w:hAnsi="Arial"/>
          <w:sz w:val="18"/>
          <w:szCs w:val="18"/>
          <w:color w:val="auto"/>
        </w:rPr>
        <w:t>In addition, to the extent there is any Licensed Product, the Company would be entitled to receive tiered royalty payments of high single digits based on a percentage of net sales of such Licensed Product, subject to certain reductions under specified circumstances, and the Company will remain obligated to pay all license fees, milestone payments, and royalties due to its upstream licensors based on Allergan’s exercise of its license rights with respect to Licensed Products. However, if a Licensed Product is subject to a profit sharing agreement the royalties will only be paid on ex-US net sales. Royalties are due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from the date of the first commercial sale of each Licensed Product in a country until the later of: (i) the tenth anniversary of the first commercial sale of such Licensed Product in such country (ii) the expiration date in such country of the last to expire valid claim within the licensed intellectual property covering the manufacture, use or sale of such Licensed Product in such country and (iii) the expiration of an exclusive legal right granted by the regulatory authority in such country to market and sell such Licensed Product.</w:t>
      </w:r>
    </w:p>
    <w:p>
      <w:pPr>
        <w:spacing w:after="0" w:line="124"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Unless earlier terminated, the Allergan Agreement will terminate upon (i) the expiration of the Research Term, if Allergan does not exercise an Option, (ii) on a Licensed Product-by-Licensed Product and country-by-country basis, on the date of the expiration of all payment obligations under the Allergan Agreement with respect to such Licensed Product in such country or (iii) in its entirety upon the expiration of all payment obligations with respect to the last Licensed Product in all countries, unless terminated earlier due to the early termination provisions. Either party may terminate the Allergan Agreement if the other party has materially breached or defaulted in the performance of any of its material obligations and such breach or default continues after the specified cure period. During the Research Term, Allergan will have the right to terminate the Allergan Agreement on a CDP by CDP basis in the event of a change in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2" w:name="page163"/>
    <w:bookmarkEnd w:id="1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5"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control of the Company or for all CDPs, provided that Allergan will not have any right to exercise an Option for any CDPs following such termination. After the exercise of an Option, Allergan will have the right, at its sole discretion, to terminate the Allergan Agreement, on a CDP by CDP basis, upon 90 days’ written notice. The Company may terminate the Allergan Agreement in the event that Allergan brings, assumes, or participates in, or knowingly, willfully or recklessly assists in bringing a dispute or challenge against the Company related to its intellectual property. Lastly, Allergan may terminate the Allergan Agreement with respect to a CDP if a safety concern, as specified in the Allergan Agreement, arises.</w:t>
      </w:r>
    </w:p>
    <w:p>
      <w:pPr>
        <w:spacing w:after="0" w:line="120" w:lineRule="exact"/>
        <w:rPr>
          <w:sz w:val="20"/>
          <w:szCs w:val="20"/>
          <w:color w:val="auto"/>
        </w:rPr>
      </w:pPr>
    </w:p>
    <w:p>
      <w:pPr>
        <w:ind w:right="60" w:firstLine="690"/>
        <w:spacing w:after="0" w:line="210" w:lineRule="auto"/>
        <w:rPr>
          <w:sz w:val="20"/>
          <w:szCs w:val="20"/>
          <w:color w:val="auto"/>
        </w:rPr>
      </w:pPr>
      <w:r>
        <w:rPr>
          <w:rFonts w:ascii="Arial" w:cs="Arial" w:eastAsia="Arial" w:hAnsi="Arial"/>
          <w:sz w:val="18"/>
          <w:szCs w:val="18"/>
          <w:color w:val="auto"/>
        </w:rPr>
        <w:t>Termination of the Allergan Agreement for any reason will not release either party from any liability which, at the time of such termination, has already accrued to the other party or which is attributable to a period prior to such termination. In addition, termination of the Allergan Agreement will not preclude either party from pursuing any rights and remedies it may have under the agreement or at law or in equity with respect to any breach of the Allergan Agreement. If Allergan terminates the Allergan Agreement as a result of the Company’s uncured material breach or default, then: (i) the licenses and rights conveyed to Allergan will continue as set forth in the agreement for any CDP Allergan has already licensed and (ii) Allergan’s obligations related to milestones and royalties will continue as set forth in the agreement. If the Allergan Agreement is terminated for any other reason, then the options and licenses conveyed to Allergan under the agreement will terminate.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Analysis</w:t>
      </w:r>
    </w:p>
    <w:p>
      <w:pPr>
        <w:spacing w:after="0" w:line="212"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The Company evaluated the Allergan Agreement in accordance with the provisions of ASC 605-25. The Company’s arrangement with Allergan contains the following deliverables: (i) research and development services during the Research Term (the “Allergan R&amp;D Services Deliverable”), and (ii) ASC services during the Research Term (the “ASC Deliverable”).</w:t>
      </w:r>
    </w:p>
    <w:p>
      <w:pPr>
        <w:spacing w:after="0" w:line="12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determined that the Options with respect to the CDP are substantive options. Allergan is not contractually obligated to exercise the Options and as a result of the uncertain outcome of the discovery, research and development activities as well as the significant option exercise fee payable upon exercise of an Option, there is significant uncertainty as to whether Allergan will decide to exercise its Option for any CDP. Consequently, the Company is at risk with regard to whether Allergan will exercise the Options. In addition, the option exercise fees are not priced at a significant and incremental discount. Accordingly, the substantive options are not considered deliverables at the inception of the arrangement and the associated option exercise payments are not included in allocable arrangement consideration. The Company has also determined that any obligations which are contingent upon the exercise of a substantive option are not considered deliverables at the outset of the arrangement.</w:t>
      </w:r>
    </w:p>
    <w:p>
      <w:pPr>
        <w:spacing w:after="0" w:line="18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has concluded that the services being provided as part of the ASC Deliverable does not qualify for separation from the Allergan R&amp;D Services Deliverable. The Steering Committee provides oversight and management of the overall Allergan Agreement, and the members of the Steering Committee from the Company have specialized industry knowledge, particularly as it relates to genome editing technology. The Company has concluded that the Steering Committee is a participatory obligation of the Company and is meant to facilitate the early stage research being performed and coordinate the activities of both the Company and Allergan. Further, the Steering Committee services are critical to the selection of the CDP, the ongoing evaluation of the CDP and the development and evaluation of the Option Package Criteria. Accordingly, the Company’s participation on the Steering Committee is essential to Allergan receiving value from the Allergan R&amp;D Services Deliverable and as such, the ASC Deliverable along with the Allergan R&amp;D Services Deliverable are considered one unit (the “CDP Services Unit”). As the Company concluded that the CDP Services Unit is the sole unit of accounting (the “CDP Services Unit of Accounting”), all of the initial arrangement consideration will be allocated to that unit and no allocation of arrangement consideration is necessary.</w:t>
      </w:r>
    </w:p>
    <w:p>
      <w:pPr>
        <w:spacing w:after="0" w:line="169" w:lineRule="exact"/>
        <w:rPr>
          <w:sz w:val="20"/>
          <w:szCs w:val="20"/>
          <w:color w:val="auto"/>
        </w:rPr>
      </w:pPr>
    </w:p>
    <w:p>
      <w:pPr>
        <w:ind w:right="40" w:firstLine="648"/>
        <w:spacing w:after="0" w:line="219" w:lineRule="exact"/>
        <w:rPr>
          <w:sz w:val="20"/>
          <w:szCs w:val="20"/>
          <w:color w:val="auto"/>
        </w:rPr>
      </w:pPr>
      <w:r>
        <w:rPr>
          <w:rFonts w:ascii="Arial" w:cs="Arial" w:eastAsia="Arial" w:hAnsi="Arial"/>
          <w:sz w:val="18"/>
          <w:szCs w:val="18"/>
          <w:color w:val="auto"/>
        </w:rPr>
        <w:t>Allocable arrangement consideration at inception is comprised solely of the up</w:t>
      </w:r>
      <w:r>
        <w:rPr>
          <w:rFonts w:ascii="MS PGothic" w:cs="MS PGothic" w:eastAsia="MS PGothic" w:hAnsi="MS PGothic"/>
          <w:sz w:val="18"/>
          <w:szCs w:val="18"/>
          <w:color w:val="auto"/>
        </w:rPr>
        <w:t>‑</w:t>
      </w:r>
      <w:r>
        <w:rPr>
          <w:rFonts w:ascii="Arial" w:cs="Arial" w:eastAsia="Arial" w:hAnsi="Arial"/>
          <w:sz w:val="18"/>
          <w:szCs w:val="18"/>
          <w:color w:val="auto"/>
        </w:rPr>
        <w:t>front payment of $90.0 million. The Company will recognize revenue related to the CDP Services Unit of Accounting as the underlying services are performed. In addition, as the LCA10 IND Payment is payable upon acceptance of the IND, it is contingent consideration related to the licensed technology. As such, if and when the LCA10 IND Payment is received, the Company will recognize revenue related to the LCA10 IND Payment in conjunction with the CDP Services Unit of Accounting as the underlying services are performed.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63" w:name="page164"/>
    <w:bookmarkEnd w:id="1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has evaluated all of the milestones that may be received in connection with the Allergan Agreement.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All development and product approval and launch milestones are considered substantive on the basis of the contingent nature of the milestones, specifically reviewing factors such as the scientific, clinical, regulatory, commercial and other risks that must be overcome to achieve the milestone. Accordingly, such amounts will be recognized as revenue in full in the period in which the associated milestone is achieved, assuming all other revenue recognition criteria are met. All sales milestones will be accounted for in the same manner as royalties and recorded as revenue upon achievement of the milestone, assuming all other revenue recognition criteria are met. 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7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year ended December 31, 2017, the Company recognized revenue totaling approximately $8.8 million with respect to the Allergan Agreement. As of December 31, 2017, there was $81.2 million of deferred revenue related to the Allergan Agreement, of which $68.3 million is classified as long-term on the consolidated balance sheet. The Company will recognize revenue on a straight-line basis, as there is no discernible pattern or objective measure of performance of the services, over the estimated performance period. The estimated performance period is from the commencement of providing services related to the CDP Services Unit until the end of the Research Term.</w:t>
      </w:r>
    </w:p>
    <w:p>
      <w:pPr>
        <w:spacing w:after="0" w:line="17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During the year ended December 31, 2017, the Company paid $14.1 million in sublicense fees that were owed to certain of the Company’s licensors in connection with the Allergan Upfront, which the Company recorded as research and development expenses during such period.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Licensing Agreements</w:t>
      </w:r>
    </w:p>
    <w:p>
      <w:pPr>
        <w:spacing w:after="0" w:line="14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6"/>
          <w:szCs w:val="16"/>
          <w:color w:val="auto"/>
        </w:rPr>
        <w:t>The Company is a party to a number of license agreements under which the Company licenses patents, patent applications and other intellectual property from third parties. The Company anticipates entering into these types of license agreements in the future. The Company believes the following agreements are significant to the business: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Massachusetts General Hospital Agreements</w:t>
      </w:r>
    </w:p>
    <w:p>
      <w:pPr>
        <w:spacing w:after="0" w:line="144"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In August 2014, the Company entered into an agreement to license certain patent rights owned or co</w:t>
      </w:r>
      <w:r>
        <w:rPr>
          <w:rFonts w:ascii="MS PGothic" w:cs="MS PGothic" w:eastAsia="MS PGothic" w:hAnsi="MS PGothic"/>
          <w:sz w:val="16"/>
          <w:szCs w:val="16"/>
          <w:color w:val="auto"/>
        </w:rPr>
        <w:t>‑</w:t>
      </w:r>
      <w:r>
        <w:rPr>
          <w:rFonts w:ascii="Arial" w:cs="Arial" w:eastAsia="Arial" w:hAnsi="Arial"/>
          <w:sz w:val="16"/>
          <w:szCs w:val="16"/>
          <w:color w:val="auto"/>
        </w:rPr>
        <w:t>owned by MGH. Consideration for the granting of the license included the payment of an upfront license fee of $0.1 million, the issuance of 66,848 shares of the Company’s common stock, which was based on 0.5% of the Company’s outstanding stock on a fully diluted basis, and the right to receive future issuances of shares of common stock to maintain MGH’s ownership following the third tranche of the Company’s Series A redeemable convertible preferred stock financing (i.e. anti</w:t>
      </w:r>
      <w:r>
        <w:rPr>
          <w:rFonts w:ascii="MS PGothic" w:cs="MS PGothic" w:eastAsia="MS PGothic" w:hAnsi="MS PGothic"/>
          <w:sz w:val="16"/>
          <w:szCs w:val="16"/>
          <w:color w:val="auto"/>
        </w:rPr>
        <w:t>‑</w:t>
      </w:r>
      <w:r>
        <w:rPr>
          <w:rFonts w:ascii="Arial" w:cs="Arial" w:eastAsia="Arial" w:hAnsi="Arial"/>
          <w:sz w:val="16"/>
          <w:szCs w:val="16"/>
          <w:color w:val="auto"/>
        </w:rPr>
        <w:t>dilution protection liability), which was settled in June 2015. MGH is entitled to receive nominal annual license fees and future clinical, regulatory and commercial milestone payments in an aggregate maximum amount of $3.7 million and an aggregate amount of $1.8 million upon the occurrence of certain sales milestones. The Company is also obligated to pay MGH low single digit percentage royalties on net sales of products for the prevention or treatment of human disease, and ranging from low single digit to low double digit percentage royalties on net sales of other products and services made by the Company, its affiliates or its sublicenses. The royalty percentage depends on the product and service, and whether such licensed product or licensed service is covered by a valid claim within the certain patent rights that the Company licenses from MGH.</w:t>
      </w:r>
    </w:p>
    <w:p>
      <w:pPr>
        <w:spacing w:after="0" w:line="130"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In August 2016, the Company entered into a license agreement with MGH (the “2016 MGH Agreement”) to license certain patent rights owned or co-owned by MGH (the “Additional MGH Patent Rights”). Consideration for granting the license included the payment of an upfront nonrefundable license fee of $0.8 million, which the Company recorded as research and development expense in 2016. Under the 2016 MGH Agreement, MGH is entitled to nominal</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64" w:name="page165"/>
    <w:bookmarkEnd w:id="1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annual license fees, clinical and regulatory milestone payments totaling less than $1.0 million in the aggregate per licensed product up to four licensed products or processes to achieve the specified clinical and regulatory milestones, and commercial sales milestone payments totaling up to $4.9 million in the aggregate, consisting of milestone payments due upon the first commercial sales for up to four licensed products or processes and milestone payments due upon annual net sales of products or processes meeting specified thresholds. The Company is also obligated to pay MGH royalties of less than 1% on net sales of products and processes for the prevention or treatment of human disease, and royalties of a low single-digit percentage on net sales of products and processes for the prevention or treatment of a non-human animal disease, made by the Company, its affiliates, or its sublicensees. The royalty percentages that the Company is obligated to pay are subject to reduction if at the time of sale the applicable product or process is not covered by a valid claim within the Additional MGH Patent Rights. Under the 2016 MGH Agreement, the Company is obligated to reimburse MGH for all patent costs and future reasonable costs associated with the prosecution, filing, and maintenance of the licensed patents.</w:t>
      </w:r>
    </w:p>
    <w:p>
      <w:pPr>
        <w:spacing w:after="0" w:line="125"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MGH is also entitled under the 2016 MGH Agreement to receive payments of up to $6.0 million in the event the Company’s market capitalization reaches specified thresholds meeting or exceeding $1.0 billion, on or prior to the expiration or termination of the 2016 MGH Agreement (or if earlier, a Company sale) (“MGH Market Cap Success Payments”) or a Company sale for consideration in excess of those thresholds (“MGH Company Sale Success Payments”). Additional MGH Market Cap Success Payments become payable, and the amount of potential MGH Company Sale Success Payments would increase further, if the Company’s market capitalization reaches additional higher thresholds and the Company has at least one product candidate that is covered by a claim of an Additional MGH Patent Right and that (i) is the subject of a Phase 1 clinical trial of which the Company or an affiliate or sublicensee of the Company is the sponsor, (ii) was the subject of a Phase 1 clinical trial of which the Company or an affiliate or sublicensee of the Company was the sponsor with the Company having determined to conduct a subsequent clinical trial with respect to such product candidate, or (iii) has been approved for sale in either the United States or European Union. MGH Market Cap Success Payments are payable in cash or shares of Company common stock at the Company’s discretion, and MGH Company Sale Success Payments are payable solely in cash. The Company triggered the first Success Payment under the MGH license agreement during the fourth quarter of 2017 when the Company’s market capitalization reached $1.0 billion (see Note 8).</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Broad Institute Agreements</w:t>
      </w:r>
    </w:p>
    <w:p>
      <w:pPr>
        <w:spacing w:after="0" w:line="144" w:lineRule="exact"/>
        <w:rPr>
          <w:sz w:val="20"/>
          <w:szCs w:val="20"/>
          <w:color w:val="auto"/>
        </w:rPr>
      </w:pPr>
    </w:p>
    <w:p>
      <w:pPr>
        <w:ind w:right="40" w:firstLine="648"/>
        <w:spacing w:after="0" w:line="177" w:lineRule="exact"/>
        <w:rPr>
          <w:sz w:val="20"/>
          <w:szCs w:val="20"/>
          <w:color w:val="auto"/>
        </w:rPr>
      </w:pPr>
      <w:r>
        <w:rPr>
          <w:rFonts w:ascii="Arial" w:cs="Arial" w:eastAsia="Arial" w:hAnsi="Arial"/>
          <w:sz w:val="16"/>
          <w:szCs w:val="16"/>
          <w:color w:val="auto"/>
        </w:rPr>
        <w:t>In October 2014, the Company entered into an agreement (the “Cas9-I License Agreement”) with Broad and Harvard to license certain patent rights owned or co</w:t>
      </w:r>
      <w:r>
        <w:rPr>
          <w:rFonts w:ascii="MS PGothic" w:cs="MS PGothic" w:eastAsia="MS PGothic" w:hAnsi="MS PGothic"/>
          <w:sz w:val="16"/>
          <w:szCs w:val="16"/>
          <w:color w:val="auto"/>
        </w:rPr>
        <w:t>‑</w:t>
      </w:r>
      <w:r>
        <w:rPr>
          <w:rFonts w:ascii="Arial" w:cs="Arial" w:eastAsia="Arial" w:hAnsi="Arial"/>
          <w:sz w:val="16"/>
          <w:szCs w:val="16"/>
          <w:color w:val="auto"/>
        </w:rPr>
        <w:t>owned by, or among, Broad, the Massachusetts Institute of Technology (“MIT”), and Harvard (collectively, the “Institutions”). Consideration for the granting of the license included the payment of an upfront license issuance fee of $0.2 million and the issuance of 561,531 shares of the Company’s common stock. The Institutions are collectively entitled to receive clinical and regulatory milestone payments totaling up to $14.8 million in the aggregate per licensed product approved in the United States, European Union, and Japan for the treatment of a human disease that afflicts at least a specified number of patients in the aggregate in the United States. If the Company undergoes a change of control during the term of the license agreement, the clinical and regulatory milestone payments will be increased by a certain percentage in the mid</w:t>
      </w:r>
      <w:r>
        <w:rPr>
          <w:rFonts w:ascii="MS PGothic" w:cs="MS PGothic" w:eastAsia="MS PGothic" w:hAnsi="MS PGothic"/>
          <w:sz w:val="16"/>
          <w:szCs w:val="16"/>
          <w:color w:val="auto"/>
        </w:rPr>
        <w:t>‑</w:t>
      </w:r>
      <w:r>
        <w:rPr>
          <w:rFonts w:ascii="Arial" w:cs="Arial" w:eastAsia="Arial" w:hAnsi="Arial"/>
          <w:sz w:val="16"/>
          <w:szCs w:val="16"/>
          <w:color w:val="auto"/>
        </w:rPr>
        <w:t>double digits. The Company is also obligated to make additional payments to the Institutions, collectively, of up to an aggregate of $54.0 million upon the occurrence of certain sales milestones per licensed product for the treatment of a human disease that afflicts at least a specified number of patients in the aggregate in the United States. The Institutions are collectively entitled to receive clinical and regulatory milestone payments totaling up to</w:t>
      </w:r>
    </w:p>
    <w:p>
      <w:pPr>
        <w:spacing w:after="0" w:line="7" w:lineRule="exact"/>
        <w:rPr>
          <w:sz w:val="20"/>
          <w:szCs w:val="20"/>
          <w:color w:val="auto"/>
        </w:rPr>
      </w:pPr>
    </w:p>
    <w:p>
      <w:pPr>
        <w:spacing w:after="0" w:line="180" w:lineRule="exact"/>
        <w:rPr>
          <w:sz w:val="20"/>
          <w:szCs w:val="20"/>
          <w:color w:val="auto"/>
        </w:rPr>
      </w:pPr>
      <w:r>
        <w:rPr>
          <w:rFonts w:ascii="Arial" w:cs="Arial" w:eastAsia="Arial" w:hAnsi="Arial"/>
          <w:sz w:val="17"/>
          <w:szCs w:val="17"/>
          <w:color w:val="auto"/>
        </w:rPr>
        <w:t>$4.1 million in the aggregate per licensed product approved in the U.S. and at least one jurisdiction outside the U.S. for the treatment of a human disease based on certain criteria. The Company is also obligated to make additional payments to the Institutions, collectively, of up to an aggregate of $36.0 million upon the occurrence of certain sales milestones per licensed product for the treatment of a rare disease meeting certain criteria. The Institutions are entitled to receive from the Company nominal annual license fees and a mid</w:t>
      </w:r>
      <w:r>
        <w:rPr>
          <w:rFonts w:ascii="MS PGothic" w:cs="MS PGothic" w:eastAsia="MS PGothic" w:hAnsi="MS PGothic"/>
          <w:sz w:val="17"/>
          <w:szCs w:val="17"/>
          <w:color w:val="auto"/>
        </w:rPr>
        <w:t>‑</w:t>
      </w:r>
      <w:r>
        <w:rPr>
          <w:rFonts w:ascii="Arial" w:cs="Arial" w:eastAsia="Arial" w:hAnsi="Arial"/>
          <w:sz w:val="17"/>
          <w:szCs w:val="17"/>
          <w:color w:val="auto"/>
        </w:rPr>
        <w:t>single digit percentage royalties on net sales of products for the prevention or treatment of human disease, and ranging from low single digit to high single digit percentage royalties on net sales of other products and services, made by the Company, its affiliates, or its sublicensees. The royalty percentage depends on the product and service, and whether such licensed product or licensed service is covered by a valid claim within the certain patent rights that the Company licenses from the Institutions.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5" w:name="page166"/>
    <w:bookmarkEnd w:id="1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5"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In December 2016, the Company entered into the Cpf1 License Agreement with Broad, for specified patent rights (the “Cpf1 Patent Rights”) related primarily to Cpf1 compositions of matter and their use for gene editing. Concurrently with entering into the Cpf1 License Agreement, the Company, Broad, and Harvard amended and restated the Cas9-I License Agreement as described below. Concurrently, the Company and Broad also entered into the Cas9</w:t>
      </w:r>
      <w:r>
        <w:rPr>
          <w:rFonts w:ascii="MS PGothic" w:cs="MS PGothic" w:eastAsia="MS PGothic" w:hAnsi="MS PGothic"/>
          <w:sz w:val="16"/>
          <w:szCs w:val="16"/>
          <w:color w:val="auto"/>
        </w:rPr>
        <w:t>‑</w:t>
      </w:r>
      <w:r>
        <w:rPr>
          <w:rFonts w:ascii="Arial" w:cs="Arial" w:eastAsia="Arial" w:hAnsi="Arial"/>
          <w:sz w:val="16"/>
          <w:szCs w:val="16"/>
          <w:color w:val="auto"/>
        </w:rPr>
        <w:t>II License Agreement for specified patent rights (the “Cas9-II Patent Rights”) related primarily to certain Cas9 compositions of matter and their use for genome editing. The Company paid an upfront fee in aggregate of $16.5 million, which included the Initial Notes, under these agreements which was recorded in research and development expenses during 2016.</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Cpf1 License Agreement</w:t>
      </w:r>
    </w:p>
    <w:p>
      <w:pPr>
        <w:spacing w:after="0" w:line="144"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color w:val="auto"/>
        </w:rPr>
        <w:t>Pursuant to the Cpf1 License Agreement, Broad, on behalf of itself, Harvard, MIT, Wageningen, and the University of Tokyo (“UTokyo” and, together with Broad, Harvard, MIT, and Wageningen, the “Cpf1 Institutions”) granted the Company an 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the Cpf1 Patent Rights, to make, have made, use, have used, sell, offer for sale, have sold, export and import products in the field of the prevention or treatment of human disease using gene therapy, editing of genetic material, or targeting of genetic material, subject to certain limitations and retained rights (collectively, the “Cpf1 Exclusive Field”), as well as a non</w:t>
      </w:r>
      <w:r>
        <w:rPr>
          <w:rFonts w:ascii="MS PGothic" w:cs="MS PGothic" w:eastAsia="MS PGothic" w:hAnsi="MS PGothic"/>
          <w:sz w:val="16"/>
          <w:szCs w:val="16"/>
          <w:color w:val="auto"/>
        </w:rPr>
        <w:t>‑</w:t>
      </w:r>
      <w:r>
        <w:rPr>
          <w:rFonts w:ascii="Arial" w:cs="Arial" w:eastAsia="Arial" w:hAnsi="Arial"/>
          <w:sz w:val="16"/>
          <w:szCs w:val="16"/>
          <w:color w:val="auto"/>
        </w:rPr>
        <w:t>exclusive, worldwide, royalty</w:t>
      </w:r>
      <w:r>
        <w:rPr>
          <w:rFonts w:ascii="MS PGothic" w:cs="MS PGothic" w:eastAsia="MS PGothic" w:hAnsi="MS PGothic"/>
          <w:sz w:val="16"/>
          <w:szCs w:val="16"/>
          <w:color w:val="auto"/>
        </w:rPr>
        <w:t>‑</w:t>
      </w:r>
      <w:r>
        <w:rPr>
          <w:rFonts w:ascii="Arial" w:cs="Arial" w:eastAsia="Arial" w:hAnsi="Arial"/>
          <w:sz w:val="16"/>
          <w:szCs w:val="16"/>
          <w:color w:val="auto"/>
        </w:rPr>
        <w:t>bearing sublicensable license to the Cpf1 Patent Rights for all other purposes, subject to certain limitations and retained rights. The Company is obligated to use commercially reasonable efforts to research, develop, and commercialize products in the Cpf1 Exclusive Field. The Company is also required to achieve certain development milestones within specified time periods for products covered by the Cpf1 Patent Rights, with Broad having the right to terminate the Cpf1 License Agreement if the Company fails to achieve these milestones within the required time periods.</w:t>
      </w:r>
    </w:p>
    <w:p>
      <w:pPr>
        <w:spacing w:after="0" w:line="125"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6"/>
          <w:szCs w:val="16"/>
          <w:color w:val="auto"/>
        </w:rPr>
        <w:t>Broad and Wageningen are collectively entitled to receive clinical and regulatory milestone payments totaling up to $20.0 million in the aggregate per licensed product approved in the United States, European Union, and Japan for the prevention or treatment of a human disease that afflicts at least a specified number of patients in the aggregate in the United States. The Company is also obligated to make additional payments to Broad and Wageningen, collectively, of up to an aggregate of $54.0 million upon the occurrence of certain sales milestones per licensed product for the prevention or treatment of a human disease that afflicts at least a specified number of patients in the aggregate in the United States. Broad and Wageningen are collectively entitled to receive clinical and regulatory milestone payments totaling up to $6.0 million in the aggregate per licensed product approved in the United States, European Union and Japan for the prevention or treatment of a human disease that afflicts fewer than a specified number of patients in the aggregate in the United States or a specified number of patients per year in the United States (an “Ultra</w:t>
      </w:r>
      <w:r>
        <w:rPr>
          <w:rFonts w:ascii="MS PGothic" w:cs="MS PGothic" w:eastAsia="MS PGothic" w:hAnsi="MS PGothic"/>
          <w:sz w:val="16"/>
          <w:szCs w:val="16"/>
          <w:color w:val="auto"/>
        </w:rPr>
        <w:t>‑</w:t>
      </w:r>
      <w:r>
        <w:rPr>
          <w:rFonts w:ascii="Arial" w:cs="Arial" w:eastAsia="Arial" w:hAnsi="Arial"/>
          <w:sz w:val="16"/>
          <w:szCs w:val="16"/>
          <w:color w:val="auto"/>
        </w:rPr>
        <w:t>Orphan Disease”). The Company is also obligated to make additional payments to Broad and Wageningen, collectively, of up to an aggregate of $36.0 million upon the occurrence of certain sales milestones per licensed product for the prevention or treatment of an Ultra</w:t>
      </w:r>
      <w:r>
        <w:rPr>
          <w:rFonts w:ascii="MS PGothic" w:cs="MS PGothic" w:eastAsia="MS PGothic" w:hAnsi="MS PGothic"/>
          <w:sz w:val="16"/>
          <w:szCs w:val="16"/>
          <w:color w:val="auto"/>
        </w:rPr>
        <w:t>‑</w:t>
      </w:r>
      <w:r>
        <w:rPr>
          <w:rFonts w:ascii="Arial" w:cs="Arial" w:eastAsia="Arial" w:hAnsi="Arial"/>
          <w:sz w:val="16"/>
          <w:szCs w:val="16"/>
          <w:color w:val="auto"/>
        </w:rPr>
        <w:t>Orphan Disease.</w:t>
      </w:r>
    </w:p>
    <w:p>
      <w:pPr>
        <w:spacing w:after="0" w:line="130"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Broad and Wageningen, collectively, are entitled to receive,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mid single</w:t>
      </w:r>
      <w:r>
        <w:rPr>
          <w:rFonts w:ascii="MS PGothic" w:cs="MS PGothic" w:eastAsia="MS PGothic" w:hAnsi="MS PGothic"/>
          <w:sz w:val="17"/>
          <w:szCs w:val="17"/>
          <w:color w:val="auto"/>
        </w:rPr>
        <w:t>‑</w:t>
      </w:r>
      <w:r>
        <w:rPr>
          <w:rFonts w:ascii="Arial" w:cs="Arial" w:eastAsia="Arial" w:hAnsi="Arial"/>
          <w:sz w:val="17"/>
          <w:szCs w:val="17"/>
          <w:color w:val="auto"/>
        </w:rPr>
        <w:t>digit percentage royalty on net sales of licensed products for the prevention or treatment of human disease, and royalties on net sales of other licensed products and licensed services, made by the Company, its affiliates, or its sublicensees. The royalty percentage depends on the product and service, and whether such licensed product or licensed service is covered by a valid claim within the Cpf1 Patent Rights. If the Company is legally required to pay royalties to a third party on net sales of the Company’s products because such third party holds patent rights that cover such licensed product, then the Company can credit up to a specified percentage of the amount paid to such third party against the royalties due to Broad and Wageningen in the same period. Such credit may not exceed 50% of the applicable royalties paid by the Company to the applicable third party. The Company’s obligation to pay royalties will expire on a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and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upon the later of the expiration of the last to expire valid claim of the Cpf1 Patent Rights that covers each licensed product or service in each country or the tenth anniversary of the date of the first commercial sale of the licensed product or licensed service. If the Company sublicenses any of the Cpf1 Patent Rights to a third party, Broad and Wageningen, collectively, have the right to receive sublicense income, depending on the stage of development of the products or services in question at the time of the sublicense.</w:t>
      </w:r>
    </w:p>
    <w:p>
      <w:pPr>
        <w:spacing w:after="0" w:line="125" w:lineRule="exact"/>
        <w:rPr>
          <w:sz w:val="20"/>
          <w:szCs w:val="20"/>
          <w:color w:val="auto"/>
        </w:rPr>
      </w:pPr>
    </w:p>
    <w:p>
      <w:pPr>
        <w:ind w:right="400" w:firstLine="648"/>
        <w:spacing w:after="0" w:line="259" w:lineRule="auto"/>
        <w:rPr>
          <w:sz w:val="20"/>
          <w:szCs w:val="20"/>
          <w:color w:val="auto"/>
        </w:rPr>
      </w:pPr>
      <w:r>
        <w:rPr>
          <w:rFonts w:ascii="Arial" w:cs="Arial" w:eastAsia="Arial" w:hAnsi="Arial"/>
          <w:sz w:val="16"/>
          <w:szCs w:val="16"/>
          <w:color w:val="auto"/>
        </w:rPr>
        <w:t>Under the Cpf1 License Agreement, Broad and Wageningen are also entitled, collectively, to receive success payments in the event the Company’s market capitalization reaches specified thresholds (the “Cpf1 Market Cap Success Payments”) or a Company sale for consideration in excess of those thresholds (the “Cpf1 Company Sale Success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66" w:name="page167"/>
    <w:bookmarkEnd w:id="1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180" w:lineRule="exact"/>
        <w:rPr>
          <w:sz w:val="20"/>
          <w:szCs w:val="20"/>
          <w:color w:val="auto"/>
        </w:rPr>
      </w:pPr>
      <w:r>
        <w:rPr>
          <w:rFonts w:ascii="Arial" w:cs="Arial" w:eastAsia="Arial" w:hAnsi="Arial"/>
          <w:sz w:val="17"/>
          <w:szCs w:val="17"/>
          <w:color w:val="auto"/>
        </w:rPr>
        <w:t>Payments” and, collectively with the Cpf1 Market Cap Success Payments, the “Cpf1 Success Payments”). The Cpf1 Success Payments payable to Broad and Wageningen are triggered when the Company’s market capitalization reaches certain amounts ranging from $750 million to $10 billion for a specified period of time, and, collectively, the Cpf1 Success Payments will not exceed, in aggregate, $125.0 million, which maximum amount would be payable only if the Company reaches a market capitalization threshold of $10.0 billion and has at least one product candidate covered by a claim of a patent right licensed to the Company under either the Cpf1 License Agreement or the Cas9</w:t>
      </w:r>
      <w:r>
        <w:rPr>
          <w:rFonts w:ascii="MS PGothic" w:cs="MS PGothic" w:eastAsia="MS PGothic" w:hAnsi="MS PGothic"/>
          <w:sz w:val="17"/>
          <w:szCs w:val="17"/>
          <w:color w:val="auto"/>
        </w:rPr>
        <w:t>‑</w:t>
      </w:r>
      <w:r>
        <w:rPr>
          <w:rFonts w:ascii="Arial" w:cs="Arial" w:eastAsia="Arial" w:hAnsi="Arial"/>
          <w:sz w:val="17"/>
          <w:szCs w:val="17"/>
          <w:color w:val="auto"/>
        </w:rPr>
        <w:t>I License Agreement that is or was the subject of a clinical trial pursuant to development efforts by the Company or any Company affiliate or sublicensee. The Cpf1 Market Cap Success Payments are payable by the Company in cash or in the form of promissory notes on substantially the same terms and conditions as the Initial Notes, as described in Note 8, except that the maturity date of such notes will, subject to certain exceptions, be 150 days following issuance. Following a change in control of the Company, Cpf1 Market Cap Success Payments are required to be made in cash. Cpf1 Company Sale Success Payments are payable solely in cash. The Company triggered the first and second Cpf1 Success Payments during 2017 when the Company’s market capitalization reached $750 million and $1.0 billion, respectively (see Note 8).</w:t>
      </w:r>
    </w:p>
    <w:p>
      <w:pPr>
        <w:spacing w:after="0" w:line="129"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Unless terminated earlier, the term of the Cpf1 License Agreement will expire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upon the expiration of the last to expire valid claim of the Cpf1 Patent Rights in such country. The Company has the right to terminate the Cpf1 License Agreement at will upon four months’ written notice to Broad. Either party may terminate the Cpf1 License Agreement upon a specified period of notice in the event of the other party’s uncured material breach of a material obligation, such notice period varying depending on the nature of the breach. Broad may terminate the Cpf1 License Agreement immediately if the Company challenges the enforceability, validity, or scope of any Cpf1 Patent Right or assist a third party to do so, or in the event of the Company’s bankruptcy or insolvency.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Amendment and Restatement of Cas9-I License Agreement</w:t>
      </w:r>
    </w:p>
    <w:p>
      <w:pPr>
        <w:spacing w:after="0" w:line="144"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December 2016, the Company amended and restated the Cas9</w:t>
      </w:r>
      <w:r>
        <w:rPr>
          <w:rFonts w:ascii="MS PGothic" w:cs="MS PGothic" w:eastAsia="MS PGothic" w:hAnsi="MS PGothic"/>
          <w:sz w:val="16"/>
          <w:szCs w:val="16"/>
          <w:color w:val="auto"/>
        </w:rPr>
        <w:t>‑</w:t>
      </w:r>
      <w:r>
        <w:rPr>
          <w:rFonts w:ascii="Arial" w:cs="Arial" w:eastAsia="Arial" w:hAnsi="Arial"/>
          <w:sz w:val="16"/>
          <w:szCs w:val="16"/>
          <w:color w:val="auto"/>
        </w:rPr>
        <w:t>I License Agreement (such agreement, as amended, the “Amended and Restated Cas9-I License Agreement”) to exclude additional fields from the scope of the exclusive license previously granted to the Company, to make the exclusive license to three targets become non</w:t>
      </w:r>
      <w:r>
        <w:rPr>
          <w:rFonts w:ascii="MS PGothic" w:cs="MS PGothic" w:eastAsia="MS PGothic" w:hAnsi="MS PGothic"/>
          <w:sz w:val="16"/>
          <w:szCs w:val="16"/>
          <w:color w:val="auto"/>
        </w:rPr>
        <w:t>‑</w:t>
      </w:r>
      <w:r>
        <w:rPr>
          <w:rFonts w:ascii="Arial" w:cs="Arial" w:eastAsia="Arial" w:hAnsi="Arial"/>
          <w:sz w:val="16"/>
          <w:szCs w:val="16"/>
          <w:color w:val="auto"/>
        </w:rPr>
        <w:t>exclusive, subject to the limitation that each of Broad and Harvard would only be permitted to grant a license to only one third party at a time with respect to each such target within the field of the exclusive license, and to revise certain provisions relating to the rights of Harvard and Broad to grant further licenses under specified circumstances to third parties that wish to develop and commercialize products that target a particular gene and that otherwise would fall within the scope of the exclusive license under this agreement, so that Harvard and Broad together would have rights substantially similar to the equivalent rights possessed by Broad under the Cpf1 License Agreement to designate gene targets for which the designating institution, whether alone or together with an affiliate or third party, has an interest in researching and developing products that would otherwise be covered by rights licensed by Harvard and/or Broad to the Company under this agreement, the Cpf1 License Agreement or the Cas9</w:t>
      </w:r>
      <w:r>
        <w:rPr>
          <w:rFonts w:ascii="MS PGothic" w:cs="MS PGothic" w:eastAsia="MS PGothic" w:hAnsi="MS PGothic"/>
          <w:sz w:val="16"/>
          <w:szCs w:val="16"/>
          <w:color w:val="auto"/>
        </w:rPr>
        <w:t>‑</w:t>
      </w:r>
      <w:r>
        <w:rPr>
          <w:rFonts w:ascii="Arial" w:cs="Arial" w:eastAsia="Arial" w:hAnsi="Arial"/>
          <w:sz w:val="16"/>
          <w:szCs w:val="16"/>
          <w:color w:val="auto"/>
        </w:rPr>
        <w:t>II Agreement. In March 2017, the Company and Harvard and Broad further amended the Amended and Restated Cas9-I License Agreement to (i) grant an exclusive license from Broad to the Company with respect to certain patent rights that The Rockefeller University (“Rockefeller”) has or may have rights in and to and for which Rockefeller has, under a certain inter-institutional agreement that Broad and Rockefeller entered into in February 2017, appointed Broad as sole and exclusive agent for the purposes of licensing and (ii) provide to Rockefeller certain rights, including with respect to patent enforcement, indemnification, insurance, confidentiality, reservation of certain rights, and publicity, that are generally consistent with those granted to Broad, Harvard, MIT and the Howard Hughes Medical Institute under the Amended and Restated Cas9-I License Agreement, as amended.</w:t>
      </w:r>
    </w:p>
    <w:p>
      <w:pPr>
        <w:spacing w:after="0" w:line="200"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Cas9</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II License Agreement</w:t>
      </w:r>
    </w:p>
    <w:p>
      <w:pPr>
        <w:spacing w:after="0" w:line="144"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Pursuant to the Cas9</w:t>
      </w:r>
      <w:r>
        <w:rPr>
          <w:rFonts w:ascii="MS PGothic" w:cs="MS PGothic" w:eastAsia="MS PGothic" w:hAnsi="MS PGothic"/>
          <w:sz w:val="17"/>
          <w:szCs w:val="17"/>
          <w:color w:val="auto"/>
        </w:rPr>
        <w:t>‑</w:t>
      </w:r>
      <w:r>
        <w:rPr>
          <w:rFonts w:ascii="Arial" w:cs="Arial" w:eastAsia="Arial" w:hAnsi="Arial"/>
          <w:sz w:val="17"/>
          <w:szCs w:val="17"/>
          <w:color w:val="auto"/>
        </w:rPr>
        <w:t>II License Agreement, Broad, on behalf of itself, MIT, Harvard, and the University of Iowa Research Foundation, granted the Company an exclusive, worldwide, royalty bearing sublicensable license to certain of the Cas9</w:t>
      </w:r>
      <w:r>
        <w:rPr>
          <w:rFonts w:ascii="MS PGothic" w:cs="MS PGothic" w:eastAsia="MS PGothic" w:hAnsi="MS PGothic"/>
          <w:sz w:val="17"/>
          <w:szCs w:val="17"/>
          <w:color w:val="auto"/>
        </w:rPr>
        <w:t>‑</w:t>
      </w:r>
      <w:r>
        <w:rPr>
          <w:rFonts w:ascii="Arial" w:cs="Arial" w:eastAsia="Arial" w:hAnsi="Arial"/>
          <w:sz w:val="17"/>
          <w:szCs w:val="17"/>
          <w:color w:val="auto"/>
        </w:rPr>
        <w:t>II Patent Rights as well as a non</w:t>
      </w:r>
      <w:r>
        <w:rPr>
          <w:rFonts w:ascii="MS PGothic" w:cs="MS PGothic" w:eastAsia="MS PGothic" w:hAnsi="MS PGothic"/>
          <w:sz w:val="17"/>
          <w:szCs w:val="17"/>
          <w:color w:val="auto"/>
        </w:rPr>
        <w:t>‑</w:t>
      </w:r>
      <w:r>
        <w:rPr>
          <w:rFonts w:ascii="Arial" w:cs="Arial" w:eastAsia="Arial" w:hAnsi="Arial"/>
          <w:sz w:val="17"/>
          <w:szCs w:val="17"/>
          <w:color w:val="auto"/>
        </w:rPr>
        <w:t>exclusive, worldwide, royalty</w:t>
      </w:r>
      <w:r>
        <w:rPr>
          <w:rFonts w:ascii="MS PGothic" w:cs="MS PGothic" w:eastAsia="MS PGothic" w:hAnsi="MS PGothic"/>
          <w:sz w:val="17"/>
          <w:szCs w:val="17"/>
          <w:color w:val="auto"/>
        </w:rPr>
        <w:t>‑</w:t>
      </w:r>
      <w:r>
        <w:rPr>
          <w:rFonts w:ascii="Arial" w:cs="Arial" w:eastAsia="Arial" w:hAnsi="Arial"/>
          <w:sz w:val="17"/>
          <w:szCs w:val="17"/>
          <w:color w:val="auto"/>
        </w:rPr>
        <w:t>bearing sublicensable license to all of the Cas9</w:t>
      </w:r>
      <w:r>
        <w:rPr>
          <w:rFonts w:ascii="MS PGothic" w:cs="MS PGothic" w:eastAsia="MS PGothic" w:hAnsi="MS PGothic"/>
          <w:sz w:val="17"/>
          <w:szCs w:val="17"/>
          <w:color w:val="auto"/>
        </w:rPr>
        <w:t>‑</w:t>
      </w:r>
      <w:r>
        <w:rPr>
          <w:rFonts w:ascii="Arial" w:cs="Arial" w:eastAsia="Arial" w:hAnsi="Arial"/>
          <w:sz w:val="17"/>
          <w:szCs w:val="17"/>
          <w:color w:val="auto"/>
        </w:rPr>
        <w:t>II Patent Rights, in each case on terms substantially similar to the licenses granted to the Company under the Cpf1 License Agreement except, among other things, for the following commitment amounts. Under the Cas9</w:t>
      </w:r>
      <w:r>
        <w:rPr>
          <w:rFonts w:ascii="MS PGothic" w:cs="MS PGothic" w:eastAsia="MS PGothic" w:hAnsi="MS PGothic"/>
          <w:sz w:val="17"/>
          <w:szCs w:val="17"/>
          <w:color w:val="auto"/>
        </w:rPr>
        <w:t>‑</w:t>
      </w:r>
      <w:r>
        <w:rPr>
          <w:rFonts w:ascii="Arial" w:cs="Arial" w:eastAsia="Arial" w:hAnsi="Arial"/>
          <w:sz w:val="17"/>
          <w:szCs w:val="17"/>
          <w:color w:val="auto"/>
        </w:rPr>
        <w:t>II License Agreement, the Company will pay an upfront license fee in a low seven digit dollar amount and will have to pay an annual license maintenance fee. The Company is obligated to pay clinical and regulatory milestone payments per licensed product approved in the United States, European Union and Japan for the prevention or treatment of a human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7" w:name="page168"/>
    <w:bookmarkEnd w:id="1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disease that afflicts at least a specified number of patients in the aggregate in the United States totaling up to $3.7 million in the aggregate, and sales milestone payments for any such licensed product totaling up to $13.5 million in the aggregate. In addition, the Company is obligated to pay clinical and regulatory milestone payments totaling up to $1.1 million in the aggregate per licensed product approved in the United States and the European Union or Japan for the prevention or treatment of a human disease that afflicts fewer than a specified number of patients in the United States, plus sales milestone payments of up to $9.0 million for any such licensed product. Consistent with the Cpf1 License Agreement, the licensors are entitled to royalties on net sales of products for the prevention or treatment of human disease and other products and services made by the Company, its affiliates, or its sublicensees. Royalties due under other license agreements are creditable against these royalties up to a specified amount in the same period. Lastly, Broad is entitled to receive success payments if the Company’s market capitalization reaches specified thresholds ascending from $1.0 billion to $9.0 billion or upon a sale of the Company for consideration in excess of those thresholds. The potential success payments range from a low seven digit dollar amount to a low eight digit dollar amount and will not exceed, in aggregate, $30.0 million, which maximum amount would be owed only if the Company reaches a market capitalization threshold of $9.0 billion and has at least one product candidate covered by a claim of a patent right licensed to the Company under either the Cas9 II License Agreement or the Cas9-I License Agreement that is or was the subject of a clinical trial pursuant to development efforts by the Company or any Company affiliate or sublicensee. The Company triggered the first success payment during the fourth quarter of 2017 when the Company’s market capitalization reached $1.0 billion, which the Company settled in January 2018 (see Note 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14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On February 8, 2016, the Company filed a restated certificate of incorporation with the Secretary of State of the State of Delaware. The restated certificate amended and restated the Company’s certificate of incorporation in its entirety to, among other things increase the authorized number of shares of common stock to 195,000,000 shares, eliminate all references to the previously existing series of preferred stock, and authorize 5,000,000 shares of undesignated preferred stock that may be issued from time to time by the Company’s board of directors in one or more series. As of December 31, 2017, the Company had no shares of preferred stock issued or outstanding.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48"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color w:val="auto"/>
        </w:rPr>
        <w:t>The voting, dividend, and liquidation rights of the holders of the common stock are subject to and qualified by the rights, powers, and preferences of holders of the preferred stock that may be issued from time to time. The common stock had the following characteristics as of December 31, 2017:</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w:t>
      </w:r>
    </w:p>
    <w:p>
      <w:pPr>
        <w:spacing w:after="0" w:line="144"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any meeting of stockholders and at the time of any written action in lieu of a meeting.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right="220" w:firstLine="648"/>
        <w:spacing w:after="0" w:line="219" w:lineRule="auto"/>
        <w:rPr>
          <w:sz w:val="20"/>
          <w:szCs w:val="20"/>
          <w:color w:val="auto"/>
        </w:rPr>
      </w:pPr>
      <w:r>
        <w:rPr>
          <w:rFonts w:ascii="Arial" w:cs="Arial" w:eastAsia="Arial" w:hAnsi="Arial"/>
          <w:sz w:val="18"/>
          <w:szCs w:val="18"/>
          <w:color w:val="auto"/>
        </w:rPr>
        <w:t>The holders of shares of common stock are entitled to receive dividends, if and when declared by the Company’s board of directors. Cash dividends may not be declared or paid to holders of shares of common stock until all unpaid dividends on the redeemable convertible preferred stock have been paid in accordance with their terms. No dividends have been declared or paid by the Company since its inception.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8" w:name="page169"/>
    <w:bookmarkEnd w:id="1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Shares Reserved for Future Issuance</w:t>
      </w:r>
    </w:p>
    <w:tbl>
      <w:tblPr>
        <w:tblLayout w:type="fixed"/>
        <w:tblInd w:w="0" w:type="dxa"/>
        <w:tblCellMar>
          <w:top w:w="0" w:type="dxa"/>
          <w:left w:w="0" w:type="dxa"/>
          <w:bottom w:w="0" w:type="dxa"/>
          <w:right w:w="0" w:type="dxa"/>
        </w:tblCellMar>
      </w:tblPr>
      <w:tr>
        <w:trPr>
          <w:trHeight w:val="155"/>
        </w:trPr>
        <w:tc>
          <w:tcPr>
            <w:tcW w:w="5860" w:type="dxa"/>
            <w:vAlign w:val="bottom"/>
          </w:tcPr>
          <w:p>
            <w:pPr>
              <w:spacing w:after="0"/>
              <w:rPr>
                <w:sz w:val="13"/>
                <w:szCs w:val="13"/>
                <w:color w:val="auto"/>
              </w:rPr>
            </w:pPr>
          </w:p>
        </w:tc>
        <w:tc>
          <w:tcPr>
            <w:tcW w:w="2180" w:type="dxa"/>
            <w:vAlign w:val="bottom"/>
            <w:tcBorders>
              <w:bottom w:val="single" w:sz="8" w:color="auto"/>
            </w:tcBorders>
            <w:gridSpan w:val="3"/>
          </w:tcPr>
          <w:p>
            <w:pPr>
              <w:ind w:left="940"/>
              <w:spacing w:after="0" w:line="155" w:lineRule="exact"/>
              <w:rPr>
                <w:sz w:val="20"/>
                <w:szCs w:val="20"/>
                <w:color w:val="auto"/>
              </w:rPr>
            </w:pPr>
            <w:r>
              <w:rPr>
                <w:rFonts w:ascii="Arial" w:cs="Arial" w:eastAsia="Arial" w:hAnsi="Arial"/>
                <w:sz w:val="14"/>
                <w:szCs w:val="14"/>
                <w:b w:val="1"/>
                <w:bCs w:val="1"/>
                <w:color w:val="auto"/>
                <w:w w:val="93"/>
              </w:rPr>
              <w:t>As of December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86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right"/>
              <w:ind w:right="494"/>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93"/>
              <w:spacing w:after="0" w:line="12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9"/>
        </w:trPr>
        <w:tc>
          <w:tcPr>
            <w:tcW w:w="58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Shares reserved for outstanding stock option awards under the 2013 Stock</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1,220,567</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1,595,082</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Incentive Plan, as amended</w:t>
            </w:r>
          </w:p>
        </w:tc>
        <w:tc>
          <w:tcPr>
            <w:tcW w:w="14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7"/>
                <w:szCs w:val="17"/>
                <w:color w:val="auto"/>
              </w:rPr>
              <w:t>Shares reserved for outstanding stock option awards under the 2015 Stock</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2,921,987</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1,569,746</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Incentive Plan</w:t>
            </w:r>
          </w:p>
        </w:tc>
        <w:tc>
          <w:tcPr>
            <w:tcW w:w="1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Shares reserved for outstanding inducement stock option award</w:t>
            </w: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225,000</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7"/>
                <w:szCs w:val="17"/>
                <w:color w:val="auto"/>
              </w:rPr>
              <w:t>Remaining shares reserved, but unissued, for future awards under the 2015</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2,502,338</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2,760,472</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Stock Incentive Plan</w:t>
            </w:r>
          </w:p>
        </w:tc>
        <w:tc>
          <w:tcPr>
            <w:tcW w:w="1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Remaining shares reserved, but unissued, for future awards under the 2015</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751,242</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384,615</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144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1440" w:type="dxa"/>
            <w:vAlign w:val="bottom"/>
          </w:tcPr>
          <w:p>
            <w:pPr>
              <w:jc w:val="right"/>
              <w:spacing w:after="0" w:line="184" w:lineRule="exact"/>
              <w:rPr>
                <w:sz w:val="20"/>
                <w:szCs w:val="20"/>
                <w:color w:val="auto"/>
              </w:rPr>
            </w:pPr>
            <w:r>
              <w:rPr>
                <w:rFonts w:ascii="Arial" w:cs="Arial" w:eastAsia="Arial" w:hAnsi="Arial"/>
                <w:sz w:val="18"/>
                <w:szCs w:val="18"/>
                <w:color w:val="auto"/>
              </w:rPr>
              <w:t>7,621,134</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line="184" w:lineRule="exact"/>
              <w:rPr>
                <w:sz w:val="20"/>
                <w:szCs w:val="20"/>
                <w:color w:val="auto"/>
              </w:rPr>
            </w:pPr>
            <w:r>
              <w:rPr>
                <w:rFonts w:ascii="Arial" w:cs="Arial" w:eastAsia="Arial" w:hAnsi="Arial"/>
                <w:sz w:val="18"/>
                <w:szCs w:val="18"/>
                <w:color w:val="auto"/>
              </w:rPr>
              <w:t>6,309,915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-8890</wp:posOffset>
            </wp:positionV>
            <wp:extent cx="197231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7231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b w:val="1"/>
          <w:bCs w:val="1"/>
          <w:i w:val="1"/>
          <w:iCs w:val="1"/>
          <w:color w:val="auto"/>
        </w:rPr>
        <w:t>March 2017 Common Stock Sales Agreement</w:t>
      </w:r>
    </w:p>
    <w:p>
      <w:pPr>
        <w:spacing w:after="0" w:line="142" w:lineRule="exact"/>
        <w:rPr>
          <w:sz w:val="20"/>
          <w:szCs w:val="20"/>
          <w:color w:val="auto"/>
        </w:rPr>
      </w:pPr>
    </w:p>
    <w:p>
      <w:pPr>
        <w:ind w:firstLine="720"/>
        <w:spacing w:after="0" w:line="236" w:lineRule="auto"/>
        <w:rPr>
          <w:sz w:val="20"/>
          <w:szCs w:val="20"/>
          <w:color w:val="auto"/>
        </w:rPr>
      </w:pPr>
      <w:r>
        <w:rPr>
          <w:rFonts w:ascii="Arial" w:cs="Arial" w:eastAsia="Arial" w:hAnsi="Arial"/>
          <w:sz w:val="16"/>
          <w:szCs w:val="16"/>
          <w:color w:val="auto"/>
        </w:rPr>
        <w:t>In March 2017, the Company entered into a sales agreement with Cowen and Company LLC (“Cowen), under which the Company from time to time can issue and sell shares of its common stock through Cowen in at-the-market offerings (“March 2017 ATM Program”) for aggregate sales proceeds of $50.0 million. The common stock will be distributed at the market prices prevailing at the time of sale. All sales of shares will be made pursuant to an effective shelf registration statement on Form S-3 filed with the SEC. The Company will pay Cowen a commission of 3% of the aggregate gross proceeds the Company receives from all sales of the Company’s common stock under the sales agreement. As of December 31, 2017, the Company had not received any proceeds under the March 2017 ATM Program. Subsequent to December 31, 2017 and during January 2018, the Company sold an aggregate of 1,429,205 common shares under the March 2017 ATM Program at an average price of $34.99 per common share for gross proceeds of $50.0 million.</w:t>
      </w:r>
    </w:p>
    <w:p>
      <w:pPr>
        <w:spacing w:after="0" w:line="137" w:lineRule="exact"/>
        <w:rPr>
          <w:sz w:val="20"/>
          <w:szCs w:val="20"/>
          <w:color w:val="auto"/>
        </w:rPr>
      </w:pPr>
    </w:p>
    <w:p>
      <w:pPr>
        <w:ind w:left="660" w:right="6460" w:hanging="657"/>
        <w:spacing w:after="0" w:line="293" w:lineRule="exact"/>
        <w:tabs>
          <w:tab w:leader="none" w:pos="282"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Stock</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 xml:space="preserve">Based Compensation </w:t>
      </w:r>
      <w:r>
        <w:rPr>
          <w:rFonts w:ascii="Arial" w:cs="Arial" w:eastAsia="Arial" w:hAnsi="Arial"/>
          <w:sz w:val="15"/>
          <w:szCs w:val="15"/>
          <w:b w:val="1"/>
          <w:bCs w:val="1"/>
          <w:i w:val="1"/>
          <w:iCs w:val="1"/>
          <w:color w:val="auto"/>
        </w:rPr>
        <w:t>2013 Stock Incentive Plan</w:t>
      </w:r>
    </w:p>
    <w:p>
      <w:pPr>
        <w:spacing w:after="0" w:line="121"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September 2013, the board of directors adopted the 2013 Stock Incentive Plan, as amended (the “2013 Plan”), which provides for the grant of incentive stock options and nonqualified stock options or other awards including restricted stock awards, unrestricted stock awards, and restricted stock units to the Company’s employees, officers, directors, advisors, and consultants for the purchase of up to 1,057,692 shares of the Company’s common stock. In June 2014, the 2013 Plan was amended to increase the number of shares reserved thereunder by 1,365,384 shares. In April 2015, the 2013 Plan was amended to increase the number of shares reserved thereunder by 153,846 shares. In July 2015, the 2013 Plan was amended to increase the number of shares reserved thereunder by 3,740,847 shares.</w:t>
      </w:r>
    </w:p>
    <w:p>
      <w:pPr>
        <w:spacing w:after="0" w:line="122"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The terms of stock awards agreements, including vesting requirements, are determined by the board of directors and are subject to the provisions of the 2013 Plan. The stock options granted to employees generally vest over a four-year period and expire ten years from the date of grant. Certain awards contain performance based vesting criteria. There has only been one such award to date. Certain options provide for accelerated vesting in the event of a change in control, as defined in the applicable options. Awards granted to non</w:t>
      </w:r>
      <w:r>
        <w:rPr>
          <w:rFonts w:ascii="MS PGothic" w:cs="MS PGothic" w:eastAsia="MS PGothic" w:hAnsi="MS PGothic"/>
          <w:sz w:val="16"/>
          <w:szCs w:val="16"/>
          <w:color w:val="auto"/>
        </w:rPr>
        <w:t>‑</w:t>
      </w:r>
      <w:r>
        <w:rPr>
          <w:rFonts w:ascii="Arial" w:cs="Arial" w:eastAsia="Arial" w:hAnsi="Arial"/>
          <w:sz w:val="16"/>
          <w:szCs w:val="16"/>
          <w:color w:val="auto"/>
        </w:rPr>
        <w:t>employee consultants generally vest monthly over a period of one to four years. In connection with the IPO, the Company’s board of directors determined to grant no further awards under the 2013 Plan.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2015 Stock Incentive Plan</w:t>
      </w:r>
    </w:p>
    <w:p>
      <w:pPr>
        <w:spacing w:after="0" w:line="144"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The Company’s board of directors adopted and the Company’s stockholders approved the 2015 stock incentive plan (the “2015 Plan”), which became effective immediately prior to the effectiveness of the registration statement related to the IPO. The 2015 Plan provides for the grant of incentive stock options, nonstatutory stock options, restricted stock awards, restricted stock units, stock appreciation rights and other stock</w:t>
      </w:r>
      <w:r>
        <w:rPr>
          <w:rFonts w:ascii="MS PGothic" w:cs="MS PGothic" w:eastAsia="MS PGothic" w:hAnsi="MS PGothic"/>
          <w:sz w:val="16"/>
          <w:szCs w:val="16"/>
          <w:color w:val="auto"/>
        </w:rPr>
        <w:t>‑</w:t>
      </w:r>
      <w:r>
        <w:rPr>
          <w:rFonts w:ascii="Arial" w:cs="Arial" w:eastAsia="Arial" w:hAnsi="Arial"/>
          <w:sz w:val="16"/>
          <w:szCs w:val="16"/>
          <w:color w:val="auto"/>
        </w:rPr>
        <w:t>based awards. The Company’s employees, officers, directors and consultants and advisors are eligible to receive awards under the 2015 Plan.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69" w:name="page170"/>
    <w:bookmarkEnd w:id="1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color w:val="auto"/>
        </w:rPr>
        <w:t>The number of shares reserved for issuance under the 2015 Plan is subject to further increases for (a) any additional shares of the Company’s common stock subject to outstanding awards under the 2013 Plan that expire, terminate, or are otherwise surrendered, cancelled, forfeited, or repurchased by the Company at their original issuance price pursuant to a contractual repurchase right and (b) annual increases, to be added as of the first day of each fiscal year, from January 1, 2017 until, and including, January 1, 2026, equal to the lowest of 2,923,076 shares of common stock, 4% of the number of shares of common stock outstanding on such first day of the fiscal year in question and an amount determined by the Company’s board of directors. On January 1, 2018, the Company increased the shares under the 2015 Plan by 1,801,017 shares.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board of directors adopted and the Company’s stockholders approved the 2015 employee stock</w:t>
      </w:r>
    </w:p>
    <w:p>
      <w:pPr>
        <w:spacing w:after="0"/>
        <w:rPr>
          <w:sz w:val="20"/>
          <w:szCs w:val="20"/>
          <w:color w:val="auto"/>
        </w:rPr>
      </w:pPr>
      <w:r>
        <w:rPr>
          <w:rFonts w:ascii="Arial" w:cs="Arial" w:eastAsia="Arial" w:hAnsi="Arial"/>
          <w:sz w:val="16"/>
          <w:szCs w:val="16"/>
          <w:color w:val="auto"/>
        </w:rPr>
        <w:t>purchase plan (the “2015 ESPP”), which became effective upon the closing of the IPO. The number of shares reserved for</w:t>
      </w:r>
    </w:p>
    <w:p>
      <w:pPr>
        <w:spacing w:after="0" w:line="215" w:lineRule="auto"/>
        <w:rPr>
          <w:sz w:val="20"/>
          <w:szCs w:val="20"/>
          <w:color w:val="auto"/>
        </w:rPr>
      </w:pPr>
      <w:r>
        <w:rPr>
          <w:rFonts w:ascii="Arial" w:cs="Arial" w:eastAsia="Arial" w:hAnsi="Arial"/>
          <w:sz w:val="17"/>
          <w:szCs w:val="17"/>
          <w:color w:val="auto"/>
        </w:rPr>
        <w:t>issuance under the 2015 ESPP is subject to annual increases, to be added as of the first day of each fiscal year, from</w:t>
      </w:r>
    </w:p>
    <w:p>
      <w:pPr>
        <w:spacing w:after="0" w:line="229" w:lineRule="auto"/>
        <w:rPr>
          <w:sz w:val="20"/>
          <w:szCs w:val="20"/>
          <w:color w:val="auto"/>
        </w:rPr>
      </w:pPr>
      <w:r>
        <w:rPr>
          <w:rFonts w:ascii="Arial" w:cs="Arial" w:eastAsia="Arial" w:hAnsi="Arial"/>
          <w:sz w:val="16"/>
          <w:szCs w:val="16"/>
          <w:color w:val="auto"/>
        </w:rPr>
        <w:t>January 1, 2017 until, and including, January 1, 2026, in an amount equal to the least of (a) 769,230 shares of common stock,</w:t>
      </w:r>
    </w:p>
    <w:p>
      <w:pPr>
        <w:ind w:right="160" w:firstLine="3"/>
        <w:spacing w:after="0" w:line="231" w:lineRule="auto"/>
        <w:tabs>
          <w:tab w:leader="none" w:pos="2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1% of the total number of shares of common stock outstanding on the first day of the applicable year, and (c) an amount determined by the board of directors. The first offering under the 2015 ESPP opened on December 1, 2017. On January 1, 2018, the Company increased the shares under the 2015 ESPP Plan by 450,254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Founder Awards</w:t>
      </w:r>
    </w:p>
    <w:p>
      <w:pPr>
        <w:spacing w:after="0" w:line="144"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7"/>
          <w:szCs w:val="17"/>
          <w:color w:val="auto"/>
        </w:rPr>
        <w:t>In September 2013, the Company issued 2,403,845 shares of restricted stock to its non</w:t>
      </w:r>
      <w:r>
        <w:rPr>
          <w:rFonts w:ascii="MS PGothic" w:cs="MS PGothic" w:eastAsia="MS PGothic" w:hAnsi="MS PGothic"/>
          <w:sz w:val="17"/>
          <w:szCs w:val="17"/>
          <w:color w:val="auto"/>
        </w:rPr>
        <w:t>‑</w:t>
      </w:r>
      <w:r>
        <w:rPr>
          <w:rFonts w:ascii="Arial" w:cs="Arial" w:eastAsia="Arial" w:hAnsi="Arial"/>
          <w:sz w:val="17"/>
          <w:szCs w:val="17"/>
          <w:color w:val="auto"/>
        </w:rPr>
        <w:t>employee founders for services rendered subject to certain repurchase rights. The shares vested 25% upon the first issuance of shares of Series A Preferred Stock and then 1.5625% a month through the fourth anniversary of the vesting commencement date. These shares of restricted stock were subject to repurchase rights. Accordingly, the Company recorded the proceeds from the issuance of restricted stock as a liability in its consolidated balance sheets. The restricted stock liability was reclassified into stockholders’ equity (deficit) as the restricted stock vested. In June 2014, one founder ceased to be in the Company’s service and the Company repurchased 285,457 shares of unvested restricted stock from the founder for $74. The remaining founder awards completed vesting in August 2017.</w:t>
      </w:r>
    </w:p>
    <w:p>
      <w:pPr>
        <w:spacing w:after="0" w:line="127" w:lineRule="exact"/>
        <w:rPr>
          <w:sz w:val="20"/>
          <w:szCs w:val="20"/>
          <w:color w:val="auto"/>
        </w:rPr>
      </w:pPr>
    </w:p>
    <w:p>
      <w:pPr>
        <w:ind w:right="140" w:firstLine="648"/>
        <w:spacing w:after="0" w:line="203"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associated with these awards was recognized as the awards vested. Unvested awards were remeasured at each reporting period end to reflect the current fair value of such awards on a straight</w:t>
      </w:r>
      <w:r>
        <w:rPr>
          <w:rFonts w:ascii="MS PGothic" w:cs="MS PGothic" w:eastAsia="MS PGothic" w:hAnsi="MS PGothic"/>
          <w:sz w:val="16"/>
          <w:szCs w:val="16"/>
          <w:color w:val="auto"/>
        </w:rPr>
        <w:t>‑</w:t>
      </w:r>
      <w:r>
        <w:rPr>
          <w:rFonts w:ascii="Arial" w:cs="Arial" w:eastAsia="Arial" w:hAnsi="Arial"/>
          <w:sz w:val="16"/>
          <w:szCs w:val="16"/>
          <w:color w:val="auto"/>
        </w:rPr>
        <w:t>line basis.</w:t>
      </w:r>
    </w:p>
    <w:p>
      <w:pPr>
        <w:spacing w:after="0" w:line="12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44" w:lineRule="exact"/>
        <w:rPr>
          <w:sz w:val="20"/>
          <w:szCs w:val="20"/>
          <w:color w:val="auto"/>
        </w:rPr>
      </w:pPr>
    </w:p>
    <w:p>
      <w:pPr>
        <w:ind w:right="440" w:firstLine="648"/>
        <w:spacing w:after="0" w:line="203" w:lineRule="exact"/>
        <w:rPr>
          <w:sz w:val="20"/>
          <w:szCs w:val="20"/>
          <w:color w:val="auto"/>
        </w:rPr>
      </w:pPr>
      <w:r>
        <w:rPr>
          <w:rFonts w:ascii="Arial" w:cs="Arial" w:eastAsia="Arial" w:hAnsi="Arial"/>
          <w:sz w:val="18"/>
          <w:szCs w:val="18"/>
          <w:color w:val="auto"/>
        </w:rPr>
        <w:t>Total compensation cost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consolidated statements of operations was as follows (in thousands):</w:t>
      </w:r>
    </w:p>
    <w:p>
      <w:pPr>
        <w:spacing w:after="0" w:line="117"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Year Ended</w:t>
      </w:r>
    </w:p>
    <w:p>
      <w:pPr>
        <w:ind w:left="724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63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4"/>
              <w:spacing w:after="0" w:line="136"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4"/>
              <w:spacing w:after="0" w:line="136"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4"/>
              <w:spacing w:after="0" w:line="136" w:lineRule="exact"/>
              <w:rPr>
                <w:sz w:val="20"/>
                <w:szCs w:val="20"/>
                <w:color w:val="auto"/>
              </w:rPr>
            </w:pPr>
            <w:r>
              <w:rPr>
                <w:rFonts w:ascii="Arial" w:cs="Arial" w:eastAsia="Arial" w:hAnsi="Arial"/>
                <w:sz w:val="14"/>
                <w:szCs w:val="14"/>
                <w:b w:val="1"/>
                <w:bCs w:val="1"/>
                <w:color w:val="auto"/>
              </w:rPr>
              <w:t>2015</w:t>
            </w:r>
          </w:p>
        </w:tc>
      </w:tr>
      <w:tr>
        <w:trPr>
          <w:trHeight w:val="169"/>
        </w:trPr>
        <w:tc>
          <w:tcPr>
            <w:tcW w:w="63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15,131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4,234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3,015</w:t>
            </w:r>
          </w:p>
        </w:tc>
      </w:tr>
      <w:tr>
        <w:trPr>
          <w:trHeight w:val="176"/>
        </w:trPr>
        <w:tc>
          <w:tcPr>
            <w:tcW w:w="63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8,233</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12,647</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498</w:t>
            </w:r>
          </w:p>
        </w:tc>
      </w:tr>
      <w:tr>
        <w:trPr>
          <w:trHeight w:val="176"/>
        </w:trPr>
        <w:tc>
          <w:tcPr>
            <w:tcW w:w="630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stock-compensation expense</w:t>
            </w: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23,364</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16,881</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3,513</w:t>
            </w: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44"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From time to time, upon approval by the Company’s board of directors, certain employees and advisors have been granted restricted shares of common stock. These shares of restricted stock are subject to repurchase rights. Accordingly, the Company has recorded the proceeds from the issuance of restricted stock as a liability in the consolidated balance sheets. The restricted stock liability is reclassified into stockholders’ equity (deficit) as the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0" w:name="page171"/>
    <w:bookmarkEnd w:id="1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restricted stock vests. A summary of the status of and changes in unvested restricted stock as of December 31, 2016 and 2017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7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35"/>
        </w:trPr>
        <w:tc>
          <w:tcPr>
            <w:tcW w:w="7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7260" w:type="dxa"/>
            <w:vAlign w:val="bottom"/>
          </w:tcPr>
          <w:p>
            <w:pPr>
              <w:spacing w:after="0"/>
              <w:rPr>
                <w:sz w:val="11"/>
                <w:szCs w:val="11"/>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8"/>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2"/>
        </w:trPr>
        <w:tc>
          <w:tcPr>
            <w:tcW w:w="7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69"/>
        </w:trPr>
        <w:tc>
          <w:tcPr>
            <w:tcW w:w="72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Unvested Restricted Common Stock as of December 31, 2016</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822,638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76"/>
        </w:trPr>
        <w:tc>
          <w:tcPr>
            <w:tcW w:w="7260" w:type="dxa"/>
            <w:vAlign w:val="bottom"/>
          </w:tcPr>
          <w:p>
            <w:pPr>
              <w:spacing w:after="0" w:line="176" w:lineRule="exact"/>
              <w:rPr>
                <w:sz w:val="20"/>
                <w:szCs w:val="20"/>
                <w:color w:val="auto"/>
              </w:rPr>
            </w:pPr>
            <w:r>
              <w:rPr>
                <w:rFonts w:ascii="Arial" w:cs="Arial" w:eastAsia="Arial" w:hAnsi="Arial"/>
                <w:sz w:val="18"/>
                <w:szCs w:val="18"/>
                <w:color w:val="auto"/>
              </w:rPr>
              <w:t>Issued</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480,000</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176"/>
        </w:trPr>
        <w:tc>
          <w:tcPr>
            <w:tcW w:w="7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Vested</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(784,119)</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76"/>
        </w:trPr>
        <w:tc>
          <w:tcPr>
            <w:tcW w:w="72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Forfeited</w:t>
            </w: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(5,294)</w:t>
            </w:r>
          </w:p>
        </w:tc>
        <w:tc>
          <w:tcPr>
            <w:tcW w:w="320" w:type="dxa"/>
            <w:vAlign w:val="bottom"/>
            <w:tcBorders>
              <w:bottom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76"/>
        </w:trPr>
        <w:tc>
          <w:tcPr>
            <w:tcW w:w="72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Unvested Restricted Common Stock as of December 31, 2017</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513,225</w:t>
            </w:r>
          </w:p>
        </w:tc>
        <w:tc>
          <w:tcPr>
            <w:tcW w:w="32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expense related to restricted stock awards granted to employees and non</w:t>
      </w:r>
      <w:r>
        <w:rPr>
          <w:rFonts w:ascii="MS PGothic" w:cs="MS PGothic" w:eastAsia="MS PGothic" w:hAnsi="MS PGothic"/>
          <w:sz w:val="18"/>
          <w:szCs w:val="18"/>
          <w:color w:val="auto"/>
        </w:rPr>
        <w:t>‑</w:t>
      </w:r>
      <w:r>
        <w:rPr>
          <w:rFonts w:ascii="Arial" w:cs="Arial" w:eastAsia="Arial" w:hAnsi="Arial"/>
          <w:sz w:val="18"/>
          <w:szCs w:val="18"/>
          <w:color w:val="auto"/>
        </w:rPr>
        <w:t>employees was $0.5 million and $4.1 million, respectively, for the year ended December 31, 2017. The expense related to restricted stock awards granted to employees and non</w:t>
      </w:r>
      <w:r>
        <w:rPr>
          <w:rFonts w:ascii="MS PGothic" w:cs="MS PGothic" w:eastAsia="MS PGothic" w:hAnsi="MS PGothic"/>
          <w:sz w:val="18"/>
          <w:szCs w:val="18"/>
          <w:color w:val="auto"/>
        </w:rPr>
        <w:t>‑</w:t>
      </w:r>
      <w:r>
        <w:rPr>
          <w:rFonts w:ascii="Arial" w:cs="Arial" w:eastAsia="Arial" w:hAnsi="Arial"/>
          <w:sz w:val="18"/>
          <w:szCs w:val="18"/>
          <w:color w:val="auto"/>
        </w:rPr>
        <w:t>employees was $0 and $8.3 million, respectively, for the year ended December 31, 2016. The expense related to restricted stock awards granted to employees and non-employees was $0 and $2.3 million, respectively, for the year ended December 31, 2015.</w:t>
      </w:r>
    </w:p>
    <w:p>
      <w:pPr>
        <w:spacing w:after="0" w:line="122"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7"/>
          <w:szCs w:val="17"/>
          <w:color w:val="auto"/>
        </w:rPr>
        <w:t>As of December 31, 2017, the Company had no unrecognized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its employee unvested restricted stock awards. As of December 31, 2017, the Company had unrecognized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its non</w:t>
      </w:r>
      <w:r>
        <w:rPr>
          <w:rFonts w:ascii="MS PGothic" w:cs="MS PGothic" w:eastAsia="MS PGothic" w:hAnsi="MS PGothic"/>
          <w:sz w:val="17"/>
          <w:szCs w:val="17"/>
          <w:color w:val="auto"/>
        </w:rPr>
        <w:t>‑</w:t>
      </w:r>
      <w:r>
        <w:rPr>
          <w:rFonts w:ascii="Arial" w:cs="Arial" w:eastAsia="Arial" w:hAnsi="Arial"/>
          <w:sz w:val="17"/>
          <w:szCs w:val="17"/>
          <w:color w:val="auto"/>
        </w:rPr>
        <w:t>employee unvested restricted stock awards of $10.3 million which is expected to be recognized over a remaining weighted average vesting period of 4.7 years.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144"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Certain of the Company’s stock option agreements allow for the exercise of unvested awards. During 2014, options to purchase 75,304 shares of common stock for $0.03 per share were exercised prior to their vesting. The unvested shares are subject to repurchase by the Company if the employees cease to provide service to the Company, with or without cause. As such, the Company does not treat the exercise of unvested options as a substantive exercise. The Company has recorded the proceeds from the exercise of unvested stock options as a liability in the consolidated balance sheets. The liability for unvested common stock subject to repurchase is reclassified into stockholders’ equity (deficit) as the shares vest.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stock option activity for the year ended December 31,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Weighted Average</w:t>
            </w: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5"/>
              </w:rPr>
              <w:t>Contractual Life</w:t>
            </w:r>
          </w:p>
        </w:tc>
        <w:tc>
          <w:tcPr>
            <w:tcW w:w="14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169"/>
        </w:trPr>
        <w:tc>
          <w:tcPr>
            <w:tcW w:w="41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Outstanding at December 31, 2016</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3,411,783</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13.71</w:t>
            </w:r>
          </w:p>
        </w:tc>
        <w:tc>
          <w:tcPr>
            <w:tcW w:w="1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8.8</w:t>
            </w: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16,190</w:t>
            </w:r>
          </w:p>
        </w:tc>
        <w:tc>
          <w:tcPr>
            <w:tcW w:w="0" w:type="dxa"/>
            <w:vAlign w:val="bottom"/>
          </w:tcPr>
          <w:p>
            <w:pPr>
              <w:spacing w:after="0"/>
              <w:rPr>
                <w:sz w:val="1"/>
                <w:szCs w:val="1"/>
                <w:color w:val="auto"/>
              </w:rPr>
            </w:pPr>
          </w:p>
        </w:tc>
      </w:tr>
      <w:tr>
        <w:trPr>
          <w:trHeight w:val="176"/>
        </w:trPr>
        <w:tc>
          <w:tcPr>
            <w:tcW w:w="418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1,392,689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(289,583)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180" w:type="dxa"/>
            <w:vAlign w:val="bottom"/>
          </w:tcPr>
          <w:p>
            <w:pPr>
              <w:ind w:left="220"/>
              <w:spacing w:after="0" w:line="176" w:lineRule="exact"/>
              <w:rPr>
                <w:sz w:val="20"/>
                <w:szCs w:val="20"/>
                <w:color w:val="auto"/>
              </w:rPr>
            </w:pPr>
            <w:r>
              <w:rPr>
                <w:rFonts w:ascii="Arial" w:cs="Arial" w:eastAsia="Arial" w:hAnsi="Arial"/>
                <w:sz w:val="18"/>
                <w:szCs w:val="18"/>
                <w:color w:val="auto"/>
              </w:rPr>
              <w:t>Cancelled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(142,753)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1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Outstanding at December 31, 2017</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4,372,136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17.28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60,591</w:t>
            </w:r>
          </w:p>
        </w:tc>
        <w:tc>
          <w:tcPr>
            <w:tcW w:w="0" w:type="dxa"/>
            <w:vAlign w:val="bottom"/>
          </w:tcPr>
          <w:p>
            <w:pPr>
              <w:spacing w:after="0"/>
              <w:rPr>
                <w:sz w:val="1"/>
                <w:szCs w:val="1"/>
                <w:color w:val="auto"/>
              </w:rPr>
            </w:pPr>
          </w:p>
        </w:tc>
      </w:tr>
      <w:tr>
        <w:trPr>
          <w:trHeight w:val="170"/>
        </w:trPr>
        <w:tc>
          <w:tcPr>
            <w:tcW w:w="418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Vested and expected to vest at December 31, 2017</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4,372,126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17.28</w:t>
            </w: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8.5</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60,591</w:t>
            </w:r>
          </w:p>
        </w:tc>
        <w:tc>
          <w:tcPr>
            <w:tcW w:w="0" w:type="dxa"/>
            <w:vAlign w:val="bottom"/>
          </w:tcPr>
          <w:p>
            <w:pPr>
              <w:spacing w:after="0"/>
              <w:rPr>
                <w:sz w:val="1"/>
                <w:szCs w:val="1"/>
                <w:color w:val="auto"/>
              </w:rPr>
            </w:pPr>
          </w:p>
        </w:tc>
      </w:tr>
      <w:tr>
        <w:trPr>
          <w:trHeight w:val="183"/>
        </w:trPr>
        <w:tc>
          <w:tcPr>
            <w:tcW w:w="41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Exercisable at December 31, 2017</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1,540,023</w:t>
            </w:r>
          </w:p>
        </w:tc>
        <w:tc>
          <w:tcPr>
            <w:tcW w:w="2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14.95</w:t>
            </w: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8.3</w:t>
            </w:r>
          </w:p>
        </w:tc>
        <w:tc>
          <w:tcPr>
            <w:tcW w:w="560" w:type="dxa"/>
            <w:vAlign w:val="bottom"/>
            <w:tcBorders>
              <w:bottom w:val="single" w:sz="8" w:color="CCEEFF"/>
            </w:tcBorders>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25,099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 table above reflects unvested stock options as exercised on the dates that the shares are no longer subject to repurchase. The Company had 4,572 and 21,955 shares of unvested common stock at December 31, 2017 and 2016 related to the exercise of unvested stock options.</w:t>
      </w:r>
    </w:p>
    <w:p>
      <w:pPr>
        <w:spacing w:after="0" w:line="123"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The total intrinsic value of options exercised for the years ended December 31, 2017, 2016, and 2015 was $5.0 million, $0.9 million, and $0.1 million,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1" w:name="page172"/>
    <w:bookmarkEnd w:id="1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weighted average fair value of options granted to employees and directors during the years ended December 31, 2017, 2016, and 2015 was $16.07, $14.10, and $5.91, respectively. The expense related to options granted to employees and directors was $12.3 million, $6.0 million, and $0.7 million for the years ended December 31, 2017, 2016, and 2015, respectively.</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of each option issued to employees and directors was estimated at the date of grant using the</w:t>
      </w:r>
    </w:p>
    <w:p>
      <w:pPr>
        <w:spacing w:after="0" w:line="207" w:lineRule="exact"/>
        <w:rPr>
          <w:sz w:val="20"/>
          <w:szCs w:val="20"/>
          <w:color w:val="auto"/>
        </w:rPr>
      </w:pPr>
      <w:r>
        <w:rPr>
          <w:rFonts w:ascii="Arial" w:cs="Arial" w:eastAsia="Arial" w:hAnsi="Arial"/>
          <w:sz w:val="18"/>
          <w:szCs w:val="18"/>
          <w:color w:val="auto"/>
        </w:rPr>
        <w:t>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7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1"/>
                <w:szCs w:val="11"/>
                <w:color w:val="auto"/>
              </w:rPr>
            </w:pPr>
          </w:p>
        </w:tc>
        <w:tc>
          <w:tcPr>
            <w:tcW w:w="980" w:type="dxa"/>
            <w:vAlign w:val="bottom"/>
            <w:gridSpan w:val="2"/>
          </w:tcPr>
          <w:p>
            <w:pPr>
              <w:jc w:val="right"/>
              <w:ind w:right="50"/>
              <w:spacing w:after="0" w:line="135" w:lineRule="exact"/>
              <w:rPr>
                <w:sz w:val="20"/>
                <w:szCs w:val="20"/>
                <w:color w:val="auto"/>
              </w:rPr>
            </w:pPr>
            <w:r>
              <w:rPr>
                <w:rFonts w:ascii="Arial" w:cs="Arial" w:eastAsia="Arial" w:hAnsi="Arial"/>
                <w:sz w:val="14"/>
                <w:szCs w:val="14"/>
                <w:b w:val="1"/>
                <w:bCs w:val="1"/>
                <w:color w:val="auto"/>
                <w:w w:val="90"/>
              </w:rPr>
              <w:t>December 31,</w:t>
            </w:r>
          </w:p>
        </w:tc>
        <w:tc>
          <w:tcPr>
            <w:tcW w:w="7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78.8 %</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2.1 %</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00" w:firstLine="648"/>
        <w:spacing w:after="0" w:line="181" w:lineRule="exact"/>
        <w:rPr>
          <w:sz w:val="20"/>
          <w:szCs w:val="20"/>
          <w:color w:val="auto"/>
        </w:rPr>
      </w:pPr>
      <w:r>
        <w:rPr>
          <w:rFonts w:ascii="Arial" w:cs="Arial" w:eastAsia="Arial" w:hAnsi="Arial"/>
          <w:sz w:val="18"/>
          <w:szCs w:val="18"/>
          <w:color w:val="auto"/>
        </w:rPr>
        <w:t>There were no options granted to persons other than employees and directors during the year ended December 31, 2017. For the year ended December 31, 2017, 2016 and 2015, the fair value of each option issued to persons other than employees and directors was estimated at the date of grant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 set forth in the table below:</w:t>
      </w:r>
    </w:p>
    <w:tbl>
      <w:tblPr>
        <w:tblLayout w:type="fixed"/>
        <w:tblInd w:w="0" w:type="dxa"/>
        <w:tblCellMar>
          <w:top w:w="0" w:type="dxa"/>
          <w:left w:w="0" w:type="dxa"/>
          <w:bottom w:w="0" w:type="dxa"/>
          <w:right w:w="0" w:type="dxa"/>
        </w:tblCellMar>
      </w:tblPr>
      <w:tr>
        <w:trPr>
          <w:trHeight w:val="131"/>
        </w:trPr>
        <w:tc>
          <w:tcPr>
            <w:tcW w:w="4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30"/>
              <w:spacing w:after="0" w:line="131" w:lineRule="exact"/>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December 31,</w:t>
            </w: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4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As of December 31, 2017, the Company had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its employee stock options of $33.4 million which the Company expects to recognize over a remaining weighted average vesting period of 2.5 years.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401(k) Savings Plan</w:t>
      </w:r>
    </w:p>
    <w:p>
      <w:pPr>
        <w:spacing w:after="0" w:line="148"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Company has a defined</w:t>
      </w:r>
      <w:r>
        <w:rPr>
          <w:rFonts w:ascii="MS PGothic" w:cs="MS PGothic" w:eastAsia="MS PGothic" w:hAnsi="MS PGothic"/>
          <w:sz w:val="16"/>
          <w:szCs w:val="16"/>
          <w:color w:val="auto"/>
        </w:rPr>
        <w:t>‑</w:t>
      </w:r>
      <w:r>
        <w:rPr>
          <w:rFonts w:ascii="Arial" w:cs="Arial" w:eastAsia="Arial" w:hAnsi="Arial"/>
          <w:sz w:val="16"/>
          <w:szCs w:val="16"/>
          <w:color w:val="auto"/>
        </w:rPr>
        <w:t>contribution savings plan under Section 401(k) of the Internal Revenue Code of 1986, as amended (the “401(k) Plan”). The 401(k) Plan covers all employees who meet defined minimum age and service requirements, and allows participants to defer a portion of their annual compensation on a pretax basis. Effective in 2017, the Company will provide a 200% match of employee contributions up to a limit on the Company’s contributions of the lesser of $6,000 and 3% of the employee’s salary. The Company made $0.5 million in contributions to the 401(k) Plan for the year ended December 31, 2017 and did not make any contributions for the years ended December 31, 2016 and 2015,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48" w:lineRule="exact"/>
        <w:rPr>
          <w:sz w:val="20"/>
          <w:szCs w:val="20"/>
          <w:color w:val="auto"/>
        </w:rPr>
      </w:pPr>
    </w:p>
    <w:p>
      <w:pPr>
        <w:ind w:right="180" w:firstLine="648"/>
        <w:spacing w:after="0" w:line="215" w:lineRule="auto"/>
        <w:rPr>
          <w:sz w:val="20"/>
          <w:szCs w:val="20"/>
          <w:color w:val="auto"/>
        </w:rPr>
      </w:pPr>
      <w:r>
        <w:rPr>
          <w:rFonts w:ascii="Arial" w:cs="Arial" w:eastAsia="Arial" w:hAnsi="Arial"/>
          <w:sz w:val="18"/>
          <w:szCs w:val="18"/>
          <w:color w:val="auto"/>
        </w:rPr>
        <w:t>A reconciliation of the income tax expense computed using the federal statutory income tax rate to the Company’s effective income tax rate is as follows:</w:t>
      </w:r>
    </w:p>
    <w:p>
      <w:pPr>
        <w:jc w:val="center"/>
        <w:ind w:left="5820"/>
        <w:spacing w:after="0" w:line="203" w:lineRule="auto"/>
        <w:rPr>
          <w:sz w:val="20"/>
          <w:szCs w:val="20"/>
          <w:color w:val="auto"/>
        </w:rPr>
      </w:pPr>
      <w:r>
        <w:rPr>
          <w:rFonts w:ascii="Arial" w:cs="Arial" w:eastAsia="Arial" w:hAnsi="Arial"/>
          <w:sz w:val="14"/>
          <w:szCs w:val="14"/>
          <w:b w:val="1"/>
          <w:bCs w:val="1"/>
          <w:color w:val="auto"/>
        </w:rPr>
        <w:t>Year Ended</w:t>
      </w:r>
    </w:p>
    <w:p>
      <w:pPr>
        <w:jc w:val="center"/>
        <w:ind w:left="582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3960" w:type="dxa"/>
            <w:vAlign w:val="bottom"/>
            <w:tcBorders>
              <w:bottom w:val="single" w:sz="8" w:color="CCEEFF"/>
            </w:tcBorders>
          </w:tcPr>
          <w:p>
            <w:pPr>
              <w:spacing w:after="0"/>
              <w:rPr>
                <w:sz w:val="11"/>
                <w:szCs w:val="11"/>
                <w:color w:val="auto"/>
              </w:rPr>
            </w:pPr>
          </w:p>
        </w:tc>
        <w:tc>
          <w:tcPr>
            <w:tcW w:w="202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199"/>
              <w:spacing w:after="0" w:line="136"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192"/>
              <w:spacing w:after="0" w:line="136"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192"/>
              <w:spacing w:after="0" w:line="136"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1"/>
                <w:szCs w:val="1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computed at federal statutory tax rate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General business credit carryovers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176"/>
        </w:trPr>
        <w:tc>
          <w:tcPr>
            <w:tcW w:w="3960" w:type="dxa"/>
            <w:vAlign w:val="bottom"/>
          </w:tcPr>
          <w:p>
            <w:pPr>
              <w:spacing w:after="0" w:line="176" w:lineRule="exact"/>
              <w:rPr>
                <w:sz w:val="20"/>
                <w:szCs w:val="20"/>
                <w:color w:val="auto"/>
              </w:rPr>
            </w:pPr>
            <w:r>
              <w:rPr>
                <w:rFonts w:ascii="Arial" w:cs="Arial" w:eastAsia="Arial" w:hAnsi="Arial"/>
                <w:sz w:val="18"/>
                <w:szCs w:val="18"/>
                <w:color w:val="auto"/>
              </w:rPr>
              <w:t>Non-deductible expenses</w:t>
            </w:r>
          </w:p>
        </w:tc>
        <w:tc>
          <w:tcPr>
            <w:tcW w:w="30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(2.1)%</w:t>
            </w:r>
          </w:p>
        </w:tc>
        <w:tc>
          <w:tcPr>
            <w:tcW w:w="10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(3.6)%</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(17.9)%</w:t>
            </w:r>
          </w:p>
        </w:tc>
      </w:tr>
      <w:tr>
        <w:trPr>
          <w:trHeight w:val="176"/>
        </w:trPr>
        <w:tc>
          <w:tcPr>
            <w:tcW w:w="3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Federal tax rate reduction</w:t>
            </w:r>
          </w:p>
        </w:tc>
        <w:tc>
          <w:tcPr>
            <w:tcW w:w="306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(24.7)%</w:t>
            </w:r>
          </w:p>
        </w:tc>
        <w:tc>
          <w:tcPr>
            <w:tcW w:w="10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w:t>
            </w:r>
          </w:p>
        </w:tc>
      </w:tr>
      <w:tr>
        <w:trPr>
          <w:trHeight w:val="176"/>
        </w:trPr>
        <w:tc>
          <w:tcPr>
            <w:tcW w:w="3960" w:type="dxa"/>
            <w:vAlign w:val="bottom"/>
          </w:tcPr>
          <w:p>
            <w:pPr>
              <w:spacing w:after="0" w:line="176" w:lineRule="exact"/>
              <w:rPr>
                <w:sz w:val="20"/>
                <w:szCs w:val="20"/>
                <w:color w:val="auto"/>
              </w:rPr>
            </w:pPr>
            <w:r>
              <w:rPr>
                <w:rFonts w:ascii="Arial" w:cs="Arial" w:eastAsia="Arial" w:hAnsi="Arial"/>
                <w:sz w:val="18"/>
                <w:szCs w:val="18"/>
                <w:color w:val="auto"/>
              </w:rPr>
              <w:t>Change in valuation allowance</w:t>
            </w:r>
          </w:p>
        </w:tc>
        <w:tc>
          <w:tcPr>
            <w:tcW w:w="30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(15.6)%</w:t>
            </w:r>
          </w:p>
        </w:tc>
        <w:tc>
          <w:tcPr>
            <w:tcW w:w="10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(35.4)%</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(19.4)%</w:t>
            </w:r>
          </w:p>
        </w:tc>
      </w:tr>
      <w:tr>
        <w:trPr>
          <w:trHeight w:val="189"/>
        </w:trPr>
        <w:tc>
          <w:tcPr>
            <w:tcW w:w="3960" w:type="dxa"/>
            <w:vAlign w:val="bottom"/>
            <w:tcBorders>
              <w:top w:val="single" w:sz="8" w:color="CCEEFF"/>
              <w:bottom w:val="single" w:sz="8" w:color="CCEEFF"/>
            </w:tcBorders>
            <w:shd w:val="clear" w:color="auto" w:fill="CCEEFF"/>
          </w:tcPr>
          <w:p>
            <w:pPr>
              <w:spacing w:after="0"/>
              <w:rPr>
                <w:sz w:val="16"/>
                <w:szCs w:val="16"/>
                <w:color w:val="auto"/>
              </w:rPr>
            </w:pPr>
          </w:p>
        </w:tc>
        <w:tc>
          <w:tcPr>
            <w:tcW w:w="202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8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r>
      <w:tr>
        <w:trPr>
          <w:trHeight w:val="757"/>
        </w:trPr>
        <w:tc>
          <w:tcPr>
            <w:tcW w:w="3960" w:type="dxa"/>
            <w:vAlign w:val="bottom"/>
          </w:tcPr>
          <w:p>
            <w:pPr>
              <w:spacing w:after="0"/>
              <w:rPr>
                <w:sz w:val="24"/>
                <w:szCs w:val="24"/>
                <w:color w:val="auto"/>
              </w:rPr>
            </w:pPr>
          </w:p>
        </w:tc>
        <w:tc>
          <w:tcPr>
            <w:tcW w:w="2020" w:type="dxa"/>
            <w:vAlign w:val="bottom"/>
          </w:tcPr>
          <w:p>
            <w:pPr>
              <w:jc w:val="right"/>
              <w:ind w:right="1230"/>
              <w:spacing w:after="0"/>
              <w:rPr>
                <w:sz w:val="20"/>
                <w:szCs w:val="20"/>
                <w:color w:val="auto"/>
              </w:rPr>
            </w:pPr>
            <w:r>
              <w:rPr>
                <w:rFonts w:ascii="Arial" w:cs="Arial" w:eastAsia="Arial" w:hAnsi="Arial"/>
                <w:sz w:val="18"/>
                <w:szCs w:val="18"/>
                <w:color w:val="auto"/>
              </w:rPr>
              <w:t>172</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2"/>
        </w:trPr>
        <w:tc>
          <w:tcPr>
            <w:tcW w:w="396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72" w:name="page173"/>
    <w:bookmarkEnd w:id="1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On December 22, 2017, legislation commonly known as the Tax Cuts and Jobs Act (the “Tax Act”) was signed into law. The Tax Act, among other changes, reduces the U.S. federal corporate tax rate from 34% to 21%, requires taxpayers to pay a one-time transition tax on earnings of certain foreign subsidiaries that were previously tax deferred and creates new taxes on certain foreign sourced earnings. As of December 31, 2017, the Company did not have any foreign subsidiaries and the international aspects of the Tax Act are not applicable.</w:t>
      </w:r>
    </w:p>
    <w:p>
      <w:pPr>
        <w:spacing w:after="0" w:line="121" w:lineRule="exact"/>
        <w:rPr>
          <w:sz w:val="20"/>
          <w:szCs w:val="20"/>
          <w:color w:val="auto"/>
        </w:rPr>
      </w:pPr>
    </w:p>
    <w:p>
      <w:pPr>
        <w:ind w:right="180" w:firstLine="648"/>
        <w:spacing w:after="0" w:line="239" w:lineRule="auto"/>
        <w:rPr>
          <w:sz w:val="20"/>
          <w:szCs w:val="20"/>
          <w:color w:val="auto"/>
        </w:rPr>
      </w:pPr>
      <w:r>
        <w:rPr>
          <w:rFonts w:ascii="Arial" w:cs="Arial" w:eastAsia="Arial" w:hAnsi="Arial"/>
          <w:sz w:val="16"/>
          <w:szCs w:val="16"/>
          <w:color w:val="auto"/>
        </w:rPr>
        <w:t>In connection with the initial analysis on the impact of the Tax Act, the Company remeasured certain deferred tax assets and liabilities based on the rates at which they are expected to reverse in the future, which is generally 21%. The remeasurement of the Company's deferred tax balance was primarily offset by application of its valuation allowance. However, the reduction of the U.S. federal corporate tax rate resulted in increases to the amounts reflected in “Federal tax rate reduction” and “Change in valuation allowance” captions for the year ended December 31, 2017 in the Company’s tax reconciliation table compared to those amounts disclosed for the years ended December 31, 2016 and 2015. The change in the U.S. federal corporate tax rate, which is effective January 1, 2018, is also reflected in the Company’s deferred tax table.</w:t>
      </w:r>
    </w:p>
    <w:p>
      <w:pPr>
        <w:spacing w:after="0" w:line="122"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Company is still in the process of analyzing the impact to the Company of the Tax Act. On December 22, 2017, the SEC staff issued SAB 118 to address the application of GAAP in situations when a registrant does not have the necessary information available, prepared, or analyzed (including computations) in reasonable detail to complete the accounting for certain income tax effects of the Tax Act. The Company has recognized the provisional tax impacts related to the revaluation of the deferred tax assets and liabilities and included these amounts in its consolidated financial statements for the year ended December 31, 2017. The ultimate impact may differ from these provisional amounts due to, among other things, additional analysis, changes in interpretations and assumptions the Company has made, additional regulatory guidance that may be issued, and actions the Company may take as a result of the Tax Act, which could result in changes to the provisional tax impacts during 2018.</w:t>
      </w:r>
    </w:p>
    <w:p>
      <w:pPr>
        <w:spacing w:after="0" w:line="121" w:lineRule="exact"/>
        <w:rPr>
          <w:sz w:val="20"/>
          <w:szCs w:val="20"/>
          <w:color w:val="auto"/>
        </w:rPr>
      </w:pPr>
    </w:p>
    <w:p>
      <w:pPr>
        <w:ind w:right="100" w:firstLine="648"/>
        <w:spacing w:after="0" w:line="215" w:lineRule="auto"/>
        <w:rPr>
          <w:sz w:val="20"/>
          <w:szCs w:val="20"/>
          <w:color w:val="auto"/>
        </w:rPr>
      </w:pPr>
      <w:r>
        <w:rPr>
          <w:rFonts w:ascii="Arial" w:cs="Arial" w:eastAsia="Arial" w:hAnsi="Arial"/>
          <w:sz w:val="18"/>
          <w:szCs w:val="18"/>
          <w:color w:val="auto"/>
        </w:rPr>
        <w:t>The principal components of the Company’s deferred tax assets and liabilities consist of the following at December 31, 2017 and 2016 (in thousands):</w:t>
      </w:r>
    </w:p>
    <w:p>
      <w:pPr>
        <w:ind w:left="7580"/>
        <w:spacing w:after="0" w:line="203" w:lineRule="auto"/>
        <w:rPr>
          <w:sz w:val="20"/>
          <w:szCs w:val="20"/>
          <w:color w:val="auto"/>
        </w:rPr>
      </w:pPr>
      <w:r>
        <w:rPr>
          <w:rFonts w:ascii="Arial" w:cs="Arial" w:eastAsia="Arial" w:hAnsi="Arial"/>
          <w:sz w:val="14"/>
          <w:szCs w:val="14"/>
          <w:b w:val="1"/>
          <w:bCs w:val="1"/>
          <w:color w:val="auto"/>
        </w:rPr>
        <w:t>Year Ended</w:t>
      </w:r>
    </w:p>
    <w:p>
      <w:pPr>
        <w:ind w:left="750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538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1"/>
              <w:spacing w:after="0" w:line="136"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1"/>
              <w:spacing w:after="0" w:line="136" w:lineRule="exact"/>
              <w:rPr>
                <w:sz w:val="20"/>
                <w:szCs w:val="20"/>
                <w:color w:val="auto"/>
              </w:rPr>
            </w:pPr>
            <w:r>
              <w:rPr>
                <w:rFonts w:ascii="Arial" w:cs="Arial" w:eastAsia="Arial" w:hAnsi="Arial"/>
                <w:sz w:val="14"/>
                <w:szCs w:val="14"/>
                <w:b w:val="1"/>
                <w:bCs w:val="1"/>
                <w:color w:val="auto"/>
              </w:rPr>
              <w:t>2016</w:t>
            </w:r>
          </w:p>
        </w:tc>
      </w:tr>
      <w:tr>
        <w:trPr>
          <w:trHeight w:val="169"/>
        </w:trPr>
        <w:tc>
          <w:tcPr>
            <w:tcW w:w="53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1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27,726</w:t>
            </w:r>
          </w:p>
        </w:tc>
        <w:tc>
          <w:tcPr>
            <w:tcW w:w="12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16,490</w:t>
            </w: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 carryforwards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7,353</w:t>
            </w: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patent costs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16,025</w:t>
            </w: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9,672</w:t>
            </w: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financing lease obligation</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13,685</w:t>
            </w:r>
          </w:p>
        </w:tc>
      </w:tr>
      <w:tr>
        <w:trPr>
          <w:trHeight w:val="216"/>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w:t>
            </w:r>
          </w:p>
        </w:tc>
      </w:tr>
      <w:tr>
        <w:trPr>
          <w:trHeight w:val="210"/>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68,218</w:t>
            </w:r>
          </w:p>
        </w:tc>
      </w:tr>
      <w:tr>
        <w:trPr>
          <w:trHeight w:val="176"/>
        </w:trPr>
        <w:tc>
          <w:tcPr>
            <w:tcW w:w="5380" w:type="dxa"/>
            <w:vAlign w:val="bottom"/>
          </w:tcPr>
          <w:p>
            <w:pPr>
              <w:ind w:left="220"/>
              <w:spacing w:after="0" w:line="176" w:lineRule="exact"/>
              <w:rPr>
                <w:sz w:val="20"/>
                <w:szCs w:val="20"/>
                <w:color w:val="auto"/>
              </w:rPr>
            </w:pPr>
            <w:r>
              <w:rPr>
                <w:rFonts w:ascii="Arial" w:cs="Arial" w:eastAsia="Arial" w:hAnsi="Arial"/>
                <w:sz w:val="18"/>
                <w:szCs w:val="18"/>
                <w:color w:val="auto"/>
              </w:rPr>
              <w:t>Less valuation allowance</w:t>
            </w: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(73,301)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(54,300)</w:t>
            </w:r>
          </w:p>
        </w:tc>
      </w:tr>
      <w:tr>
        <w:trPr>
          <w:trHeight w:val="210"/>
        </w:trPr>
        <w:tc>
          <w:tcPr>
            <w:tcW w:w="5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deferred tax assets</w:t>
            </w:r>
          </w:p>
        </w:tc>
        <w:tc>
          <w:tcPr>
            <w:tcW w:w="1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13,918</w:t>
            </w:r>
          </w:p>
        </w:tc>
      </w:tr>
      <w:tr>
        <w:trPr>
          <w:trHeight w:val="176"/>
        </w:trPr>
        <w:tc>
          <w:tcPr>
            <w:tcW w:w="53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Deferred tax liabilities—depreciation and amortization</w:t>
            </w:r>
          </w:p>
        </w:tc>
        <w:tc>
          <w:tcPr>
            <w:tcW w:w="14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(9,551)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(13,918)</w:t>
            </w:r>
          </w:p>
        </w:tc>
      </w:tr>
      <w:tr>
        <w:trPr>
          <w:trHeight w:val="176"/>
        </w:trPr>
        <w:tc>
          <w:tcPr>
            <w:tcW w:w="53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deferred taxes</w:t>
            </w:r>
          </w:p>
        </w:tc>
        <w:tc>
          <w:tcPr>
            <w:tcW w:w="14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right="260" w:firstLine="648"/>
        <w:spacing w:after="0" w:line="229" w:lineRule="auto"/>
        <w:rPr>
          <w:sz w:val="20"/>
          <w:szCs w:val="20"/>
          <w:color w:val="auto"/>
        </w:rPr>
      </w:pPr>
      <w:r>
        <w:rPr>
          <w:rFonts w:ascii="Arial" w:cs="Arial" w:eastAsia="Arial" w:hAnsi="Arial"/>
          <w:sz w:val="17"/>
          <w:szCs w:val="17"/>
          <w:color w:val="auto"/>
        </w:rPr>
        <w:t>The Company has incurred net operating losses (“NOL”) since inception. At December 31, 2017 and 2016, the Company had federal and state net operating loss carryforwards of $202.7 million and $82.4 million respectively, which expire beginning in 2033 and will continue to expire through 2037. As of December 31, 2017 and 2016, the Company had federal and state research and development tax credits carryforwards of $5.6 million and $2.3 million, respectively, which expire beginning in 2028 and will continue to expire through 2037.</w:t>
      </w:r>
    </w:p>
    <w:p>
      <w:pPr>
        <w:spacing w:after="0" w:line="121" w:lineRule="exact"/>
        <w:rPr>
          <w:sz w:val="20"/>
          <w:szCs w:val="20"/>
          <w:color w:val="auto"/>
        </w:rPr>
      </w:pPr>
    </w:p>
    <w:p>
      <w:pPr>
        <w:ind w:right="200" w:firstLine="648"/>
        <w:spacing w:after="0" w:line="244" w:lineRule="auto"/>
        <w:rPr>
          <w:sz w:val="20"/>
          <w:szCs w:val="20"/>
          <w:color w:val="auto"/>
        </w:rPr>
      </w:pPr>
      <w:r>
        <w:rPr>
          <w:rFonts w:ascii="Arial" w:cs="Arial" w:eastAsia="Arial" w:hAnsi="Arial"/>
          <w:sz w:val="16"/>
          <w:szCs w:val="16"/>
          <w:color w:val="auto"/>
        </w:rPr>
        <w:t>Under the provisions of the Internal Revenue Code of 1986, as amended (the “Code”), the NOL and tax credit carryforward are subject to review and possible adjustment by the Internal Revenue Service and state tax authorities. NOL and tax credit carryforwards may become subject to an annual limitation in the event of certain cumulative changes in the ownership interest of significant shareholders over a three year period in excess of 50%, as defined under Sections 382 and 383 of the Code, respectively, as well as other similar state provisions. The Company has not performed a full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3" w:name="page174"/>
    <w:bookmarkEnd w:id="1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comprehensive Section 382 study to determine any potential loss limitation in the United States or a Section 383 study to determine the appropriate amount of NOL and tax credit carryforwards.</w:t>
      </w:r>
    </w:p>
    <w:p>
      <w:pPr>
        <w:spacing w:after="0" w:line="121"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color w:val="auto"/>
        </w:rPr>
        <w:t>Management has evaluated the positive and negative evidence bearing upon the realizability of its deferred tax assets, which principally comprise of NOL carryforwards, research and development credit carryforwards and capitalized license and patent costs. Management has determined that it is more likely than not that the Company will not recognize the benefits of its federal and state deferred tax assets, and as a result, a valuation allowance of $73.3 million and $54.3 million has been established at December 31, 2017 and 2016, respectively. The increase in the valuation allowance of $19.0 million for the year ended December 31, 2017 was primarily due to current year operating losses offset by the federal rate reduction from 34% to 21% as a result of the Tax Act.</w:t>
      </w:r>
    </w:p>
    <w:p>
      <w:pPr>
        <w:spacing w:after="0" w:line="122"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The Company applies ASC 740 related to accounting for uncertainty in income taxes. The Company’s reserves related to income taxes are based on a determination of whether, and how much of, a tax benefit taken by the Company in its tax filings or positions is more likely than not to be realized following resolution of any potential contingencies present related to the tax benefit. At December 31, 2017 and 2016, the Company had no unrecognized tax benefits. Interest and penalty charges, if any, related to unrecognized tax benefits would be classified as income tax expense in the accompanying statements of operations.</w:t>
      </w:r>
    </w:p>
    <w:p>
      <w:pPr>
        <w:spacing w:after="0" w:line="122"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The Company has not as yet conducted a study of its research and development credit carry 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consolidated balance sheets or statements of operations if an adjustment were required.</w:t>
      </w:r>
    </w:p>
    <w:p>
      <w:pPr>
        <w:spacing w:after="0" w:line="125"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The Company files income tax returns in the U.S. federal tax jurisdiction, the Massachusetts state jurisdiction and the California state jurisdiction. Since the Company is in a loss carryforward position, the Company is generally subject to examination by the U.S. federal, state and local income tax authorities for all tax years in which a loss carryforward is available. The Company did not have any international operations as of December 31, 2017. There are no federal or state audits in process.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148"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Basic net loss per common share is calculated by dividing the net loss attributable to common stockholders by the weighted average number of common shares outstanding during the period, without consideration for potentially dilutive securities. Diluted net loss per share is computed by dividing the net loss attributable to common stockholders by the weighted average number of common shares and potentially dilutive securities outstanding for the period determined using the treasury stock and if converted methods. Contingently issuable shares are included in the calculation of basic loss per share as of the beginning of the period in which all the necessary conditions have been satisfied. Contingently issuable shares are included in diluted loss per share based on the number of shares, if any, that would be issuable under the terms of the arrangement if the end of the reporting period was the end of the contingency period, if the results are dilutive.</w:t>
      </w:r>
    </w:p>
    <w:p>
      <w:pPr>
        <w:spacing w:after="0" w:line="127"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For purposes of the diluted net loss per share calculation, stock options are considered to be common stock equivalents, but they were excluded from the Company’s calculation of diluted net loss per share allocable to common stockholders because their inclusion would have been anti-dilutive. Therefore, basic and diluted net loss per share applicable to common stockholders was the same for all periods presented.</w:t>
      </w:r>
    </w:p>
    <w:p>
      <w:pPr>
        <w:spacing w:after="0" w:line="122"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Upon the closings of the March Offering and the December Offering, the Company sold 4,600,000 and 2,265,500 shares of common stock, respectively. The issuance of these shares resulted in a significant increase in the Company’s weighted-average shares outstanding for the year ended December 31, 2017 when compared to the comparable prior year period and is expected to continue to impact the year-over-year comparability of the Company’s net loss per share calculations for the next three and twelve months.</w:t>
      </w:r>
    </w:p>
    <w:p>
      <w:pPr>
        <w:spacing w:after="0" w:line="122"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allocable to common stockholders because their inclusion would have been anti-dilutive:</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174" w:name="page175"/>
    <w:bookmarkEnd w:id="1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As of December 31,</w:t>
            </w:r>
          </w:p>
        </w:tc>
      </w:tr>
      <w:tr>
        <w:trPr>
          <w:trHeight w:val="129"/>
        </w:trPr>
        <w:tc>
          <w:tcPr>
            <w:tcW w:w="2280" w:type="dxa"/>
            <w:vAlign w:val="bottom"/>
            <w:tcBorders>
              <w:bottom w:val="single" w:sz="8" w:color="CCEEFF"/>
            </w:tcBorders>
          </w:tcPr>
          <w:p>
            <w:pPr>
              <w:spacing w:after="0"/>
              <w:rPr>
                <w:sz w:val="11"/>
                <w:szCs w:val="11"/>
                <w:color w:val="auto"/>
              </w:rPr>
            </w:pPr>
          </w:p>
        </w:tc>
        <w:tc>
          <w:tcPr>
            <w:tcW w:w="484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2016</w:t>
            </w:r>
          </w:p>
        </w:tc>
      </w:tr>
      <w:tr>
        <w:trPr>
          <w:trHeight w:val="169"/>
        </w:trPr>
        <w:tc>
          <w:tcPr>
            <w:tcW w:w="71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Unvested restricted common stock</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513,225</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822,638</w:t>
            </w:r>
          </w:p>
        </w:tc>
      </w:tr>
      <w:tr>
        <w:trPr>
          <w:trHeight w:val="176"/>
        </w:trPr>
        <w:tc>
          <w:tcPr>
            <w:tcW w:w="7120" w:type="dxa"/>
            <w:vAlign w:val="bottom"/>
            <w:gridSpan w:val="2"/>
          </w:tcPr>
          <w:p>
            <w:pPr>
              <w:spacing w:after="0" w:line="176" w:lineRule="exact"/>
              <w:rPr>
                <w:sz w:val="20"/>
                <w:szCs w:val="20"/>
                <w:color w:val="auto"/>
              </w:rPr>
            </w:pPr>
            <w:r>
              <w:rPr>
                <w:rFonts w:ascii="Arial" w:cs="Arial" w:eastAsia="Arial" w:hAnsi="Arial"/>
                <w:sz w:val="18"/>
                <w:szCs w:val="18"/>
                <w:color w:val="auto"/>
              </w:rPr>
              <w:t>Outstanding stock options</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4,372,126</w:t>
            </w:r>
          </w:p>
        </w:tc>
        <w:tc>
          <w:tcPr>
            <w:tcW w:w="1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3,411,783</w:t>
            </w:r>
          </w:p>
        </w:tc>
      </w:tr>
      <w:tr>
        <w:trPr>
          <w:trHeight w:val="176"/>
        </w:trPr>
        <w:tc>
          <w:tcPr>
            <w:tcW w:w="7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xml:space="preserve">Estimated number of shares issuable for convertible notes </w:t>
            </w:r>
            <w:r>
              <w:rPr>
                <w:rFonts w:ascii="Arial" w:cs="Arial" w:eastAsia="Arial" w:hAnsi="Arial"/>
                <w:sz w:val="8"/>
                <w:szCs w:val="8"/>
                <w:color w:val="auto"/>
              </w:rPr>
              <w:t>(1)</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244,896</w:t>
            </w:r>
          </w:p>
        </w:tc>
        <w:tc>
          <w:tcPr>
            <w:tcW w:w="1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7120" w:type="dxa"/>
            <w:vAlign w:val="bottom"/>
            <w:gridSpan w:val="2"/>
          </w:tcPr>
          <w:p>
            <w:pPr>
              <w:ind w:left="220"/>
              <w:spacing w:after="0" w:line="170" w:lineRule="exact"/>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5,130,247</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4,234,421</w:t>
            </w:r>
          </w:p>
        </w:tc>
      </w:tr>
      <w:tr>
        <w:trPr>
          <w:trHeight w:val="108"/>
        </w:trPr>
        <w:tc>
          <w:tcPr>
            <w:tcW w:w="228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80" w:lineRule="exact"/>
        <w:rPr>
          <w:sz w:val="20"/>
          <w:szCs w:val="20"/>
          <w:color w:val="auto"/>
        </w:rPr>
      </w:pPr>
    </w:p>
    <w:p>
      <w:pPr>
        <w:ind w:left="320" w:right="140" w:hanging="317"/>
        <w:spacing w:after="0" w:line="249" w:lineRule="auto"/>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the number of shares that would have been issued if the Company had elected to pay the December Success Payment Notes, as discussed in Note 8, in shares of the Company’s common stock, based on the closing price of the common stock on December 31, 2017. The number of shares issued, for purposes of this presentation, is calculated by dividing the principal of the notes payable, including accrued interest, by the stock price per share.</w:t>
      </w:r>
    </w:p>
    <w:p>
      <w:pPr>
        <w:spacing w:after="0" w:line="114"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The table above reflects restricted stock issued upon exercise of unvested stock options as exercised on the dates that the shares are no longer subject to repurchase.</w:t>
      </w:r>
    </w:p>
    <w:p>
      <w:pPr>
        <w:spacing w:after="0" w:line="13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16.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148"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During the years ended December 31, 2016 and December 31, 2015, the Company paid a related party $1.4 million and $1.2 million in rent and facility-related fees, respectively. The Company did not make any payments to this related party during the year ended December 31, 2017. The Company received $0.8 million in rent and facility-related fees from a related party during the year ended December 31, 2017 in connection with the Sublease; no rent or facility-related payments were received from this related party during the year ended December 31, 2016 or December 31, 2015. In addition, during the year ended December 31, 2015, the Company paid one of its investors $0.1 million in professional fees.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5" w:name="page176"/>
    <w:bookmarkEnd w:id="1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Financial Data (unaudited) –</w:t>
      </w:r>
    </w:p>
    <w:p>
      <w:pPr>
        <w:spacing w:after="0" w:line="148"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6"/>
          <w:szCs w:val="16"/>
          <w:color w:val="auto"/>
        </w:rPr>
        <w:t>The following table contains selected quarterly financial information from 2017 and 2016.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ectPr>
          <w:pgSz w:w="11900" w:h="16838" w:orient="portrait"/>
          <w:cols w:equalWidth="0" w:num="1">
            <w:col w:w="9060"/>
          </w:cols>
          <w:pgMar w:left="1420" w:top="112"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03" w:lineRule="auto"/>
        <w:rPr>
          <w:sz w:val="20"/>
          <w:szCs w:val="20"/>
          <w:color w:val="auto"/>
        </w:rPr>
      </w:pPr>
      <w:r>
        <w:rPr>
          <w:rFonts w:ascii="Arial" w:cs="Arial" w:eastAsia="Arial" w:hAnsi="Arial"/>
          <w:sz w:val="18"/>
          <w:szCs w:val="18"/>
          <w:color w:val="auto"/>
        </w:rPr>
        <w:t>Total operating expenses</w:t>
      </w:r>
    </w:p>
    <w:p>
      <w:pPr>
        <w:spacing w:after="0" w:line="235" w:lineRule="auto"/>
        <w:rPr>
          <w:sz w:val="20"/>
          <w:szCs w:val="20"/>
          <w:color w:val="auto"/>
        </w:rPr>
      </w:pPr>
      <w:r>
        <w:rPr>
          <w:rFonts w:ascii="Arial" w:cs="Arial" w:eastAsia="Arial" w:hAnsi="Arial"/>
          <w:sz w:val="18"/>
          <w:szCs w:val="18"/>
          <w:color w:val="auto"/>
        </w:rPr>
        <w:t>Total other income (expense), net</w:t>
      </w:r>
    </w:p>
    <w:p>
      <w:pPr>
        <w:spacing w:after="0" w:line="235" w:lineRule="auto"/>
        <w:rPr>
          <w:sz w:val="20"/>
          <w:szCs w:val="20"/>
          <w:color w:val="auto"/>
        </w:rPr>
      </w:pPr>
      <w:r>
        <w:rPr>
          <w:rFonts w:ascii="Arial" w:cs="Arial" w:eastAsia="Arial" w:hAnsi="Arial"/>
          <w:sz w:val="18"/>
          <w:szCs w:val="18"/>
          <w:color w:val="auto"/>
        </w:rPr>
        <w:t>Net loss</w:t>
      </w:r>
    </w:p>
    <w:p>
      <w:pPr>
        <w:spacing w:after="0" w:line="248" w:lineRule="auto"/>
        <w:rPr>
          <w:sz w:val="20"/>
          <w:szCs w:val="20"/>
          <w:color w:val="auto"/>
        </w:rPr>
      </w:pPr>
      <w:r>
        <w:rPr>
          <w:rFonts w:ascii="Arial" w:cs="Arial" w:eastAsia="Arial" w:hAnsi="Arial"/>
          <w:sz w:val="16"/>
          <w:szCs w:val="16"/>
          <w:color w:val="auto"/>
        </w:rPr>
        <w:t>Net loss applicable to common stockholders Net loss per share applicable to common stockholders — 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03" w:lineRule="auto"/>
        <w:rPr>
          <w:sz w:val="20"/>
          <w:szCs w:val="20"/>
          <w:color w:val="auto"/>
        </w:rPr>
      </w:pPr>
      <w:r>
        <w:rPr>
          <w:rFonts w:ascii="Arial" w:cs="Arial" w:eastAsia="Arial" w:hAnsi="Arial"/>
          <w:sz w:val="18"/>
          <w:szCs w:val="18"/>
          <w:color w:val="auto"/>
        </w:rPr>
        <w:t>Total operating expenses</w:t>
      </w:r>
    </w:p>
    <w:p>
      <w:pPr>
        <w:spacing w:after="0" w:line="235" w:lineRule="auto"/>
        <w:rPr>
          <w:sz w:val="20"/>
          <w:szCs w:val="20"/>
          <w:color w:val="auto"/>
        </w:rPr>
      </w:pPr>
      <w:r>
        <w:rPr>
          <w:rFonts w:ascii="Arial" w:cs="Arial" w:eastAsia="Arial" w:hAnsi="Arial"/>
          <w:sz w:val="18"/>
          <w:szCs w:val="18"/>
          <w:color w:val="auto"/>
        </w:rPr>
        <w:t>Total other income (expense), net</w:t>
      </w:r>
    </w:p>
    <w:p>
      <w:pPr>
        <w:spacing w:after="0" w:line="235" w:lineRule="auto"/>
        <w:rPr>
          <w:sz w:val="20"/>
          <w:szCs w:val="20"/>
          <w:color w:val="auto"/>
        </w:rPr>
      </w:pPr>
      <w:r>
        <w:rPr>
          <w:rFonts w:ascii="Arial" w:cs="Arial" w:eastAsia="Arial" w:hAnsi="Arial"/>
          <w:sz w:val="18"/>
          <w:szCs w:val="18"/>
          <w:color w:val="auto"/>
        </w:rPr>
        <w:t>Net loss</w:t>
      </w:r>
    </w:p>
    <w:p>
      <w:pPr>
        <w:spacing w:after="0" w:line="248" w:lineRule="auto"/>
        <w:rPr>
          <w:sz w:val="20"/>
          <w:szCs w:val="20"/>
          <w:color w:val="auto"/>
        </w:rPr>
      </w:pPr>
      <w:r>
        <w:rPr>
          <w:rFonts w:ascii="Arial" w:cs="Arial" w:eastAsia="Arial" w:hAnsi="Arial"/>
          <w:sz w:val="16"/>
          <w:szCs w:val="16"/>
          <w:color w:val="auto"/>
        </w:rPr>
        <w:t>Net loss applicable to common stockholders Net loss per share applicable to common stockholders — basic and diluted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March 31, 2017</w:t>
            </w:r>
          </w:p>
        </w:tc>
        <w:tc>
          <w:tcPr>
            <w:tcW w:w="620" w:type="dxa"/>
            <w:vAlign w:val="bottom"/>
          </w:tcPr>
          <w:p>
            <w:pPr>
              <w:spacing w:after="0"/>
              <w:rPr>
                <w:sz w:val="8"/>
                <w:szCs w:val="8"/>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June 30, 2017</w:t>
            </w:r>
          </w:p>
        </w:tc>
        <w:tc>
          <w:tcPr>
            <w:tcW w:w="620" w:type="dxa"/>
            <w:vAlign w:val="bottom"/>
          </w:tcPr>
          <w:p>
            <w:pPr>
              <w:spacing w:after="0"/>
              <w:rPr>
                <w:sz w:val="8"/>
                <w:szCs w:val="8"/>
                <w:color w:val="auto"/>
              </w:rPr>
            </w:pPr>
          </w:p>
        </w:tc>
        <w:tc>
          <w:tcPr>
            <w:tcW w:w="1600" w:type="dxa"/>
            <w:vAlign w:val="bottom"/>
            <w:gridSpan w:val="3"/>
          </w:tcPr>
          <w:p>
            <w:pPr>
              <w:jc w:val="center"/>
              <w:ind w:right="640"/>
              <w:spacing w:after="0" w:line="102" w:lineRule="exact"/>
              <w:rPr>
                <w:sz w:val="20"/>
                <w:szCs w:val="20"/>
                <w:color w:val="auto"/>
              </w:rPr>
            </w:pPr>
            <w:r>
              <w:rPr>
                <w:rFonts w:ascii="Arial" w:cs="Arial" w:eastAsia="Arial" w:hAnsi="Arial"/>
                <w:sz w:val="11"/>
                <w:szCs w:val="11"/>
                <w:b w:val="1"/>
                <w:bCs w:val="1"/>
                <w:color w:val="auto"/>
              </w:rPr>
              <w:t>September 30,</w:t>
            </w:r>
          </w:p>
        </w:tc>
        <w:tc>
          <w:tcPr>
            <w:tcW w:w="90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2017</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40" w:type="dxa"/>
            <w:vAlign w:val="bottom"/>
            <w:gridSpan w:val="5"/>
          </w:tcPr>
          <w:p>
            <w:pPr>
              <w:ind w:left="60"/>
              <w:spacing w:after="0" w:line="141" w:lineRule="exact"/>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0" w:type="dxa"/>
            <w:vAlign w:val="bottom"/>
            <w:gridSpan w:val="2"/>
          </w:tcPr>
          <w:p>
            <w:pPr>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682</w:t>
            </w:r>
          </w:p>
        </w:tc>
        <w:tc>
          <w:tcPr>
            <w:tcW w:w="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3,097</w:t>
            </w:r>
          </w:p>
        </w:tc>
        <w:tc>
          <w:tcPr>
            <w:tcW w:w="940" w:type="dxa"/>
            <w:vAlign w:val="bottom"/>
            <w:gridSpan w:val="2"/>
          </w:tcPr>
          <w:p>
            <w:pPr>
              <w:jc w:val="right"/>
              <w:ind w:right="171"/>
              <w:spacing w:after="0" w:line="17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6,282</w:t>
            </w:r>
          </w:p>
        </w:tc>
        <w:tc>
          <w:tcPr>
            <w:tcW w:w="640" w:type="dxa"/>
            <w:vAlign w:val="bottom"/>
          </w:tcPr>
          <w:p>
            <w:pPr>
              <w:spacing w:after="0"/>
              <w:rPr>
                <w:sz w:val="15"/>
                <w:szCs w:val="15"/>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31,309</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29,212</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33,031</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40,109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w:t>
            </w: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(324)</w:t>
            </w:r>
          </w:p>
        </w:tc>
        <w:tc>
          <w:tcPr>
            <w:tcW w:w="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w:t>
            </w:r>
          </w:p>
        </w:tc>
        <w:tc>
          <w:tcPr>
            <w:tcW w:w="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(31,097)</w:t>
            </w:r>
          </w:p>
        </w:tc>
        <w:tc>
          <w:tcPr>
            <w:tcW w:w="6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(26,439)</w:t>
            </w:r>
          </w:p>
        </w:tc>
        <w:tc>
          <w:tcPr>
            <w:tcW w:w="62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(26,599)</w:t>
            </w:r>
          </w:p>
        </w:tc>
        <w:tc>
          <w:tcPr>
            <w:tcW w:w="640" w:type="dxa"/>
            <w:vAlign w:val="bottom"/>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(36,189)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(31,097)</w:t>
            </w:r>
          </w:p>
        </w:tc>
        <w:tc>
          <w:tcPr>
            <w:tcW w:w="6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(26,439)</w:t>
            </w:r>
          </w:p>
        </w:tc>
        <w:tc>
          <w:tcPr>
            <w:tcW w:w="62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2"/>
              </w:rPr>
              <w:t>(26,599)</w:t>
            </w:r>
          </w:p>
        </w:tc>
        <w:tc>
          <w:tcPr>
            <w:tcW w:w="640" w:type="dxa"/>
            <w:vAlign w:val="bottom"/>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(36,189)</w:t>
            </w:r>
          </w:p>
        </w:tc>
        <w:tc>
          <w:tcPr>
            <w:tcW w:w="0" w:type="dxa"/>
            <w:vAlign w:val="bottom"/>
          </w:tcPr>
          <w:p>
            <w:pPr>
              <w:spacing w:after="0"/>
              <w:rPr>
                <w:sz w:val="1"/>
                <w:szCs w:val="1"/>
                <w:color w:val="auto"/>
              </w:rPr>
            </w:pPr>
          </w:p>
        </w:tc>
      </w:tr>
      <w:tr>
        <w:trPr>
          <w:trHeight w:val="324"/>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(0.65)</w:t>
            </w:r>
          </w:p>
        </w:tc>
        <w:tc>
          <w:tcPr>
            <w:tcW w:w="94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(0.64)</w:t>
            </w:r>
          </w:p>
        </w:tc>
        <w:tc>
          <w:tcPr>
            <w:tcW w:w="640" w:type="dxa"/>
            <w:vAlign w:val="bottom"/>
          </w:tcPr>
          <w:p>
            <w:pPr>
              <w:spacing w:after="0"/>
              <w:rPr>
                <w:sz w:val="24"/>
                <w:szCs w:val="2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March 31, 2016</w:t>
            </w:r>
          </w:p>
        </w:tc>
        <w:tc>
          <w:tcPr>
            <w:tcW w:w="620" w:type="dxa"/>
            <w:vAlign w:val="bottom"/>
          </w:tcPr>
          <w:p>
            <w:pPr>
              <w:spacing w:after="0"/>
              <w:rPr>
                <w:sz w:val="8"/>
                <w:szCs w:val="8"/>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June 30, 2016</w:t>
            </w:r>
          </w:p>
        </w:tc>
        <w:tc>
          <w:tcPr>
            <w:tcW w:w="620" w:type="dxa"/>
            <w:vAlign w:val="bottom"/>
          </w:tcPr>
          <w:p>
            <w:pPr>
              <w:spacing w:after="0"/>
              <w:rPr>
                <w:sz w:val="8"/>
                <w:szCs w:val="8"/>
                <w:color w:val="auto"/>
              </w:rPr>
            </w:pPr>
          </w:p>
        </w:tc>
        <w:tc>
          <w:tcPr>
            <w:tcW w:w="1600" w:type="dxa"/>
            <w:vAlign w:val="bottom"/>
            <w:gridSpan w:val="3"/>
          </w:tcPr>
          <w:p>
            <w:pPr>
              <w:jc w:val="center"/>
              <w:ind w:right="640"/>
              <w:spacing w:after="0" w:line="102" w:lineRule="exact"/>
              <w:rPr>
                <w:sz w:val="20"/>
                <w:szCs w:val="20"/>
                <w:color w:val="auto"/>
              </w:rPr>
            </w:pPr>
            <w:r>
              <w:rPr>
                <w:rFonts w:ascii="Arial" w:cs="Arial" w:eastAsia="Arial" w:hAnsi="Arial"/>
                <w:sz w:val="11"/>
                <w:szCs w:val="11"/>
                <w:b w:val="1"/>
                <w:bCs w:val="1"/>
                <w:color w:val="auto"/>
              </w:rPr>
              <w:t>September 30,</w:t>
            </w:r>
          </w:p>
        </w:tc>
        <w:tc>
          <w:tcPr>
            <w:tcW w:w="90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2016</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40" w:type="dxa"/>
            <w:vAlign w:val="bottom"/>
            <w:gridSpan w:val="5"/>
          </w:tcPr>
          <w:p>
            <w:pPr>
              <w:ind w:left="60"/>
              <w:spacing w:after="0" w:line="141" w:lineRule="exact"/>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0" w:type="dxa"/>
            <w:vAlign w:val="bottom"/>
            <w:gridSpan w:val="2"/>
          </w:tcPr>
          <w:p>
            <w:pPr>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805</w:t>
            </w:r>
          </w:p>
        </w:tc>
        <w:tc>
          <w:tcPr>
            <w:tcW w:w="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3,388</w:t>
            </w:r>
          </w:p>
        </w:tc>
        <w:tc>
          <w:tcPr>
            <w:tcW w:w="940" w:type="dxa"/>
            <w:vAlign w:val="bottom"/>
            <w:gridSpan w:val="2"/>
          </w:tcPr>
          <w:p>
            <w:pPr>
              <w:jc w:val="right"/>
              <w:ind w:right="171"/>
              <w:spacing w:after="0" w:line="17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962</w:t>
            </w:r>
          </w:p>
        </w:tc>
        <w:tc>
          <w:tcPr>
            <w:tcW w:w="640" w:type="dxa"/>
            <w:vAlign w:val="bottom"/>
          </w:tcPr>
          <w:p>
            <w:pPr>
              <w:spacing w:after="0"/>
              <w:rPr>
                <w:sz w:val="15"/>
                <w:szCs w:val="15"/>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18,644</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22,588</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22,127</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39,882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w:t>
            </w:r>
          </w:p>
        </w:tc>
        <w:tc>
          <w:tcPr>
            <w:tcW w:w="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w:t>
            </w:r>
          </w:p>
        </w:tc>
        <w:tc>
          <w:tcPr>
            <w:tcW w:w="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(17,745)</w:t>
            </w:r>
          </w:p>
        </w:tc>
        <w:tc>
          <w:tcPr>
            <w:tcW w:w="6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(19,042)</w:t>
            </w:r>
          </w:p>
        </w:tc>
        <w:tc>
          <w:tcPr>
            <w:tcW w:w="62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(21,020)</w:t>
            </w:r>
          </w:p>
        </w:tc>
        <w:tc>
          <w:tcPr>
            <w:tcW w:w="640" w:type="dxa"/>
            <w:vAlign w:val="bottom"/>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(39,376)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(17,792)</w:t>
            </w:r>
          </w:p>
        </w:tc>
        <w:tc>
          <w:tcPr>
            <w:tcW w:w="6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(19,042)</w:t>
            </w:r>
          </w:p>
        </w:tc>
        <w:tc>
          <w:tcPr>
            <w:tcW w:w="62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2"/>
              </w:rPr>
              <w:t>(21,020)</w:t>
            </w:r>
          </w:p>
        </w:tc>
        <w:tc>
          <w:tcPr>
            <w:tcW w:w="640" w:type="dxa"/>
            <w:vAlign w:val="bottom"/>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(39,376)</w:t>
            </w:r>
          </w:p>
        </w:tc>
        <w:tc>
          <w:tcPr>
            <w:tcW w:w="0" w:type="dxa"/>
            <w:vAlign w:val="bottom"/>
          </w:tcPr>
          <w:p>
            <w:pPr>
              <w:spacing w:after="0"/>
              <w:rPr>
                <w:sz w:val="1"/>
                <w:szCs w:val="1"/>
                <w:color w:val="auto"/>
              </w:rPr>
            </w:pPr>
          </w:p>
        </w:tc>
      </w:tr>
      <w:tr>
        <w:trPr>
          <w:trHeight w:val="324"/>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(0.54)</w:t>
            </w:r>
          </w:p>
        </w:tc>
        <w:tc>
          <w:tcPr>
            <w:tcW w:w="94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(0.59)</w:t>
            </w:r>
          </w:p>
        </w:tc>
        <w:tc>
          <w:tcPr>
            <w:tcW w:w="640" w:type="dxa"/>
            <w:vAlign w:val="bottom"/>
          </w:tcPr>
          <w:p>
            <w:pPr>
              <w:spacing w:after="0"/>
              <w:rPr>
                <w:sz w:val="24"/>
                <w:szCs w:val="2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-2306320</wp:posOffset>
            </wp:positionV>
            <wp:extent cx="5754370" cy="1117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-2083435</wp:posOffset>
            </wp:positionV>
            <wp:extent cx="5754370" cy="1117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-1843405</wp:posOffset>
            </wp:positionV>
            <wp:extent cx="575437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54370" cy="12890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-822960</wp:posOffset>
            </wp:positionV>
            <wp:extent cx="5754370" cy="1117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-599440</wp:posOffset>
            </wp:positionV>
            <wp:extent cx="5754370" cy="1117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-359410</wp:posOffset>
            </wp:positionV>
            <wp:extent cx="5754370"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54370" cy="128905"/>
                    </a:xfrm>
                    <a:prstGeom prst="rect">
                      <a:avLst/>
                    </a:prstGeom>
                    <a:noFill/>
                  </pic:spPr>
                </pic:pic>
              </a:graphicData>
            </a:graphic>
          </wp:anchor>
        </w:drawing>
      </w:r>
    </w:p>
    <w:p>
      <w:pPr>
        <w:spacing w:after="0" w:line="539" w:lineRule="exact"/>
        <w:rPr>
          <w:sz w:val="20"/>
          <w:szCs w:val="20"/>
          <w:color w:val="auto"/>
        </w:rPr>
      </w:pPr>
    </w:p>
    <w:p>
      <w:pPr>
        <w:sectPr>
          <w:pgSz w:w="11900" w:h="16838" w:orient="portrait"/>
          <w:cols w:equalWidth="0" w:num="2">
            <w:col w:w="3180" w:space="220"/>
            <w:col w:w="5660"/>
          </w:cols>
          <w:pgMar w:left="1420" w:top="112" w:right="1419" w:bottom="1440" w:gutter="0" w:footer="0" w:header="0"/>
          <w:type w:val="continuous"/>
        </w:sectPr>
      </w:pPr>
    </w:p>
    <w:p>
      <w:pPr>
        <w:ind w:right="180" w:firstLine="648"/>
        <w:spacing w:after="0" w:line="224" w:lineRule="auto"/>
        <w:rPr>
          <w:sz w:val="20"/>
          <w:szCs w:val="20"/>
          <w:color w:val="auto"/>
        </w:rPr>
      </w:pPr>
      <w:r>
        <w:rPr>
          <w:rFonts w:ascii="Arial" w:cs="Arial" w:eastAsia="Arial" w:hAnsi="Arial"/>
          <w:sz w:val="18"/>
          <w:szCs w:val="18"/>
          <w:color w:val="auto"/>
        </w:rPr>
        <w:t>In January 2018, the Company issued an aggregate of 225,909 shares of its common stock to Broad as payment of all outstanding principal and interest under the December Success Payment Notes (see Note 8). Upon such issuance and payment, the December Success Payment Notes were cancelled.</w:t>
      </w:r>
    </w:p>
    <w:p>
      <w:pPr>
        <w:spacing w:after="0" w:line="123"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In January 2018, the Company issued an aggregate of 80,000 shares of its common stock to MGH in connection with settling the First MGH Success Payment (see Note 8).</w:t>
      </w:r>
    </w:p>
    <w:p>
      <w:pPr>
        <w:spacing w:after="0" w:line="121"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In January 2018, the Company paid $1.6 million in cash and issued an aggregate of 56,099 shares of its common stock, valued at $29.76 per share, to i2 Pharmaceuticals, Inc. in connection with the purchase of certain assets pursuant to an asset purchase agreement.</w:t>
      </w:r>
    </w:p>
    <w:p>
      <w:pPr>
        <w:spacing w:after="0" w:line="123"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In January 2018, the Company sold an aggregate of 1,429,205 common shares under the March 2017 ATM Program at an average price of $34.99 per common share for gross proceeds of $50.0 million. The March 2017 ATM Program was fully utilized in January 2018.</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76" w:name="page177"/>
    <w:bookmarkEnd w:id="1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2017.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2017, our Chief Executive Officer and Chief Financial Officer concluded that, as of such date, our disclosure controls and procedures were effective at the reasonable assurance level.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 over financial reporting was effective as of December 31, 2017.</w:t>
      </w:r>
    </w:p>
    <w:p>
      <w:pPr>
        <w:spacing w:after="0" w:line="173"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This Annual Report on Form 10-K does not include an attestation report of our independent registered public accounting firm due to a transition period established by rules of the SEC for “emerging growth companies.”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ind w:right="300" w:firstLine="648"/>
        <w:spacing w:after="0" w:line="22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our fiscal quarter ended December 31, 2017 that has materially affected, or is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77" w:name="page178"/>
    <w:bookmarkEnd w:id="1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8" w:lineRule="exact"/>
        <w:rPr>
          <w:sz w:val="20"/>
          <w:szCs w:val="20"/>
          <w:color w:val="auto"/>
        </w:rPr>
      </w:pPr>
    </w:p>
    <w:p>
      <w:pPr>
        <w:ind w:right="280" w:firstLine="648"/>
        <w:spacing w:after="0" w:line="244" w:lineRule="auto"/>
        <w:rPr>
          <w:sz w:val="20"/>
          <w:szCs w:val="20"/>
          <w:color w:val="auto"/>
        </w:rPr>
      </w:pPr>
      <w:r>
        <w:rPr>
          <w:rFonts w:ascii="Arial" w:cs="Arial" w:eastAsia="Arial" w:hAnsi="Arial"/>
          <w:sz w:val="16"/>
          <w:szCs w:val="16"/>
          <w:color w:val="auto"/>
        </w:rPr>
        <w:t>Except to the extent provided below, the information required by this Item 10 will be included in the section captioned “Corporate Governance” and the subsections thereof, “Nominees for Election as Class II Directors,” “Directors Continuing in Office,” “Executive Officers Who Are Not Directors,” “Section 16(a) Beneficial Ownership Reporting Compliance,” in our definitive proxy statement to be filed with the Securities and Exchange Commission (“SEC”) with respect to our 2018 Annual Meeting of Stockholders, which information is incorporated herein by reference.</w:t>
      </w:r>
    </w:p>
    <w:p>
      <w:pPr>
        <w:spacing w:after="0" w:line="118"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Corporate Governance section of our website, which is located at www.editasmedicine.com. If we make any substantive amendments to, or grant any waivers from, the code of business conduct and ethics for any officer or director, we will disclose the nature of such amendment or waiver on our website or in a current report on Form 8-K. We will provide any person, without charge, a copy of such Code of Business Conduct and Ethics upon written request, which may be mailed to 11 Hurley Street, Cambridge, MA 02141, Attn: Corporate Secretary.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ind w:right="520" w:firstLine="648"/>
        <w:spacing w:after="0" w:line="224" w:lineRule="auto"/>
        <w:rPr>
          <w:sz w:val="20"/>
          <w:szCs w:val="20"/>
          <w:color w:val="auto"/>
        </w:rPr>
      </w:pPr>
      <w:r>
        <w:rPr>
          <w:rFonts w:ascii="Arial" w:cs="Arial" w:eastAsia="Arial" w:hAnsi="Arial"/>
          <w:sz w:val="18"/>
          <w:szCs w:val="18"/>
          <w:color w:val="auto"/>
        </w:rPr>
        <w:t>The information required by this Item 11 will be included in the section captioned “Executive and Director Compensation” in our definitive proxy statement to be filed with the SEC with respect to our 2018 Annual Meeting of Stockholders, which information is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color w:val="auto"/>
        </w:rPr>
        <w:t>The information required by this Item 12 will be included in the sections captioned “Principal Stockholders” and “Securities Authorized for Issuance under Equity Compensation Plans” in our definitive proxy statement to be filed with the SEC with respect to our 2018 Annual Meeting of Stockholders, which information is incorporated herein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information required by this Item 13 will be included in the sections captioned “Transactions with Related Persons” and “Director Independence” in our definitive proxy statement to be filed with the SEC with respect to our 2018 Annual Meeting of Stockholders, which information is incorporated herein by reference. On March 7, 2018, we terminated our Amended and Restated Investors’ Rights Agreement, dated as of August 4, 2015 (the “Investors’ Rights Agreement”), by and between us and holders of our previously-outstanding preferred stock (the “Holders”). The Investors’ Rights Agreement had provided the Holders with the right, subject to certain conditions, to register shares of common stock issued upon conversion of such Holders preferred stock upon a demand request or in connection with our registration of shares for our own account. The termination was effected pursuant to the termination provision of the Investors’ Rights Agreement with the consent of all the Holders holding shares that remained subject to the Investors’ Rights Agreement, including Katrine S. Bosley, our Chief Executive Officer, and Boris Nikolic, a member of the Board of Directors.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48"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The information required by this Item 14 will be included in the sections captioned “Audit Fees” and “Audit Committee Pre-Approval Policies and Procedures” in our definitive proxy statement to be filed with the SEC with respect to our 2018 Annual Meeting of Stockholders, which information is incorporated herein by reference.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78" w:name="page179"/>
    <w:bookmarkEnd w:id="1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8" w:lineRule="exact"/>
        <w:rPr>
          <w:sz w:val="20"/>
          <w:szCs w:val="20"/>
          <w:color w:val="auto"/>
        </w:rPr>
      </w:pPr>
    </w:p>
    <w:p>
      <w:pPr>
        <w:ind w:left="1340" w:hanging="689"/>
        <w:spacing w:after="0"/>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1" w:lineRule="exact"/>
        <w:rPr>
          <w:sz w:val="20"/>
          <w:szCs w:val="20"/>
          <w:color w:val="auto"/>
        </w:rPr>
      </w:pPr>
    </w:p>
    <w:p>
      <w:pPr>
        <w:ind w:left="660" w:right="260"/>
        <w:spacing w:after="0" w:line="246" w:lineRule="auto"/>
        <w:rPr>
          <w:sz w:val="20"/>
          <w:szCs w:val="20"/>
          <w:color w:val="auto"/>
        </w:rPr>
      </w:pPr>
      <w:r>
        <w:rPr>
          <w:rFonts w:ascii="Arial" w:cs="Arial" w:eastAsia="Arial" w:hAnsi="Arial"/>
          <w:sz w:val="18"/>
          <w:szCs w:val="18"/>
          <w:color w:val="auto"/>
        </w:rPr>
        <w:t>Our consolidated financial statements are set forth in Part II, Item 8 of this Annual Report on Form 10-K and are incorporated herein by reference.</w:t>
      </w:r>
    </w:p>
    <w:p>
      <w:pPr>
        <w:spacing w:after="0" w:line="89" w:lineRule="exact"/>
        <w:rPr>
          <w:sz w:val="20"/>
          <w:szCs w:val="20"/>
          <w:color w:val="auto"/>
        </w:rPr>
      </w:pPr>
    </w:p>
    <w:p>
      <w:pPr>
        <w:ind w:left="1340" w:hanging="689"/>
        <w:spacing w:after="0"/>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31" w:lineRule="exact"/>
        <w:rPr>
          <w:sz w:val="20"/>
          <w:szCs w:val="20"/>
          <w:color w:val="auto"/>
        </w:rPr>
      </w:pPr>
    </w:p>
    <w:p>
      <w:pPr>
        <w:ind w:left="660" w:right="380"/>
        <w:spacing w:after="0" w:line="246" w:lineRule="auto"/>
        <w:rPr>
          <w:sz w:val="20"/>
          <w:szCs w:val="20"/>
          <w:color w:val="auto"/>
        </w:rPr>
      </w:pPr>
      <w:r>
        <w:rPr>
          <w:rFonts w:ascii="Arial" w:cs="Arial" w:eastAsia="Arial" w:hAnsi="Arial"/>
          <w:sz w:val="18"/>
          <w:szCs w:val="18"/>
          <w:color w:val="auto"/>
        </w:rPr>
        <w:t>Schedules have been omitted since they are either not required or not applicable or the information is otherwise included herein.</w:t>
      </w:r>
    </w:p>
    <w:p>
      <w:pPr>
        <w:spacing w:after="0" w:line="102" w:lineRule="exact"/>
        <w:rPr>
          <w:sz w:val="20"/>
          <w:szCs w:val="20"/>
          <w:color w:val="auto"/>
        </w:rPr>
      </w:pPr>
    </w:p>
    <w:p>
      <w:pPr>
        <w:ind w:left="1340" w:hanging="689"/>
        <w:spacing w:after="0"/>
        <w:tabs>
          <w:tab w:leader="none" w:pos="1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filed as part of this Annual Report on Form 10-K are listed in the following Exhibit Index.</w:t>
      </w:r>
    </w:p>
    <w:p>
      <w:pPr>
        <w:spacing w:after="0" w:line="12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EXHIBIT 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10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00" w:type="dxa"/>
            <w:vAlign w:val="bottom"/>
            <w:gridSpan w:val="23"/>
            <w:vMerge w:val="restart"/>
          </w:tcPr>
          <w:p>
            <w:pPr>
              <w:ind w:left="10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tcPr>
          <w:p>
            <w:pPr>
              <w:spacing w:after="0"/>
              <w:rPr>
                <w:sz w:val="10"/>
                <w:szCs w:val="10"/>
                <w:color w:val="auto"/>
              </w:rPr>
            </w:pPr>
          </w:p>
        </w:tc>
        <w:tc>
          <w:tcPr>
            <w:tcW w:w="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0"/>
                <w:szCs w:val="10"/>
                <w:color w:val="auto"/>
              </w:rPr>
            </w:pPr>
          </w:p>
        </w:tc>
        <w:tc>
          <w:tcPr>
            <w:tcW w:w="94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Date of</w:t>
            </w:r>
          </w:p>
        </w:tc>
        <w:tc>
          <w:tcPr>
            <w:tcW w:w="100" w:type="dxa"/>
            <w:vAlign w:val="bottom"/>
          </w:tcPr>
          <w:p>
            <w:pPr>
              <w:spacing w:after="0"/>
              <w:rPr>
                <w:sz w:val="10"/>
                <w:szCs w:val="10"/>
                <w:color w:val="auto"/>
              </w:rPr>
            </w:pPr>
          </w:p>
        </w:tc>
        <w:tc>
          <w:tcPr>
            <w:tcW w:w="6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gridSpan w:val="23"/>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700" w:type="dxa"/>
            <w:vAlign w:val="bottom"/>
            <w:gridSpan w:val="3"/>
          </w:tcPr>
          <w:p>
            <w:pPr>
              <w:ind w:left="100"/>
              <w:spacing w:after="0"/>
              <w:rPr>
                <w:sz w:val="20"/>
                <w:szCs w:val="20"/>
                <w:color w:val="auto"/>
              </w:rPr>
            </w:pPr>
            <w:r>
              <w:rPr>
                <w:rFonts w:ascii="Arial" w:cs="Arial" w:eastAsia="Arial" w:hAnsi="Arial"/>
                <w:sz w:val="14"/>
                <w:szCs w:val="14"/>
                <w:b w:val="1"/>
                <w:bCs w:val="1"/>
                <w:color w:val="auto"/>
              </w:rPr>
              <w:t>Number</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56"/>
        </w:trPr>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auto"/>
            </w:tcBorders>
            <w:gridSpan w:val="28"/>
          </w:tcPr>
          <w:p>
            <w:pPr>
              <w:spacing w:after="0" w:line="142" w:lineRule="exact"/>
              <w:rPr>
                <w:rFonts w:ascii="Arial" w:cs="Arial" w:eastAsia="Arial" w:hAnsi="Arial"/>
                <w:sz w:val="16"/>
                <w:szCs w:val="16"/>
                <w:color w:val="0000EE"/>
              </w:rPr>
            </w:pPr>
            <w:hyperlink r:id="rId200">
              <w:r>
                <w:rPr>
                  <w:rFonts w:ascii="Arial" w:cs="Arial" w:eastAsia="Arial" w:hAnsi="Arial"/>
                  <w:sz w:val="16"/>
                  <w:szCs w:val="16"/>
                  <w:color w:val="0000EE"/>
                </w:rPr>
                <w:t>Restated Certificate of Incorporation of the</w:t>
              </w:r>
            </w:hyperlink>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8-K</w:t>
            </w:r>
          </w:p>
        </w:tc>
        <w:tc>
          <w:tcPr>
            <w:tcW w:w="120" w:type="dxa"/>
            <w:vAlign w:val="bottom"/>
          </w:tcPr>
          <w:p>
            <w:pPr>
              <w:spacing w:after="0"/>
              <w:rPr>
                <w:sz w:val="13"/>
                <w:szCs w:val="13"/>
                <w:color w:val="auto"/>
              </w:rPr>
            </w:pPr>
          </w:p>
        </w:tc>
        <w:tc>
          <w:tcPr>
            <w:tcW w:w="94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6"/>
                <w:szCs w:val="16"/>
                <w:color w:val="auto"/>
                <w:w w:val="99"/>
              </w:rPr>
              <w:t>001-37687</w:t>
            </w: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2/8/2016</w:t>
            </w: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tcBorders>
              <w:top w:val="single" w:sz="8" w:color="0000EE"/>
            </w:tcBorders>
            <w:gridSpan w:val="13"/>
          </w:tcPr>
          <w:p>
            <w:pPr>
              <w:spacing w:after="0" w:line="170" w:lineRule="exact"/>
              <w:rPr>
                <w:rFonts w:ascii="Arial" w:cs="Arial" w:eastAsia="Arial" w:hAnsi="Arial"/>
                <w:sz w:val="18"/>
                <w:szCs w:val="18"/>
                <w:color w:val="0000EE"/>
              </w:rPr>
            </w:pPr>
            <w:hyperlink r:id="rId200">
              <w:r>
                <w:rPr>
                  <w:rFonts w:ascii="Arial" w:cs="Arial" w:eastAsia="Arial" w:hAnsi="Arial"/>
                  <w:sz w:val="18"/>
                  <w:szCs w:val="18"/>
                  <w:color w:val="0000EE"/>
                </w:rPr>
                <w:t>Registrant</w:t>
              </w:r>
            </w:hyperlink>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right"/>
              <w:spacing w:after="0" w:line="150" w:lineRule="exact"/>
              <w:rPr>
                <w:sz w:val="20"/>
                <w:szCs w:val="20"/>
                <w:color w:val="auto"/>
              </w:rPr>
            </w:pPr>
            <w:r>
              <w:rPr>
                <w:rFonts w:ascii="Arial" w:cs="Arial" w:eastAsia="Arial" w:hAnsi="Arial"/>
                <w:sz w:val="17"/>
                <w:szCs w:val="17"/>
                <w:color w:val="auto"/>
              </w:rPr>
              <w:t>3.2</w:t>
            </w:r>
          </w:p>
        </w:tc>
        <w:tc>
          <w:tcPr>
            <w:tcW w:w="160" w:type="dxa"/>
            <w:vAlign w:val="bottom"/>
          </w:tcPr>
          <w:p>
            <w:pPr>
              <w:spacing w:after="0"/>
              <w:rPr>
                <w:sz w:val="14"/>
                <w:szCs w:val="14"/>
                <w:color w:val="auto"/>
              </w:rPr>
            </w:pPr>
          </w:p>
        </w:tc>
        <w:tc>
          <w:tcPr>
            <w:tcW w:w="740" w:type="dxa"/>
            <w:vAlign w:val="bottom"/>
            <w:tcBorders>
              <w:top w:val="single" w:sz="8" w:color="0000EE"/>
            </w:tcBorders>
            <w:gridSpan w:val="4"/>
          </w:tcPr>
          <w:p>
            <w:pPr>
              <w:spacing w:after="0" w:line="156" w:lineRule="exact"/>
              <w:rPr>
                <w:rFonts w:ascii="Arial" w:cs="Arial" w:eastAsia="Arial" w:hAnsi="Arial"/>
                <w:sz w:val="18"/>
                <w:szCs w:val="18"/>
                <w:color w:val="0000EE"/>
                <w:w w:val="93"/>
              </w:rPr>
            </w:pPr>
            <w:hyperlink r:id="rId201">
              <w:r>
                <w:rPr>
                  <w:rFonts w:ascii="Arial" w:cs="Arial" w:eastAsia="Arial" w:hAnsi="Arial"/>
                  <w:sz w:val="18"/>
                  <w:szCs w:val="18"/>
                  <w:color w:val="0000EE"/>
                  <w:w w:val="93"/>
                </w:rPr>
                <w:t>Amended</w:t>
              </w:r>
            </w:hyperlink>
          </w:p>
        </w:tc>
        <w:tc>
          <w:tcPr>
            <w:tcW w:w="3080" w:type="dxa"/>
            <w:vAlign w:val="bottom"/>
            <w:gridSpan w:val="25"/>
          </w:tcPr>
          <w:p>
            <w:pPr>
              <w:ind w:left="20"/>
              <w:spacing w:after="0" w:line="150" w:lineRule="exact"/>
              <w:rPr>
                <w:rFonts w:ascii="Arial" w:cs="Arial" w:eastAsia="Arial" w:hAnsi="Arial"/>
                <w:sz w:val="17"/>
                <w:szCs w:val="17"/>
                <w:color w:val="0000EE"/>
              </w:rPr>
            </w:pPr>
            <w:hyperlink r:id="rId201">
              <w:r>
                <w:rPr>
                  <w:rFonts w:ascii="Arial" w:cs="Arial" w:eastAsia="Arial" w:hAnsi="Arial"/>
                  <w:sz w:val="17"/>
                  <w:szCs w:val="17"/>
                  <w:color w:val="0000EE"/>
                </w:rPr>
                <w:t>and Restated By</w:t>
              </w:r>
              <w:r>
                <w:rPr>
                  <w:rFonts w:ascii="MS PGothic" w:cs="MS PGothic" w:eastAsia="MS PGothic" w:hAnsi="MS PGothic"/>
                  <w:sz w:val="17"/>
                  <w:szCs w:val="17"/>
                  <w:color w:val="0000EE"/>
                </w:rPr>
                <w:t>‑</w:t>
              </w:r>
              <w:r>
                <w:rPr>
                  <w:rFonts w:ascii="Arial" w:cs="Arial" w:eastAsia="Arial" w:hAnsi="Arial"/>
                  <w:sz w:val="17"/>
                  <w:szCs w:val="17"/>
                  <w:color w:val="0000EE"/>
                </w:rPr>
                <w:t>laws of the Registrant</w:t>
              </w:r>
            </w:hyperlink>
          </w:p>
        </w:tc>
        <w:tc>
          <w:tcPr>
            <w:tcW w:w="520" w:type="dxa"/>
            <w:vAlign w:val="bottom"/>
            <w:gridSpan w:val="2"/>
          </w:tcPr>
          <w:p>
            <w:pPr>
              <w:ind w:left="100"/>
              <w:spacing w:after="0" w:line="150" w:lineRule="exact"/>
              <w:rPr>
                <w:sz w:val="20"/>
                <w:szCs w:val="20"/>
                <w:color w:val="auto"/>
              </w:rPr>
            </w:pPr>
            <w:r>
              <w:rPr>
                <w:rFonts w:ascii="Arial" w:cs="Arial" w:eastAsia="Arial" w:hAnsi="Arial"/>
                <w:sz w:val="17"/>
                <w:szCs w:val="17"/>
                <w:color w:val="auto"/>
              </w:rPr>
              <w:t>8-K</w:t>
            </w:r>
          </w:p>
        </w:tc>
        <w:tc>
          <w:tcPr>
            <w:tcW w:w="1060" w:type="dxa"/>
            <w:vAlign w:val="bottom"/>
            <w:gridSpan w:val="2"/>
          </w:tcPr>
          <w:p>
            <w:pPr>
              <w:ind w:left="120"/>
              <w:spacing w:after="0" w:line="150" w:lineRule="exact"/>
              <w:rPr>
                <w:sz w:val="20"/>
                <w:szCs w:val="20"/>
                <w:color w:val="auto"/>
              </w:rPr>
            </w:pPr>
            <w:r>
              <w:rPr>
                <w:rFonts w:ascii="Arial" w:cs="Arial" w:eastAsia="Arial" w:hAnsi="Arial"/>
                <w:sz w:val="17"/>
                <w:szCs w:val="17"/>
                <w:color w:val="auto"/>
              </w:rPr>
              <w:t>001-37687</w:t>
            </w:r>
          </w:p>
        </w:tc>
        <w:tc>
          <w:tcPr>
            <w:tcW w:w="1020" w:type="dxa"/>
            <w:vAlign w:val="bottom"/>
            <w:gridSpan w:val="2"/>
          </w:tcPr>
          <w:p>
            <w:pPr>
              <w:ind w:left="100"/>
              <w:spacing w:after="0" w:line="150" w:lineRule="exact"/>
              <w:rPr>
                <w:sz w:val="20"/>
                <w:szCs w:val="20"/>
                <w:color w:val="auto"/>
              </w:rPr>
            </w:pPr>
            <w:r>
              <w:rPr>
                <w:rFonts w:ascii="Arial" w:cs="Arial" w:eastAsia="Arial" w:hAnsi="Arial"/>
                <w:sz w:val="17"/>
                <w:szCs w:val="17"/>
                <w:color w:val="auto"/>
              </w:rPr>
              <w:t>2/8/2016</w:t>
            </w:r>
          </w:p>
        </w:tc>
        <w:tc>
          <w:tcPr>
            <w:tcW w:w="600" w:type="dxa"/>
            <w:vAlign w:val="bottom"/>
            <w:gridSpan w:val="2"/>
          </w:tcPr>
          <w:p>
            <w:pPr>
              <w:ind w:left="100"/>
              <w:spacing w:after="0" w:line="150" w:lineRule="exact"/>
              <w:rPr>
                <w:sz w:val="20"/>
                <w:szCs w:val="20"/>
                <w:color w:val="auto"/>
              </w:rPr>
            </w:pPr>
            <w:r>
              <w:rPr>
                <w:rFonts w:ascii="Arial" w:cs="Arial" w:eastAsia="Arial" w:hAnsi="Arial"/>
                <w:sz w:val="17"/>
                <w:szCs w:val="17"/>
                <w:color w:val="auto"/>
              </w:rPr>
              <w:t>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3820" w:type="dxa"/>
            <w:vAlign w:val="bottom"/>
            <w:gridSpan w:val="29"/>
          </w:tcPr>
          <w:p>
            <w:pPr>
              <w:spacing w:after="0" w:line="182"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Specimen Stock Certificate evidencing the shares of</w:t>
              </w:r>
            </w:hyperlink>
          </w:p>
        </w:tc>
        <w:tc>
          <w:tcPr>
            <w:tcW w:w="5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S-1</w:t>
            </w:r>
          </w:p>
        </w:tc>
        <w:tc>
          <w:tcPr>
            <w:tcW w:w="1060" w:type="dxa"/>
            <w:vAlign w:val="bottom"/>
            <w:gridSpan w:val="2"/>
          </w:tcPr>
          <w:p>
            <w:pPr>
              <w:ind w:left="120"/>
              <w:spacing w:after="0" w:line="182" w:lineRule="exact"/>
              <w:rPr>
                <w:sz w:val="20"/>
                <w:szCs w:val="20"/>
                <w:color w:val="auto"/>
              </w:rPr>
            </w:pPr>
            <w:r>
              <w:rPr>
                <w:rFonts w:ascii="Arial" w:cs="Arial" w:eastAsia="Arial" w:hAnsi="Arial"/>
                <w:sz w:val="18"/>
                <w:szCs w:val="18"/>
                <w:color w:val="auto"/>
                <w:w w:val="95"/>
              </w:rPr>
              <w:t>333-208856</w:t>
            </w:r>
          </w:p>
        </w:tc>
        <w:tc>
          <w:tcPr>
            <w:tcW w:w="10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1/4/2016</w:t>
            </w:r>
          </w:p>
        </w:tc>
        <w:tc>
          <w:tcPr>
            <w:tcW w:w="60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10.1+</w:t>
            </w:r>
          </w:p>
        </w:tc>
        <w:tc>
          <w:tcPr>
            <w:tcW w:w="3800" w:type="dxa"/>
            <w:vAlign w:val="bottom"/>
            <w:tcBorders>
              <w:top w:val="single" w:sz="8" w:color="0000EE"/>
            </w:tcBorders>
            <w:gridSpan w:val="28"/>
          </w:tcPr>
          <w:p>
            <w:pPr>
              <w:spacing w:after="0" w:line="170" w:lineRule="exact"/>
              <w:rPr>
                <w:rFonts w:ascii="Arial" w:cs="Arial" w:eastAsia="Arial" w:hAnsi="Arial"/>
                <w:sz w:val="18"/>
                <w:szCs w:val="18"/>
                <w:color w:val="0000EE"/>
              </w:rPr>
            </w:pPr>
            <w:hyperlink r:id="rId202">
              <w:r>
                <w:rPr>
                  <w:rFonts w:ascii="Arial" w:cs="Arial" w:eastAsia="Arial" w:hAnsi="Arial"/>
                  <w:sz w:val="18"/>
                  <w:szCs w:val="18"/>
                  <w:color w:val="0000EE"/>
                </w:rPr>
                <w:t>common stock</w:t>
              </w:r>
            </w:hyperlink>
          </w:p>
        </w:tc>
        <w:tc>
          <w:tcPr>
            <w:tcW w:w="20" w:type="dxa"/>
            <w:vAlign w:val="bottom"/>
          </w:tcPr>
          <w:p>
            <w:pPr>
              <w:spacing w:after="0"/>
              <w:rPr>
                <w:sz w:val="14"/>
                <w:szCs w:val="14"/>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S-1</w:t>
            </w:r>
          </w:p>
        </w:tc>
        <w:tc>
          <w:tcPr>
            <w:tcW w:w="1060" w:type="dxa"/>
            <w:vAlign w:val="bottom"/>
            <w:gridSpan w:val="2"/>
            <w:vMerge w:val="restart"/>
          </w:tcPr>
          <w:p>
            <w:pPr>
              <w:ind w:left="120"/>
              <w:spacing w:after="0"/>
              <w:rPr>
                <w:sz w:val="20"/>
                <w:szCs w:val="20"/>
                <w:color w:val="auto"/>
              </w:rPr>
            </w:pPr>
            <w:r>
              <w:rPr>
                <w:rFonts w:ascii="Arial" w:cs="Arial" w:eastAsia="Arial" w:hAnsi="Arial"/>
                <w:sz w:val="18"/>
                <w:szCs w:val="18"/>
                <w:color w:val="auto"/>
                <w:w w:val="95"/>
              </w:rPr>
              <w:t>333-208856</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auto"/>
              </w:rPr>
              <w:t>1/4/2016</w:t>
            </w:r>
          </w:p>
        </w:tc>
        <w:tc>
          <w:tcPr>
            <w:tcW w:w="600" w:type="dxa"/>
            <w:vAlign w:val="bottom"/>
            <w:gridSpan w:val="2"/>
            <w:vMerge w:val="restart"/>
          </w:tcPr>
          <w:p>
            <w:pPr>
              <w:ind w:left="1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continu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2840" w:type="dxa"/>
            <w:vAlign w:val="bottom"/>
            <w:tcBorders>
              <w:bottom w:val="single" w:sz="8" w:color="0000EE"/>
            </w:tcBorders>
            <w:gridSpan w:val="12"/>
          </w:tcPr>
          <w:p>
            <w:pPr>
              <w:spacing w:after="0" w:line="170" w:lineRule="exact"/>
              <w:rPr>
                <w:rFonts w:ascii="Arial" w:cs="Arial" w:eastAsia="Arial" w:hAnsi="Arial"/>
                <w:sz w:val="18"/>
                <w:szCs w:val="18"/>
                <w:color w:val="0000EE"/>
                <w:w w:val="88"/>
              </w:rPr>
            </w:pPr>
            <w:hyperlink r:id="rId203">
              <w:r>
                <w:rPr>
                  <w:rFonts w:ascii="Arial" w:cs="Arial" w:eastAsia="Arial" w:hAnsi="Arial"/>
                  <w:sz w:val="18"/>
                  <w:szCs w:val="18"/>
                  <w:color w:val="0000EE"/>
                  <w:w w:val="88"/>
                </w:rPr>
                <w:t>2013 Stock Incentive Plan, as amended</w:t>
              </w:r>
            </w:hyperlink>
          </w:p>
        </w:tc>
        <w:tc>
          <w:tcPr>
            <w:tcW w:w="980" w:type="dxa"/>
            <w:vAlign w:val="bottom"/>
            <w:gridSpan w:val="17"/>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gridSpan w:val="2"/>
          </w:tcPr>
          <w:p>
            <w:pPr>
              <w:jc w:val="right"/>
              <w:ind w:right="160"/>
              <w:spacing w:after="0" w:line="170" w:lineRule="exact"/>
              <w:rPr>
                <w:sz w:val="20"/>
                <w:szCs w:val="20"/>
                <w:color w:val="auto"/>
              </w:rPr>
            </w:pPr>
            <w:r>
              <w:rPr>
                <w:rFonts w:ascii="Arial" w:cs="Arial" w:eastAsia="Arial" w:hAnsi="Arial"/>
                <w:sz w:val="18"/>
                <w:szCs w:val="18"/>
                <w:color w:val="auto"/>
              </w:rPr>
              <w:t>10.2+</w:t>
            </w:r>
          </w:p>
        </w:tc>
        <w:tc>
          <w:tcPr>
            <w:tcW w:w="3820" w:type="dxa"/>
            <w:vAlign w:val="bottom"/>
            <w:gridSpan w:val="29"/>
          </w:tcPr>
          <w:p>
            <w:pPr>
              <w:spacing w:after="0" w:line="170" w:lineRule="exact"/>
              <w:rPr>
                <w:rFonts w:ascii="Arial" w:cs="Arial" w:eastAsia="Arial" w:hAnsi="Arial"/>
                <w:sz w:val="18"/>
                <w:szCs w:val="18"/>
                <w:color w:val="0000EE"/>
                <w:w w:val="97"/>
              </w:rPr>
            </w:pPr>
            <w:hyperlink r:id="rId204">
              <w:r>
                <w:rPr>
                  <w:rFonts w:ascii="Arial" w:cs="Arial" w:eastAsia="Arial" w:hAnsi="Arial"/>
                  <w:sz w:val="18"/>
                  <w:szCs w:val="18"/>
                  <w:color w:val="0000EE"/>
                  <w:w w:val="97"/>
                </w:rPr>
                <w:t>Form of Incentive Stock Option Agreement under</w:t>
              </w:r>
            </w:hyperlink>
          </w:p>
        </w:tc>
        <w:tc>
          <w:tcPr>
            <w:tcW w:w="5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S-1</w:t>
            </w:r>
          </w:p>
        </w:tc>
        <w:tc>
          <w:tcPr>
            <w:tcW w:w="1060" w:type="dxa"/>
            <w:vAlign w:val="bottom"/>
            <w:gridSpan w:val="2"/>
          </w:tcPr>
          <w:p>
            <w:pPr>
              <w:ind w:left="120"/>
              <w:spacing w:after="0" w:line="170" w:lineRule="exact"/>
              <w:rPr>
                <w:sz w:val="20"/>
                <w:szCs w:val="20"/>
                <w:color w:val="auto"/>
              </w:rPr>
            </w:pPr>
            <w:r>
              <w:rPr>
                <w:rFonts w:ascii="Arial" w:cs="Arial" w:eastAsia="Arial" w:hAnsi="Arial"/>
                <w:sz w:val="18"/>
                <w:szCs w:val="18"/>
                <w:color w:val="auto"/>
                <w:w w:val="95"/>
              </w:rPr>
              <w:t>333-208856</w:t>
            </w:r>
          </w:p>
        </w:tc>
        <w:tc>
          <w:tcPr>
            <w:tcW w:w="10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1/4/2016</w:t>
            </w:r>
          </w:p>
        </w:tc>
        <w:tc>
          <w:tcPr>
            <w:tcW w:w="60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10.3+</w:t>
            </w:r>
          </w:p>
        </w:tc>
        <w:tc>
          <w:tcPr>
            <w:tcW w:w="2840" w:type="dxa"/>
            <w:vAlign w:val="bottom"/>
            <w:tcBorders>
              <w:top w:val="single" w:sz="8" w:color="0000EE"/>
              <w:bottom w:val="single" w:sz="8" w:color="0000EE"/>
            </w:tcBorders>
            <w:gridSpan w:val="12"/>
          </w:tcPr>
          <w:p>
            <w:pPr>
              <w:spacing w:after="0" w:line="170" w:lineRule="exact"/>
              <w:rPr>
                <w:rFonts w:ascii="Arial" w:cs="Arial" w:eastAsia="Arial" w:hAnsi="Arial"/>
                <w:sz w:val="18"/>
                <w:szCs w:val="18"/>
                <w:color w:val="0000EE"/>
                <w:w w:val="88"/>
              </w:rPr>
            </w:pPr>
            <w:hyperlink r:id="rId204">
              <w:r>
                <w:rPr>
                  <w:rFonts w:ascii="Arial" w:cs="Arial" w:eastAsia="Arial" w:hAnsi="Arial"/>
                  <w:sz w:val="18"/>
                  <w:szCs w:val="18"/>
                  <w:color w:val="0000EE"/>
                  <w:w w:val="88"/>
                </w:rPr>
                <w:t>2013 Stock Incentive Plan, as amended</w:t>
              </w:r>
            </w:hyperlink>
          </w:p>
        </w:tc>
        <w:tc>
          <w:tcPr>
            <w:tcW w:w="76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S-1</w:t>
            </w:r>
          </w:p>
        </w:tc>
        <w:tc>
          <w:tcPr>
            <w:tcW w:w="1060" w:type="dxa"/>
            <w:vAlign w:val="bottom"/>
            <w:gridSpan w:val="2"/>
            <w:vMerge w:val="restart"/>
          </w:tcPr>
          <w:p>
            <w:pPr>
              <w:ind w:left="120"/>
              <w:spacing w:after="0"/>
              <w:rPr>
                <w:sz w:val="20"/>
                <w:szCs w:val="20"/>
                <w:color w:val="auto"/>
              </w:rPr>
            </w:pPr>
            <w:r>
              <w:rPr>
                <w:rFonts w:ascii="Arial" w:cs="Arial" w:eastAsia="Arial" w:hAnsi="Arial"/>
                <w:sz w:val="18"/>
                <w:szCs w:val="18"/>
                <w:color w:val="auto"/>
                <w:w w:val="95"/>
              </w:rPr>
              <w:t>333-208856</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auto"/>
              </w:rPr>
              <w:t>1/4/2016</w:t>
            </w:r>
          </w:p>
        </w:tc>
        <w:tc>
          <w:tcPr>
            <w:tcW w:w="600" w:type="dxa"/>
            <w:vAlign w:val="bottom"/>
            <w:gridSpan w:val="2"/>
            <w:vMerge w:val="restart"/>
          </w:tcPr>
          <w:p>
            <w:pPr>
              <w:ind w:left="1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3820" w:type="dxa"/>
            <w:vAlign w:val="bottom"/>
            <w:gridSpan w:val="29"/>
          </w:tcPr>
          <w:p>
            <w:pPr>
              <w:spacing w:after="0" w:line="170" w:lineRule="exact"/>
              <w:rPr>
                <w:rFonts w:ascii="Arial" w:cs="Arial" w:eastAsia="Arial" w:hAnsi="Arial"/>
                <w:sz w:val="18"/>
                <w:szCs w:val="18"/>
                <w:color w:val="0000EE"/>
              </w:rPr>
            </w:pPr>
            <w:hyperlink r:id="rId205">
              <w:r>
                <w:rPr>
                  <w:rFonts w:ascii="Arial" w:cs="Arial" w:eastAsia="Arial" w:hAnsi="Arial"/>
                  <w:sz w:val="18"/>
                  <w:szCs w:val="18"/>
                  <w:color w:val="0000EE"/>
                </w:rPr>
                <w:t>Form of Nonstatutory Stock Option Agreement</w:t>
              </w:r>
            </w:hyperlink>
          </w:p>
        </w:tc>
        <w:tc>
          <w:tcPr>
            <w:tcW w:w="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tcBorders>
              <w:top w:val="single" w:sz="8" w:color="0000EE"/>
            </w:tcBorders>
            <w:gridSpan w:val="20"/>
          </w:tcPr>
          <w:p>
            <w:pPr>
              <w:spacing w:after="0" w:line="170"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under 2013 Stock Incentive Plan, as amended</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gridSpan w:val="2"/>
          </w:tcPr>
          <w:p>
            <w:pPr>
              <w:jc w:val="right"/>
              <w:ind w:right="160"/>
              <w:spacing w:after="0" w:line="170" w:lineRule="exact"/>
              <w:rPr>
                <w:sz w:val="20"/>
                <w:szCs w:val="20"/>
                <w:color w:val="auto"/>
              </w:rPr>
            </w:pPr>
            <w:r>
              <w:rPr>
                <w:rFonts w:ascii="Arial" w:cs="Arial" w:eastAsia="Arial" w:hAnsi="Arial"/>
                <w:sz w:val="18"/>
                <w:szCs w:val="18"/>
                <w:color w:val="auto"/>
              </w:rPr>
              <w:t>10.4+</w:t>
            </w:r>
          </w:p>
        </w:tc>
        <w:tc>
          <w:tcPr>
            <w:tcW w:w="3300" w:type="dxa"/>
            <w:vAlign w:val="bottom"/>
            <w:tcBorders>
              <w:top w:val="single" w:sz="8" w:color="0000EE"/>
            </w:tcBorders>
            <w:gridSpan w:val="16"/>
          </w:tcPr>
          <w:p>
            <w:pPr>
              <w:spacing w:after="0" w:line="170" w:lineRule="exact"/>
              <w:rPr>
                <w:rFonts w:ascii="Arial" w:cs="Arial" w:eastAsia="Arial" w:hAnsi="Arial"/>
                <w:sz w:val="18"/>
                <w:szCs w:val="18"/>
                <w:color w:val="0000EE"/>
                <w:w w:val="96"/>
              </w:rPr>
            </w:pPr>
            <w:hyperlink r:id="rId206">
              <w:r>
                <w:rPr>
                  <w:rFonts w:ascii="Arial" w:cs="Arial" w:eastAsia="Arial" w:hAnsi="Arial"/>
                  <w:sz w:val="18"/>
                  <w:szCs w:val="18"/>
                  <w:color w:val="0000EE"/>
                  <w:w w:val="96"/>
                </w:rPr>
                <w:t>Form of Early Exercise Nonstatutory Stock</w:t>
              </w:r>
            </w:hyperlink>
          </w:p>
        </w:tc>
        <w:tc>
          <w:tcPr>
            <w:tcW w:w="520" w:type="dxa"/>
            <w:vAlign w:val="bottom"/>
            <w:gridSpan w:val="13"/>
          </w:tcPr>
          <w:p>
            <w:pPr>
              <w:jc w:val="center"/>
              <w:ind w:right="140"/>
              <w:spacing w:after="0" w:line="170" w:lineRule="exact"/>
              <w:rPr>
                <w:rFonts w:ascii="Arial" w:cs="Arial" w:eastAsia="Arial" w:hAnsi="Arial"/>
                <w:sz w:val="18"/>
                <w:szCs w:val="18"/>
                <w:color w:val="0000EE"/>
                <w:w w:val="71"/>
              </w:rPr>
            </w:pPr>
            <w:hyperlink r:id="rId206">
              <w:r>
                <w:rPr>
                  <w:rFonts w:ascii="Arial" w:cs="Arial" w:eastAsia="Arial" w:hAnsi="Arial"/>
                  <w:sz w:val="18"/>
                  <w:szCs w:val="18"/>
                  <w:color w:val="0000EE"/>
                  <w:w w:val="71"/>
                </w:rPr>
                <w:t>Option</w:t>
              </w:r>
            </w:hyperlink>
          </w:p>
        </w:tc>
        <w:tc>
          <w:tcPr>
            <w:tcW w:w="5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S-1</w:t>
            </w:r>
          </w:p>
        </w:tc>
        <w:tc>
          <w:tcPr>
            <w:tcW w:w="1060" w:type="dxa"/>
            <w:vAlign w:val="bottom"/>
            <w:gridSpan w:val="2"/>
          </w:tcPr>
          <w:p>
            <w:pPr>
              <w:ind w:left="120"/>
              <w:spacing w:after="0" w:line="170" w:lineRule="exact"/>
              <w:rPr>
                <w:sz w:val="20"/>
                <w:szCs w:val="20"/>
                <w:color w:val="auto"/>
              </w:rPr>
            </w:pPr>
            <w:r>
              <w:rPr>
                <w:rFonts w:ascii="Arial" w:cs="Arial" w:eastAsia="Arial" w:hAnsi="Arial"/>
                <w:sz w:val="18"/>
                <w:szCs w:val="18"/>
                <w:color w:val="auto"/>
                <w:w w:val="95"/>
              </w:rPr>
              <w:t>333-208856</w:t>
            </w:r>
          </w:p>
        </w:tc>
        <w:tc>
          <w:tcPr>
            <w:tcW w:w="10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1/4/2016</w:t>
            </w:r>
          </w:p>
        </w:tc>
        <w:tc>
          <w:tcPr>
            <w:tcW w:w="60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tcBorders>
              <w:top w:val="single" w:sz="8" w:color="0000EE"/>
            </w:tcBorders>
            <w:gridSpan w:val="25"/>
          </w:tcPr>
          <w:p>
            <w:pPr>
              <w:spacing w:after="0" w:line="170" w:lineRule="exact"/>
              <w:rPr>
                <w:rFonts w:ascii="Arial" w:cs="Arial" w:eastAsia="Arial" w:hAnsi="Arial"/>
                <w:sz w:val="18"/>
                <w:szCs w:val="18"/>
                <w:color w:val="0000EE"/>
                <w:w w:val="95"/>
              </w:rPr>
            </w:pPr>
            <w:hyperlink r:id="rId206">
              <w:r>
                <w:rPr>
                  <w:rFonts w:ascii="Arial" w:cs="Arial" w:eastAsia="Arial" w:hAnsi="Arial"/>
                  <w:sz w:val="18"/>
                  <w:szCs w:val="18"/>
                  <w:color w:val="0000EE"/>
                  <w:w w:val="95"/>
                </w:rPr>
                <w:t>Agreement under 2013 Stock Incentive Plan, as</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tcBorders>
              <w:top w:val="single" w:sz="8" w:color="0000EE"/>
            </w:tcBorders>
            <w:gridSpan w:val="21"/>
          </w:tcPr>
          <w:p>
            <w:pPr>
              <w:spacing w:after="0" w:line="170" w:lineRule="exact"/>
              <w:rPr>
                <w:rFonts w:ascii="Arial" w:cs="Arial" w:eastAsia="Arial" w:hAnsi="Arial"/>
                <w:sz w:val="18"/>
                <w:szCs w:val="18"/>
                <w:color w:val="0000EE"/>
              </w:rPr>
            </w:pPr>
            <w:hyperlink r:id="rId206">
              <w:r>
                <w:rPr>
                  <w:rFonts w:ascii="Arial" w:cs="Arial" w:eastAsia="Arial" w:hAnsi="Arial"/>
                  <w:sz w:val="18"/>
                  <w:szCs w:val="18"/>
                  <w:color w:val="0000EE"/>
                </w:rPr>
                <w:t>amended</w:t>
              </w:r>
            </w:hyperlink>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gridSpan w:val="2"/>
          </w:tcPr>
          <w:p>
            <w:pPr>
              <w:jc w:val="right"/>
              <w:ind w:right="160"/>
              <w:spacing w:after="0" w:line="170" w:lineRule="exact"/>
              <w:rPr>
                <w:sz w:val="20"/>
                <w:szCs w:val="20"/>
                <w:color w:val="auto"/>
              </w:rPr>
            </w:pPr>
            <w:r>
              <w:rPr>
                <w:rFonts w:ascii="Arial" w:cs="Arial" w:eastAsia="Arial" w:hAnsi="Arial"/>
                <w:sz w:val="18"/>
                <w:szCs w:val="18"/>
                <w:color w:val="auto"/>
              </w:rPr>
              <w:t>10.5+</w:t>
            </w:r>
          </w:p>
        </w:tc>
        <w:tc>
          <w:tcPr>
            <w:tcW w:w="660" w:type="dxa"/>
            <w:vAlign w:val="bottom"/>
            <w:tcBorders>
              <w:top w:val="single" w:sz="8" w:color="0000EE"/>
            </w:tcBorders>
            <w:gridSpan w:val="3"/>
          </w:tcPr>
          <w:p>
            <w:pPr>
              <w:spacing w:after="0" w:line="170" w:lineRule="exact"/>
              <w:rPr>
                <w:rFonts w:ascii="Arial" w:cs="Arial" w:eastAsia="Arial" w:hAnsi="Arial"/>
                <w:sz w:val="18"/>
                <w:szCs w:val="18"/>
                <w:color w:val="0000EE"/>
              </w:rPr>
            </w:pPr>
            <w:hyperlink r:id="rId207">
              <w:r>
                <w:rPr>
                  <w:rFonts w:ascii="Arial" w:cs="Arial" w:eastAsia="Arial" w:hAnsi="Arial"/>
                  <w:sz w:val="18"/>
                  <w:szCs w:val="18"/>
                  <w:color w:val="0000EE"/>
                </w:rPr>
                <w:t>Form of</w:t>
              </w:r>
            </w:hyperlink>
          </w:p>
        </w:tc>
        <w:tc>
          <w:tcPr>
            <w:tcW w:w="3160" w:type="dxa"/>
            <w:vAlign w:val="bottom"/>
            <w:gridSpan w:val="26"/>
          </w:tcPr>
          <w:p>
            <w:pPr>
              <w:spacing w:after="0" w:line="170" w:lineRule="exact"/>
              <w:rPr>
                <w:rFonts w:ascii="Arial" w:cs="Arial" w:eastAsia="Arial" w:hAnsi="Arial"/>
                <w:sz w:val="18"/>
                <w:szCs w:val="18"/>
                <w:color w:val="0000EE"/>
                <w:w w:val="98"/>
              </w:rPr>
            </w:pPr>
            <w:hyperlink r:id="rId207">
              <w:r>
                <w:rPr>
                  <w:rFonts w:ascii="Arial" w:cs="Arial" w:eastAsia="Arial" w:hAnsi="Arial"/>
                  <w:sz w:val="18"/>
                  <w:szCs w:val="18"/>
                  <w:color w:val="0000EE"/>
                  <w:w w:val="98"/>
                </w:rPr>
                <w:t>Restricted Stock Agreement under 2013</w:t>
              </w:r>
            </w:hyperlink>
          </w:p>
        </w:tc>
        <w:tc>
          <w:tcPr>
            <w:tcW w:w="5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S-1</w:t>
            </w:r>
          </w:p>
        </w:tc>
        <w:tc>
          <w:tcPr>
            <w:tcW w:w="1060" w:type="dxa"/>
            <w:vAlign w:val="bottom"/>
            <w:gridSpan w:val="2"/>
          </w:tcPr>
          <w:p>
            <w:pPr>
              <w:ind w:left="120"/>
              <w:spacing w:after="0" w:line="170" w:lineRule="exact"/>
              <w:rPr>
                <w:sz w:val="20"/>
                <w:szCs w:val="20"/>
                <w:color w:val="auto"/>
              </w:rPr>
            </w:pPr>
            <w:r>
              <w:rPr>
                <w:rFonts w:ascii="Arial" w:cs="Arial" w:eastAsia="Arial" w:hAnsi="Arial"/>
                <w:sz w:val="18"/>
                <w:szCs w:val="18"/>
                <w:color w:val="auto"/>
                <w:w w:val="95"/>
              </w:rPr>
              <w:t>333-208856</w:t>
            </w:r>
          </w:p>
        </w:tc>
        <w:tc>
          <w:tcPr>
            <w:tcW w:w="10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1/4/2016</w:t>
            </w:r>
          </w:p>
        </w:tc>
        <w:tc>
          <w:tcPr>
            <w:tcW w:w="60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10.6+</w:t>
            </w:r>
          </w:p>
        </w:tc>
        <w:tc>
          <w:tcPr>
            <w:tcW w:w="3560" w:type="dxa"/>
            <w:vAlign w:val="bottom"/>
            <w:tcBorders>
              <w:top w:val="single" w:sz="8" w:color="0000EE"/>
            </w:tcBorders>
            <w:gridSpan w:val="22"/>
          </w:tcPr>
          <w:p>
            <w:pPr>
              <w:spacing w:after="0" w:line="170" w:lineRule="exact"/>
              <w:rPr>
                <w:rFonts w:ascii="Arial" w:cs="Arial" w:eastAsia="Arial" w:hAnsi="Arial"/>
                <w:sz w:val="18"/>
                <w:szCs w:val="18"/>
                <w:color w:val="0000EE"/>
              </w:rPr>
            </w:pPr>
            <w:hyperlink r:id="rId207">
              <w:r>
                <w:rPr>
                  <w:rFonts w:ascii="Arial" w:cs="Arial" w:eastAsia="Arial" w:hAnsi="Arial"/>
                  <w:sz w:val="18"/>
                  <w:szCs w:val="18"/>
                  <w:color w:val="0000EE"/>
                </w:rPr>
                <w:t>Stock Incentive Plan, as amended</w:t>
              </w:r>
            </w:hyperlink>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S-1</w:t>
            </w:r>
          </w:p>
        </w:tc>
        <w:tc>
          <w:tcPr>
            <w:tcW w:w="1060" w:type="dxa"/>
            <w:vAlign w:val="bottom"/>
            <w:gridSpan w:val="2"/>
            <w:vMerge w:val="restart"/>
          </w:tcPr>
          <w:p>
            <w:pPr>
              <w:ind w:left="120"/>
              <w:spacing w:after="0"/>
              <w:rPr>
                <w:sz w:val="20"/>
                <w:szCs w:val="20"/>
                <w:color w:val="auto"/>
              </w:rPr>
            </w:pPr>
            <w:r>
              <w:rPr>
                <w:rFonts w:ascii="Arial" w:cs="Arial" w:eastAsia="Arial" w:hAnsi="Arial"/>
                <w:sz w:val="18"/>
                <w:szCs w:val="18"/>
                <w:color w:val="auto"/>
                <w:w w:val="95"/>
              </w:rPr>
              <w:t>333-208856</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auto"/>
              </w:rPr>
              <w:t>1/4/2016</w:t>
            </w:r>
          </w:p>
        </w:tc>
        <w:tc>
          <w:tcPr>
            <w:tcW w:w="600" w:type="dxa"/>
            <w:vAlign w:val="bottom"/>
            <w:gridSpan w:val="2"/>
            <w:vMerge w:val="restart"/>
          </w:tcPr>
          <w:p>
            <w:pPr>
              <w:ind w:left="10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2440" w:type="dxa"/>
            <w:vAlign w:val="bottom"/>
            <w:tcBorders>
              <w:top w:val="single" w:sz="8" w:color="0000EE"/>
            </w:tcBorders>
            <w:gridSpan w:val="11"/>
          </w:tcPr>
          <w:p>
            <w:pPr>
              <w:spacing w:after="0" w:line="170" w:lineRule="exact"/>
              <w:rPr>
                <w:rFonts w:ascii="Arial" w:cs="Arial" w:eastAsia="Arial" w:hAnsi="Arial"/>
                <w:sz w:val="18"/>
                <w:szCs w:val="18"/>
                <w:color w:val="0000EE"/>
              </w:rPr>
            </w:pPr>
            <w:hyperlink r:id="rId208">
              <w:r>
                <w:rPr>
                  <w:rFonts w:ascii="Arial" w:cs="Arial" w:eastAsia="Arial" w:hAnsi="Arial"/>
                  <w:sz w:val="18"/>
                  <w:szCs w:val="18"/>
                  <w:color w:val="0000EE"/>
                </w:rPr>
                <w:t>2015 Stock Incentive Plan</w:t>
              </w:r>
            </w:hyperlink>
          </w:p>
        </w:tc>
        <w:tc>
          <w:tcPr>
            <w:tcW w:w="7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gridSpan w:val="2"/>
          </w:tcPr>
          <w:p>
            <w:pPr>
              <w:jc w:val="right"/>
              <w:ind w:right="160"/>
              <w:spacing w:after="0" w:line="170" w:lineRule="exact"/>
              <w:rPr>
                <w:sz w:val="20"/>
                <w:szCs w:val="20"/>
                <w:color w:val="auto"/>
              </w:rPr>
            </w:pPr>
            <w:r>
              <w:rPr>
                <w:rFonts w:ascii="Arial" w:cs="Arial" w:eastAsia="Arial" w:hAnsi="Arial"/>
                <w:sz w:val="18"/>
                <w:szCs w:val="18"/>
                <w:color w:val="auto"/>
              </w:rPr>
              <w:t>10.7+</w:t>
            </w:r>
          </w:p>
        </w:tc>
        <w:tc>
          <w:tcPr>
            <w:tcW w:w="1900" w:type="dxa"/>
            <w:vAlign w:val="bottom"/>
            <w:tcBorders>
              <w:top w:val="single" w:sz="8" w:color="0000EE"/>
            </w:tcBorders>
            <w:gridSpan w:val="9"/>
          </w:tcPr>
          <w:p>
            <w:pPr>
              <w:spacing w:after="0" w:line="170" w:lineRule="exact"/>
              <w:rPr>
                <w:rFonts w:ascii="Arial" w:cs="Arial" w:eastAsia="Arial" w:hAnsi="Arial"/>
                <w:sz w:val="18"/>
                <w:szCs w:val="18"/>
                <w:color w:val="0000EE"/>
                <w:w w:val="99"/>
              </w:rPr>
            </w:pPr>
            <w:hyperlink r:id="rId209">
              <w:r>
                <w:rPr>
                  <w:rFonts w:ascii="Arial" w:cs="Arial" w:eastAsia="Arial" w:hAnsi="Arial"/>
                  <w:sz w:val="18"/>
                  <w:szCs w:val="18"/>
                  <w:color w:val="0000EE"/>
                  <w:w w:val="99"/>
                </w:rPr>
                <w:t>Form of Incentive Stock</w:t>
              </w:r>
            </w:hyperlink>
          </w:p>
        </w:tc>
        <w:tc>
          <w:tcPr>
            <w:tcW w:w="1920" w:type="dxa"/>
            <w:vAlign w:val="bottom"/>
            <w:gridSpan w:val="20"/>
          </w:tcPr>
          <w:p>
            <w:pPr>
              <w:spacing w:after="0" w:line="170" w:lineRule="exact"/>
              <w:rPr>
                <w:rFonts w:ascii="Arial" w:cs="Arial" w:eastAsia="Arial" w:hAnsi="Arial"/>
                <w:sz w:val="18"/>
                <w:szCs w:val="18"/>
                <w:color w:val="0000EE"/>
                <w:w w:val="96"/>
              </w:rPr>
            </w:pPr>
            <w:hyperlink r:id="rId209">
              <w:r>
                <w:rPr>
                  <w:rFonts w:ascii="Arial" w:cs="Arial" w:eastAsia="Arial" w:hAnsi="Arial"/>
                  <w:sz w:val="18"/>
                  <w:szCs w:val="18"/>
                  <w:color w:val="0000EE"/>
                  <w:w w:val="96"/>
                </w:rPr>
                <w:t>Option Agreement under</w:t>
              </w:r>
            </w:hyperlink>
          </w:p>
        </w:tc>
        <w:tc>
          <w:tcPr>
            <w:tcW w:w="5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S-1</w:t>
            </w:r>
          </w:p>
        </w:tc>
        <w:tc>
          <w:tcPr>
            <w:tcW w:w="1060" w:type="dxa"/>
            <w:vAlign w:val="bottom"/>
            <w:gridSpan w:val="2"/>
          </w:tcPr>
          <w:p>
            <w:pPr>
              <w:ind w:left="120"/>
              <w:spacing w:after="0" w:line="170" w:lineRule="exact"/>
              <w:rPr>
                <w:sz w:val="20"/>
                <w:szCs w:val="20"/>
                <w:color w:val="auto"/>
              </w:rPr>
            </w:pPr>
            <w:r>
              <w:rPr>
                <w:rFonts w:ascii="Arial" w:cs="Arial" w:eastAsia="Arial" w:hAnsi="Arial"/>
                <w:sz w:val="18"/>
                <w:szCs w:val="18"/>
                <w:color w:val="auto"/>
                <w:w w:val="95"/>
              </w:rPr>
              <w:t>333-208856</w:t>
            </w:r>
          </w:p>
        </w:tc>
        <w:tc>
          <w:tcPr>
            <w:tcW w:w="10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1/4/2016</w:t>
            </w:r>
          </w:p>
        </w:tc>
        <w:tc>
          <w:tcPr>
            <w:tcW w:w="60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10.8+</w:t>
            </w:r>
          </w:p>
        </w:tc>
        <w:tc>
          <w:tcPr>
            <w:tcW w:w="3600" w:type="dxa"/>
            <w:vAlign w:val="bottom"/>
            <w:tcBorders>
              <w:top w:val="single" w:sz="8" w:color="0000EE"/>
            </w:tcBorders>
            <w:gridSpan w:val="23"/>
          </w:tcPr>
          <w:p>
            <w:pPr>
              <w:spacing w:after="0" w:line="170" w:lineRule="exact"/>
              <w:rPr>
                <w:rFonts w:ascii="Arial" w:cs="Arial" w:eastAsia="Arial" w:hAnsi="Arial"/>
                <w:sz w:val="18"/>
                <w:szCs w:val="18"/>
                <w:color w:val="0000EE"/>
              </w:rPr>
            </w:pPr>
            <w:hyperlink r:id="rId209">
              <w:r>
                <w:rPr>
                  <w:rFonts w:ascii="Arial" w:cs="Arial" w:eastAsia="Arial" w:hAnsi="Arial"/>
                  <w:sz w:val="18"/>
                  <w:szCs w:val="18"/>
                  <w:color w:val="0000EE"/>
                </w:rPr>
                <w:t>2015 Stock Incentive Plan</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S-1</w:t>
            </w:r>
          </w:p>
        </w:tc>
        <w:tc>
          <w:tcPr>
            <w:tcW w:w="1060" w:type="dxa"/>
            <w:vAlign w:val="bottom"/>
            <w:gridSpan w:val="2"/>
            <w:vMerge w:val="restart"/>
          </w:tcPr>
          <w:p>
            <w:pPr>
              <w:ind w:left="120"/>
              <w:spacing w:after="0"/>
              <w:rPr>
                <w:sz w:val="20"/>
                <w:szCs w:val="20"/>
                <w:color w:val="auto"/>
              </w:rPr>
            </w:pPr>
            <w:r>
              <w:rPr>
                <w:rFonts w:ascii="Arial" w:cs="Arial" w:eastAsia="Arial" w:hAnsi="Arial"/>
                <w:sz w:val="18"/>
                <w:szCs w:val="18"/>
                <w:color w:val="auto"/>
                <w:w w:val="95"/>
              </w:rPr>
              <w:t>333-208856</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auto"/>
              </w:rPr>
              <w:t>1/4/2016</w:t>
            </w:r>
          </w:p>
        </w:tc>
        <w:tc>
          <w:tcPr>
            <w:tcW w:w="600" w:type="dxa"/>
            <w:vAlign w:val="bottom"/>
            <w:gridSpan w:val="2"/>
            <w:vMerge w:val="restart"/>
          </w:tcPr>
          <w:p>
            <w:pPr>
              <w:ind w:left="10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continu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3820" w:type="dxa"/>
            <w:vAlign w:val="bottom"/>
            <w:gridSpan w:val="29"/>
          </w:tcPr>
          <w:p>
            <w:pPr>
              <w:spacing w:after="0" w:line="170" w:lineRule="exact"/>
              <w:rPr>
                <w:rFonts w:ascii="Arial" w:cs="Arial" w:eastAsia="Arial" w:hAnsi="Arial"/>
                <w:sz w:val="18"/>
                <w:szCs w:val="18"/>
                <w:color w:val="0000EE"/>
              </w:rPr>
            </w:pPr>
            <w:hyperlink r:id="rId210">
              <w:r>
                <w:rPr>
                  <w:rFonts w:ascii="Arial" w:cs="Arial" w:eastAsia="Arial" w:hAnsi="Arial"/>
                  <w:sz w:val="18"/>
                  <w:szCs w:val="18"/>
                  <w:color w:val="0000EE"/>
                </w:rPr>
                <w:t>Form of Nonstatutory Stock Option Agreement</w:t>
              </w:r>
            </w:hyperlink>
          </w:p>
        </w:tc>
        <w:tc>
          <w:tcPr>
            <w:tcW w:w="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10.9+</w:t>
            </w:r>
          </w:p>
        </w:tc>
        <w:tc>
          <w:tcPr>
            <w:tcW w:w="2360" w:type="dxa"/>
            <w:vAlign w:val="bottom"/>
            <w:tcBorders>
              <w:top w:val="single" w:sz="8" w:color="0000EE"/>
              <w:bottom w:val="single" w:sz="8" w:color="0000EE"/>
            </w:tcBorders>
            <w:gridSpan w:val="10"/>
          </w:tcPr>
          <w:p>
            <w:pPr>
              <w:spacing w:after="0" w:line="170"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under 2015 Stock Incentive Plan</w:t>
              </w:r>
            </w:hyperlink>
          </w:p>
        </w:tc>
        <w:tc>
          <w:tcPr>
            <w:tcW w:w="1080" w:type="dxa"/>
            <w:vAlign w:val="bottom"/>
            <w:tcBorders>
              <w:top w:val="single" w:sz="8" w:color="0000EE"/>
            </w:tcBorders>
            <w:gridSpan w:val="10"/>
          </w:tcPr>
          <w:p>
            <w:pPr>
              <w:spacing w:after="0"/>
              <w:rPr>
                <w:sz w:val="14"/>
                <w:szCs w:val="14"/>
                <w:color w:val="auto"/>
              </w:rPr>
            </w:pPr>
          </w:p>
        </w:tc>
        <w:tc>
          <w:tcPr>
            <w:tcW w:w="180" w:type="dxa"/>
            <w:vAlign w:val="bottom"/>
            <w:gridSpan w:val="4"/>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10-Q</w:t>
            </w:r>
          </w:p>
        </w:tc>
        <w:tc>
          <w:tcPr>
            <w:tcW w:w="1060" w:type="dxa"/>
            <w:vAlign w:val="bottom"/>
            <w:gridSpan w:val="2"/>
            <w:vMerge w:val="restart"/>
          </w:tcPr>
          <w:p>
            <w:pPr>
              <w:ind w:left="120"/>
              <w:spacing w:after="0"/>
              <w:rPr>
                <w:sz w:val="20"/>
                <w:szCs w:val="20"/>
                <w:color w:val="auto"/>
              </w:rPr>
            </w:pPr>
            <w:r>
              <w:rPr>
                <w:rFonts w:ascii="Arial" w:cs="Arial" w:eastAsia="Arial" w:hAnsi="Arial"/>
                <w:sz w:val="18"/>
                <w:szCs w:val="18"/>
                <w:color w:val="auto"/>
              </w:rPr>
              <w:t>001-37687</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auto"/>
              </w:rPr>
              <w:t>11/8/2017</w:t>
            </w:r>
          </w:p>
        </w:tc>
        <w:tc>
          <w:tcPr>
            <w:tcW w:w="600" w:type="dxa"/>
            <w:vAlign w:val="bottom"/>
            <w:gridSpan w:val="2"/>
            <w:vMerge w:val="restart"/>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3820" w:type="dxa"/>
            <w:vAlign w:val="bottom"/>
            <w:gridSpan w:val="29"/>
          </w:tcPr>
          <w:p>
            <w:pPr>
              <w:spacing w:after="0" w:line="170" w:lineRule="exact"/>
              <w:rPr>
                <w:rFonts w:ascii="Arial" w:cs="Arial" w:eastAsia="Arial" w:hAnsi="Arial"/>
                <w:sz w:val="18"/>
                <w:szCs w:val="18"/>
                <w:color w:val="0000EE"/>
                <w:w w:val="98"/>
              </w:rPr>
            </w:pPr>
            <w:hyperlink r:id="rId211">
              <w:r>
                <w:rPr>
                  <w:rFonts w:ascii="Arial" w:cs="Arial" w:eastAsia="Arial" w:hAnsi="Arial"/>
                  <w:sz w:val="18"/>
                  <w:szCs w:val="18"/>
                  <w:color w:val="0000EE"/>
                  <w:w w:val="98"/>
                </w:rPr>
                <w:t>Form of Restricted Stock Agreement under 2015</w:t>
              </w:r>
            </w:hyperlink>
          </w:p>
        </w:tc>
        <w:tc>
          <w:tcPr>
            <w:tcW w:w="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tcBorders>
              <w:top w:val="single" w:sz="8" w:color="0000EE"/>
            </w:tcBorders>
            <w:gridSpan w:val="22"/>
          </w:tcPr>
          <w:p>
            <w:pPr>
              <w:spacing w:after="0" w:line="170" w:lineRule="exact"/>
              <w:rPr>
                <w:rFonts w:ascii="Arial" w:cs="Arial" w:eastAsia="Arial" w:hAnsi="Arial"/>
                <w:sz w:val="18"/>
                <w:szCs w:val="18"/>
                <w:color w:val="0000EE"/>
              </w:rPr>
            </w:pPr>
            <w:hyperlink r:id="rId211">
              <w:r>
                <w:rPr>
                  <w:rFonts w:ascii="Arial" w:cs="Arial" w:eastAsia="Arial" w:hAnsi="Arial"/>
                  <w:sz w:val="18"/>
                  <w:szCs w:val="18"/>
                  <w:color w:val="0000EE"/>
                </w:rPr>
                <w:t>Stock Incentive Plan</w:t>
              </w:r>
            </w:hyperlink>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10.10+</w:t>
            </w:r>
          </w:p>
        </w:tc>
        <w:tc>
          <w:tcPr>
            <w:tcW w:w="160" w:type="dxa"/>
            <w:vAlign w:val="bottom"/>
          </w:tcPr>
          <w:p>
            <w:pPr>
              <w:spacing w:after="0"/>
              <w:rPr>
                <w:sz w:val="14"/>
                <w:szCs w:val="14"/>
                <w:color w:val="auto"/>
              </w:rPr>
            </w:pPr>
          </w:p>
        </w:tc>
        <w:tc>
          <w:tcPr>
            <w:tcW w:w="1500" w:type="dxa"/>
            <w:vAlign w:val="bottom"/>
            <w:tcBorders>
              <w:top w:val="single" w:sz="8" w:color="0000EE"/>
            </w:tcBorders>
            <w:gridSpan w:val="8"/>
          </w:tcPr>
          <w:p>
            <w:pPr>
              <w:spacing w:after="0" w:line="170" w:lineRule="exact"/>
              <w:rPr>
                <w:rFonts w:ascii="Arial" w:cs="Arial" w:eastAsia="Arial" w:hAnsi="Arial"/>
                <w:sz w:val="18"/>
                <w:szCs w:val="18"/>
                <w:color w:val="0000EE"/>
              </w:rPr>
            </w:pPr>
            <w:hyperlink r:id="rId212">
              <w:r>
                <w:rPr>
                  <w:rFonts w:ascii="Arial" w:cs="Arial" w:eastAsia="Arial" w:hAnsi="Arial"/>
                  <w:sz w:val="18"/>
                  <w:szCs w:val="18"/>
                  <w:color w:val="0000EE"/>
                </w:rPr>
                <w:t>Employment Offer</w:t>
              </w:r>
            </w:hyperlink>
          </w:p>
        </w:tc>
        <w:tc>
          <w:tcPr>
            <w:tcW w:w="2320" w:type="dxa"/>
            <w:vAlign w:val="bottom"/>
            <w:gridSpan w:val="21"/>
          </w:tcPr>
          <w:p>
            <w:pPr>
              <w:spacing w:after="0" w:line="170" w:lineRule="exact"/>
              <w:rPr>
                <w:rFonts w:ascii="Arial" w:cs="Arial" w:eastAsia="Arial" w:hAnsi="Arial"/>
                <w:sz w:val="18"/>
                <w:szCs w:val="18"/>
                <w:color w:val="0000EE"/>
              </w:rPr>
            </w:pPr>
            <w:hyperlink r:id="rId212">
              <w:r>
                <w:rPr>
                  <w:rFonts w:ascii="Arial" w:cs="Arial" w:eastAsia="Arial" w:hAnsi="Arial"/>
                  <w:sz w:val="18"/>
                  <w:szCs w:val="18"/>
                  <w:color w:val="0000EE"/>
                </w:rPr>
                <w:t>Letter, dated June 12, 2014,</w:t>
              </w:r>
            </w:hyperlink>
          </w:p>
        </w:tc>
        <w:tc>
          <w:tcPr>
            <w:tcW w:w="5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S-1</w:t>
            </w:r>
          </w:p>
        </w:tc>
        <w:tc>
          <w:tcPr>
            <w:tcW w:w="1060" w:type="dxa"/>
            <w:vAlign w:val="bottom"/>
            <w:gridSpan w:val="2"/>
          </w:tcPr>
          <w:p>
            <w:pPr>
              <w:ind w:left="120"/>
              <w:spacing w:after="0" w:line="170" w:lineRule="exact"/>
              <w:rPr>
                <w:sz w:val="20"/>
                <w:szCs w:val="20"/>
                <w:color w:val="auto"/>
              </w:rPr>
            </w:pPr>
            <w:r>
              <w:rPr>
                <w:rFonts w:ascii="Arial" w:cs="Arial" w:eastAsia="Arial" w:hAnsi="Arial"/>
                <w:sz w:val="18"/>
                <w:szCs w:val="18"/>
                <w:color w:val="auto"/>
                <w:w w:val="95"/>
              </w:rPr>
              <w:t>333-208856</w:t>
            </w:r>
          </w:p>
        </w:tc>
        <w:tc>
          <w:tcPr>
            <w:tcW w:w="10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1/4/2016</w:t>
            </w:r>
          </w:p>
        </w:tc>
        <w:tc>
          <w:tcPr>
            <w:tcW w:w="60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10.13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tcBorders>
              <w:top w:val="single" w:sz="8" w:color="0000EE"/>
            </w:tcBorders>
            <w:gridSpan w:val="19"/>
          </w:tcPr>
          <w:p>
            <w:pPr>
              <w:spacing w:after="0" w:line="170" w:lineRule="exact"/>
              <w:rPr>
                <w:rFonts w:ascii="Arial" w:cs="Arial" w:eastAsia="Arial" w:hAnsi="Arial"/>
                <w:sz w:val="18"/>
                <w:szCs w:val="18"/>
                <w:color w:val="0000EE"/>
                <w:w w:val="93"/>
              </w:rPr>
            </w:pPr>
            <w:hyperlink r:id="rId212">
              <w:r>
                <w:rPr>
                  <w:rFonts w:ascii="Arial" w:cs="Arial" w:eastAsia="Arial" w:hAnsi="Arial"/>
                  <w:sz w:val="18"/>
                  <w:szCs w:val="18"/>
                  <w:color w:val="0000EE"/>
                  <w:w w:val="93"/>
                </w:rPr>
                <w:t>between the Registrant and Katrine S. Bosley</w:t>
              </w:r>
            </w:hyperlink>
          </w:p>
        </w:tc>
        <w:tc>
          <w:tcPr>
            <w:tcW w:w="200" w:type="dxa"/>
            <w:vAlign w:val="bottom"/>
            <w:gridSpan w:val="5"/>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10.11+</w:t>
            </w:r>
          </w:p>
        </w:tc>
        <w:tc>
          <w:tcPr>
            <w:tcW w:w="160" w:type="dxa"/>
            <w:vAlign w:val="bottom"/>
          </w:tcPr>
          <w:p>
            <w:pPr>
              <w:spacing w:after="0"/>
              <w:rPr>
                <w:sz w:val="14"/>
                <w:szCs w:val="14"/>
                <w:color w:val="auto"/>
              </w:rPr>
            </w:pPr>
          </w:p>
        </w:tc>
        <w:tc>
          <w:tcPr>
            <w:tcW w:w="3280" w:type="dxa"/>
            <w:vAlign w:val="bottom"/>
            <w:tcBorders>
              <w:top w:val="single" w:sz="8" w:color="0000EE"/>
            </w:tcBorders>
            <w:gridSpan w:val="15"/>
          </w:tcPr>
          <w:p>
            <w:pPr>
              <w:spacing w:after="0" w:line="170" w:lineRule="exact"/>
              <w:rPr>
                <w:rFonts w:ascii="Arial" w:cs="Arial" w:eastAsia="Arial" w:hAnsi="Arial"/>
                <w:sz w:val="18"/>
                <w:szCs w:val="18"/>
                <w:color w:val="0000EE"/>
                <w:w w:val="89"/>
              </w:rPr>
            </w:pPr>
            <w:hyperlink r:id="rId213">
              <w:r>
                <w:rPr>
                  <w:rFonts w:ascii="Arial" w:cs="Arial" w:eastAsia="Arial" w:hAnsi="Arial"/>
                  <w:sz w:val="18"/>
                  <w:szCs w:val="18"/>
                  <w:color w:val="0000EE"/>
                  <w:w w:val="89"/>
                </w:rPr>
                <w:t>Amended and Restated Offer of Employment,</w:t>
              </w:r>
            </w:hyperlink>
          </w:p>
        </w:tc>
        <w:tc>
          <w:tcPr>
            <w:tcW w:w="80" w:type="dxa"/>
            <w:vAlign w:val="bottom"/>
            <w:gridSpan w:val="2"/>
          </w:tcPr>
          <w:p>
            <w:pPr>
              <w:spacing w:after="0"/>
              <w:rPr>
                <w:sz w:val="14"/>
                <w:szCs w:val="14"/>
                <w:color w:val="auto"/>
              </w:rPr>
            </w:pPr>
          </w:p>
        </w:tc>
        <w:tc>
          <w:tcPr>
            <w:tcW w:w="460" w:type="dxa"/>
            <w:vAlign w:val="bottom"/>
            <w:gridSpan w:val="12"/>
          </w:tcPr>
          <w:p>
            <w:pPr>
              <w:ind w:left="20"/>
              <w:spacing w:after="0" w:line="170" w:lineRule="exact"/>
              <w:rPr>
                <w:rFonts w:ascii="Arial" w:cs="Arial" w:eastAsia="Arial" w:hAnsi="Arial"/>
                <w:sz w:val="18"/>
                <w:szCs w:val="18"/>
                <w:color w:val="0000EE"/>
                <w:w w:val="93"/>
              </w:rPr>
            </w:pPr>
            <w:hyperlink r:id="rId213">
              <w:r>
                <w:rPr>
                  <w:rFonts w:ascii="Arial" w:cs="Arial" w:eastAsia="Arial" w:hAnsi="Arial"/>
                  <w:sz w:val="18"/>
                  <w:szCs w:val="18"/>
                  <w:color w:val="0000EE"/>
                  <w:w w:val="93"/>
                </w:rPr>
                <w:t>dated</w:t>
              </w:r>
            </w:hyperlink>
          </w:p>
        </w:tc>
        <w:tc>
          <w:tcPr>
            <w:tcW w:w="5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10-K</w:t>
            </w:r>
          </w:p>
        </w:tc>
        <w:tc>
          <w:tcPr>
            <w:tcW w:w="1060" w:type="dxa"/>
            <w:vAlign w:val="bottom"/>
            <w:gridSpan w:val="2"/>
          </w:tcPr>
          <w:p>
            <w:pPr>
              <w:ind w:left="120"/>
              <w:spacing w:after="0" w:line="170" w:lineRule="exact"/>
              <w:rPr>
                <w:sz w:val="20"/>
                <w:szCs w:val="20"/>
                <w:color w:val="auto"/>
              </w:rPr>
            </w:pPr>
            <w:r>
              <w:rPr>
                <w:rFonts w:ascii="Arial" w:cs="Arial" w:eastAsia="Arial" w:hAnsi="Arial"/>
                <w:sz w:val="18"/>
                <w:szCs w:val="18"/>
                <w:color w:val="auto"/>
              </w:rPr>
              <w:t>001-37687</w:t>
            </w:r>
          </w:p>
        </w:tc>
        <w:tc>
          <w:tcPr>
            <w:tcW w:w="102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3/3/2017</w:t>
            </w:r>
          </w:p>
        </w:tc>
        <w:tc>
          <w:tcPr>
            <w:tcW w:w="60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80" w:type="dxa"/>
            <w:vAlign w:val="bottom"/>
            <w:tcBorders>
              <w:top w:val="single" w:sz="8" w:color="0000EE"/>
            </w:tcBorders>
            <w:gridSpan w:val="27"/>
          </w:tcPr>
          <w:p>
            <w:pPr>
              <w:spacing w:after="0" w:line="170" w:lineRule="exact"/>
              <w:rPr>
                <w:rFonts w:ascii="Arial" w:cs="Arial" w:eastAsia="Arial" w:hAnsi="Arial"/>
                <w:sz w:val="18"/>
                <w:szCs w:val="18"/>
                <w:color w:val="0000EE"/>
                <w:w w:val="93"/>
              </w:rPr>
            </w:pPr>
            <w:hyperlink r:id="rId213">
              <w:r>
                <w:rPr>
                  <w:rFonts w:ascii="Arial" w:cs="Arial" w:eastAsia="Arial" w:hAnsi="Arial"/>
                  <w:sz w:val="18"/>
                  <w:szCs w:val="18"/>
                  <w:color w:val="0000EE"/>
                  <w:w w:val="93"/>
                </w:rPr>
                <w:t>July 24, 2016, between the Registrant and Charles</w:t>
              </w:r>
            </w:hyperlink>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4"/>
                <w:szCs w:val="14"/>
                <w:color w:val="auto"/>
              </w:rPr>
            </w:pPr>
          </w:p>
        </w:tc>
        <w:tc>
          <w:tcPr>
            <w:tcW w:w="112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94"/>
              </w:rPr>
            </w:pPr>
            <w:hyperlink r:id="rId213">
              <w:r>
                <w:rPr>
                  <w:rFonts w:ascii="Arial" w:cs="Arial" w:eastAsia="Arial" w:hAnsi="Arial"/>
                  <w:sz w:val="18"/>
                  <w:szCs w:val="18"/>
                  <w:color w:val="0000EE"/>
                  <w:w w:val="94"/>
                </w:rPr>
                <w:t>Albright, Ph.D.</w:t>
              </w:r>
            </w:hyperlink>
          </w:p>
        </w:tc>
        <w:tc>
          <w:tcPr>
            <w:tcW w:w="2500" w:type="dxa"/>
            <w:vAlign w:val="bottom"/>
            <w:tcBorders>
              <w:top w:val="single" w:sz="8" w:color="0000EE"/>
            </w:tcBorders>
            <w:gridSpan w:val="18"/>
          </w:tcPr>
          <w:p>
            <w:pPr>
              <w:spacing w:after="0"/>
              <w:rPr>
                <w:sz w:val="14"/>
                <w:szCs w:val="14"/>
                <w:color w:val="auto"/>
              </w:rPr>
            </w:pPr>
          </w:p>
        </w:tc>
        <w:tc>
          <w:tcPr>
            <w:tcW w:w="1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8"/>
                <w:szCs w:val="18"/>
                <w:color w:val="auto"/>
              </w:rPr>
              <w:t>10-K</w:t>
            </w:r>
          </w:p>
        </w:tc>
        <w:tc>
          <w:tcPr>
            <w:tcW w:w="1060" w:type="dxa"/>
            <w:vAlign w:val="bottom"/>
            <w:gridSpan w:val="2"/>
            <w:vMerge w:val="restart"/>
          </w:tcPr>
          <w:p>
            <w:pPr>
              <w:ind w:left="120"/>
              <w:spacing w:after="0"/>
              <w:rPr>
                <w:sz w:val="20"/>
                <w:szCs w:val="20"/>
                <w:color w:val="auto"/>
              </w:rPr>
            </w:pPr>
            <w:r>
              <w:rPr>
                <w:rFonts w:ascii="Arial" w:cs="Arial" w:eastAsia="Arial" w:hAnsi="Arial"/>
                <w:sz w:val="18"/>
                <w:szCs w:val="18"/>
                <w:color w:val="auto"/>
              </w:rPr>
              <w:t>001-37687</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auto"/>
              </w:rPr>
              <w:t>3/3/2017</w:t>
            </w:r>
          </w:p>
        </w:tc>
        <w:tc>
          <w:tcPr>
            <w:tcW w:w="600" w:type="dxa"/>
            <w:vAlign w:val="bottom"/>
            <w:gridSpan w:val="2"/>
            <w:vMerge w:val="restart"/>
          </w:tcPr>
          <w:p>
            <w:pPr>
              <w:ind w:left="10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29"/>
          </w:tcPr>
          <w:p>
            <w:pPr>
              <w:spacing w:after="0" w:line="170" w:lineRule="exact"/>
              <w:rPr>
                <w:rFonts w:ascii="Arial" w:cs="Arial" w:eastAsia="Arial" w:hAnsi="Arial"/>
                <w:sz w:val="18"/>
                <w:szCs w:val="18"/>
                <w:color w:val="0000EE"/>
              </w:rPr>
            </w:pPr>
            <w:hyperlink r:id="rId214">
              <w:r>
                <w:rPr>
                  <w:rFonts w:ascii="Arial" w:cs="Arial" w:eastAsia="Arial" w:hAnsi="Arial"/>
                  <w:sz w:val="18"/>
                  <w:szCs w:val="18"/>
                  <w:color w:val="0000EE"/>
                </w:rPr>
                <w:t>Employment Offer Letter, dated July 19, 2016,</w:t>
              </w:r>
            </w:hyperlink>
          </w:p>
        </w:tc>
        <w:tc>
          <w:tcPr>
            <w:tcW w:w="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tcBorders>
              <w:top w:val="single" w:sz="8" w:color="0000EE"/>
            </w:tcBorders>
            <w:gridSpan w:val="18"/>
          </w:tcPr>
          <w:p>
            <w:pPr>
              <w:spacing w:after="0" w:line="170"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between the Registrant and Gerald Cox, M.D.,</w:t>
              </w:r>
            </w:hyperlink>
          </w:p>
        </w:tc>
        <w:tc>
          <w:tcPr>
            <w:tcW w:w="38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4"/>
                <w:szCs w:val="14"/>
                <w:color w:val="auto"/>
              </w:rPr>
            </w:pPr>
          </w:p>
        </w:tc>
        <w:tc>
          <w:tcPr>
            <w:tcW w:w="42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88"/>
              </w:rPr>
            </w:pPr>
            <w:hyperlink r:id="rId214">
              <w:r>
                <w:rPr>
                  <w:rFonts w:ascii="Arial" w:cs="Arial" w:eastAsia="Arial" w:hAnsi="Arial"/>
                  <w:sz w:val="18"/>
                  <w:szCs w:val="18"/>
                  <w:color w:val="0000EE"/>
                  <w:w w:val="88"/>
                </w:rPr>
                <w:t>Ph.D.</w:t>
              </w:r>
            </w:hyperlink>
          </w:p>
        </w:tc>
        <w:tc>
          <w:tcPr>
            <w:tcW w:w="2940" w:type="dxa"/>
            <w:vAlign w:val="bottom"/>
            <w:tcBorders>
              <w:top w:val="single" w:sz="8" w:color="0000EE"/>
            </w:tcBorders>
            <w:gridSpan w:val="15"/>
          </w:tcPr>
          <w:p>
            <w:pPr>
              <w:spacing w:after="0"/>
              <w:rPr>
                <w:sz w:val="14"/>
                <w:szCs w:val="14"/>
                <w:color w:val="auto"/>
              </w:rPr>
            </w:pPr>
          </w:p>
        </w:tc>
        <w:tc>
          <w:tcPr>
            <w:tcW w:w="40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8"/>
                <w:szCs w:val="18"/>
                <w:color w:val="auto"/>
              </w:rPr>
              <w:t>S-8</w:t>
            </w:r>
          </w:p>
        </w:tc>
        <w:tc>
          <w:tcPr>
            <w:tcW w:w="1060" w:type="dxa"/>
            <w:vAlign w:val="bottom"/>
            <w:gridSpan w:val="2"/>
            <w:vMerge w:val="restart"/>
          </w:tcPr>
          <w:p>
            <w:pPr>
              <w:ind w:left="120"/>
              <w:spacing w:after="0" w:line="207" w:lineRule="exact"/>
              <w:rPr>
                <w:sz w:val="20"/>
                <w:szCs w:val="20"/>
                <w:color w:val="auto"/>
              </w:rPr>
            </w:pPr>
            <w:r>
              <w:rPr>
                <w:rFonts w:ascii="Arial" w:cs="Arial" w:eastAsia="Arial" w:hAnsi="Arial"/>
                <w:sz w:val="18"/>
                <w:szCs w:val="18"/>
                <w:color w:val="auto"/>
                <w:w w:val="96"/>
              </w:rPr>
              <w:t>333</w:t>
            </w:r>
            <w:r>
              <w:rPr>
                <w:rFonts w:ascii="MS PGothic" w:cs="MS PGothic" w:eastAsia="MS PGothic" w:hAnsi="MS PGothic"/>
                <w:sz w:val="18"/>
                <w:szCs w:val="18"/>
                <w:color w:val="auto"/>
                <w:w w:val="96"/>
              </w:rPr>
              <w:t>‑</w:t>
            </w:r>
            <w:r>
              <w:rPr>
                <w:rFonts w:ascii="Arial" w:cs="Arial" w:eastAsia="Arial" w:hAnsi="Arial"/>
                <w:sz w:val="18"/>
                <w:szCs w:val="18"/>
                <w:color w:val="auto"/>
                <w:w w:val="96"/>
              </w:rPr>
              <w:t>214556</w:t>
            </w:r>
          </w:p>
        </w:tc>
        <w:tc>
          <w:tcPr>
            <w:tcW w:w="10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11/10/2016</w:t>
            </w:r>
          </w:p>
        </w:tc>
        <w:tc>
          <w:tcPr>
            <w:tcW w:w="600" w:type="dxa"/>
            <w:vAlign w:val="bottom"/>
            <w:gridSpan w:val="2"/>
            <w:vMerge w:val="restart"/>
          </w:tcPr>
          <w:p>
            <w:pPr>
              <w:ind w:left="10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29"/>
          </w:tcPr>
          <w:p>
            <w:pPr>
              <w:spacing w:after="0" w:line="170" w:lineRule="exact"/>
              <w:rPr>
                <w:rFonts w:ascii="Arial" w:cs="Arial" w:eastAsia="Arial" w:hAnsi="Arial"/>
                <w:sz w:val="18"/>
                <w:szCs w:val="18"/>
                <w:color w:val="0000EE"/>
              </w:rPr>
            </w:pPr>
            <w:hyperlink r:id="rId215">
              <w:r>
                <w:rPr>
                  <w:rFonts w:ascii="Arial" w:cs="Arial" w:eastAsia="Arial" w:hAnsi="Arial"/>
                  <w:sz w:val="18"/>
                  <w:szCs w:val="18"/>
                  <w:color w:val="0000EE"/>
                </w:rPr>
                <w:t>Inducement Stock Option Agreement, dated</w:t>
              </w:r>
            </w:hyperlink>
          </w:p>
        </w:tc>
        <w:tc>
          <w:tcPr>
            <w:tcW w:w="5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Borders>
              <w:top w:val="single" w:sz="8" w:color="0000EE"/>
            </w:tcBorders>
            <w:gridSpan w:val="14"/>
          </w:tcPr>
          <w:p>
            <w:pPr>
              <w:spacing w:after="0" w:line="170" w:lineRule="exact"/>
              <w:rPr>
                <w:rFonts w:ascii="Arial" w:cs="Arial" w:eastAsia="Arial" w:hAnsi="Arial"/>
                <w:sz w:val="18"/>
                <w:szCs w:val="18"/>
                <w:color w:val="0000EE"/>
                <w:w w:val="87"/>
              </w:rPr>
            </w:pPr>
            <w:hyperlink r:id="rId215">
              <w:r>
                <w:rPr>
                  <w:rFonts w:ascii="Arial" w:cs="Arial" w:eastAsia="Arial" w:hAnsi="Arial"/>
                  <w:sz w:val="18"/>
                  <w:szCs w:val="18"/>
                  <w:color w:val="0000EE"/>
                  <w:w w:val="87"/>
                </w:rPr>
                <w:t>October 5, 2016, between the Registrant and</w:t>
              </w:r>
            </w:hyperlink>
          </w:p>
        </w:tc>
        <w:tc>
          <w:tcPr>
            <w:tcW w:w="640" w:type="dxa"/>
            <w:vAlign w:val="bottom"/>
            <w:gridSpan w:val="15"/>
          </w:tcPr>
          <w:p>
            <w:pPr>
              <w:jc w:val="center"/>
              <w:spacing w:after="0" w:line="170"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Gerald</w:t>
              </w:r>
            </w:hyperlink>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top w:val="single" w:sz="8" w:color="0000EE"/>
              <w:bottom w:val="single" w:sz="8" w:color="0000EE"/>
            </w:tcBorders>
            <w:gridSpan w:val="7"/>
          </w:tcPr>
          <w:p>
            <w:pPr>
              <w:spacing w:after="0" w:line="170"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F. Cox, M.D., Ph.D.</w:t>
              </w:r>
            </w:hyperlink>
          </w:p>
        </w:tc>
        <w:tc>
          <w:tcPr>
            <w:tcW w:w="2300" w:type="dxa"/>
            <w:vAlign w:val="bottom"/>
            <w:tcBorders>
              <w:top w:val="single" w:sz="8" w:color="0000EE"/>
            </w:tcBorders>
            <w:gridSpan w:val="19"/>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gridSpan w:val="25"/>
          </w:tcPr>
          <w:p>
            <w:pPr>
              <w:jc w:val="center"/>
              <w:ind w:left="3250"/>
              <w:spacing w:after="0"/>
              <w:rPr>
                <w:sz w:val="20"/>
                <w:szCs w:val="20"/>
                <w:color w:val="auto"/>
              </w:rPr>
            </w:pPr>
            <w:r>
              <w:rPr>
                <w:rFonts w:ascii="Arial" w:cs="Arial" w:eastAsia="Arial" w:hAnsi="Arial"/>
                <w:sz w:val="18"/>
                <w:szCs w:val="18"/>
                <w:color w:val="auto"/>
                <w:w w:val="86"/>
              </w:rPr>
              <w:t>179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79" w:name="page180"/>
    <w:bookmarkEnd w:id="1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7" w:lineRule="exact"/>
        <w:rPr>
          <w:sz w:val="20"/>
          <w:szCs w:val="20"/>
          <w:color w:val="auto"/>
        </w:rPr>
      </w:pPr>
    </w:p>
    <w:p>
      <w:pPr>
        <w:ind w:left="1020" w:right="20" w:hanging="580"/>
        <w:spacing w:after="0" w:line="222"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216">
        <w:r>
          <w:rPr>
            <w:rFonts w:ascii="Arial" w:cs="Arial" w:eastAsia="Arial" w:hAnsi="Arial"/>
            <w:sz w:val="18"/>
            <w:szCs w:val="18"/>
            <w:u w:val="single" w:color="auto"/>
            <w:color w:val="0000EE"/>
          </w:rPr>
          <w:t>Form of Director Indemnification Agreement</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between the Registrant and each of Kevin</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Bitterman, Ph.D., Alexis Borisy, Douglas G. Cole,</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M.D., and Boris Nikolic, M.D. during the year</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ended December 31, 2015</w:t>
        </w:r>
      </w:hyperlink>
    </w:p>
    <w:p>
      <w:pPr>
        <w:spacing w:after="0" w:line="4" w:lineRule="exact"/>
        <w:rPr>
          <w:rFonts w:ascii="Arial" w:cs="Arial" w:eastAsia="Arial" w:hAnsi="Arial"/>
          <w:sz w:val="18"/>
          <w:szCs w:val="18"/>
          <w:u w:val="single" w:color="auto"/>
          <w:color w:val="0000EE"/>
        </w:rPr>
      </w:pPr>
    </w:p>
    <w:p>
      <w:pPr>
        <w:ind w:left="1020" w:right="100" w:hanging="669"/>
        <w:spacing w:after="0" w:line="219"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217">
        <w:r>
          <w:rPr>
            <w:rFonts w:ascii="Arial" w:cs="Arial" w:eastAsia="Arial" w:hAnsi="Arial"/>
            <w:sz w:val="18"/>
            <w:szCs w:val="18"/>
            <w:u w:val="single" w:color="auto"/>
            <w:color w:val="0000EE"/>
          </w:rPr>
          <w:t>License Agreement, dated August 29, 2014,</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between the Registrant and The General Hospital</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Corporation, d/b/a Massachusetts General</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Hospital</w:t>
        </w:r>
      </w:hyperlink>
    </w:p>
    <w:p>
      <w:pPr>
        <w:spacing w:after="0" w:line="1" w:lineRule="exact"/>
        <w:rPr>
          <w:rFonts w:ascii="Arial" w:cs="Arial" w:eastAsia="Arial" w:hAnsi="Arial"/>
          <w:sz w:val="18"/>
          <w:szCs w:val="18"/>
          <w:u w:val="single" w:color="auto"/>
          <w:color w:val="0000EE"/>
        </w:rPr>
      </w:pPr>
    </w:p>
    <w:p>
      <w:pPr>
        <w:ind w:left="1020" w:right="160" w:hanging="580"/>
        <w:spacing w:after="0" w:line="219"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218">
        <w:r>
          <w:rPr>
            <w:rFonts w:ascii="Arial" w:cs="Arial" w:eastAsia="Arial" w:hAnsi="Arial"/>
            <w:sz w:val="18"/>
            <w:szCs w:val="18"/>
            <w:u w:val="single" w:color="auto"/>
            <w:color w:val="0000EE"/>
          </w:rPr>
          <w:t>First Amendment to Exclusive Patent License</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Agreement, dated as of June 29, 2015, by and</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between the Registrant and the General Hospital</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Corporation, d/b/a Massachusetts General</w:t>
        </w:r>
      </w:hyperlink>
      <w:r>
        <w:rPr>
          <w:rFonts w:ascii="Arial" w:cs="Arial" w:eastAsia="Arial" w:hAnsi="Arial"/>
          <w:sz w:val="18"/>
          <w:szCs w:val="18"/>
          <w:u w:val="single" w:color="auto"/>
          <w:color w:val="0000EE"/>
        </w:rPr>
        <w:t xml:space="preserve"> </w:t>
      </w:r>
      <w:hyperlink r:id="rId218">
        <w:r>
          <w:rPr>
            <w:rFonts w:ascii="Arial" w:cs="Arial" w:eastAsia="Arial" w:hAnsi="Arial"/>
            <w:sz w:val="18"/>
            <w:szCs w:val="18"/>
            <w:u w:val="single" w:color="auto"/>
            <w:color w:val="0000EE"/>
          </w:rPr>
          <w:t>Hospital</w:t>
        </w:r>
      </w:hyperlink>
    </w:p>
    <w:p>
      <w:pPr>
        <w:spacing w:after="0" w:line="1" w:lineRule="exact"/>
        <w:rPr>
          <w:rFonts w:ascii="Arial" w:cs="Arial" w:eastAsia="Arial" w:hAnsi="Arial"/>
          <w:sz w:val="18"/>
          <w:szCs w:val="18"/>
          <w:u w:val="single" w:color="auto"/>
          <w:color w:val="0000EE"/>
        </w:rPr>
      </w:pPr>
    </w:p>
    <w:p>
      <w:pPr>
        <w:ind w:left="1020" w:right="140" w:hanging="669"/>
        <w:spacing w:after="0" w:line="219"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219">
        <w:r>
          <w:rPr>
            <w:rFonts w:ascii="Arial" w:cs="Arial" w:eastAsia="Arial" w:hAnsi="Arial"/>
            <w:sz w:val="18"/>
            <w:szCs w:val="18"/>
            <w:u w:val="single" w:color="auto"/>
            <w:color w:val="0000EE"/>
          </w:rPr>
          <w:t>Second Amendment to Exclusive Patent License</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Agreement, dated as of November 17, 2016, by</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and between the Registrant and the General</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Hospital Corporation, d/b/a/ Massachusetts</w:t>
        </w:r>
      </w:hyperlink>
      <w:r>
        <w:rPr>
          <w:rFonts w:ascii="Arial" w:cs="Arial" w:eastAsia="Arial" w:hAnsi="Arial"/>
          <w:sz w:val="18"/>
          <w:szCs w:val="18"/>
          <w:u w:val="single" w:color="auto"/>
          <w:color w:val="0000EE"/>
        </w:rPr>
        <w:t xml:space="preserve"> </w:t>
      </w:r>
      <w:hyperlink r:id="rId219">
        <w:r>
          <w:rPr>
            <w:rFonts w:ascii="Arial" w:cs="Arial" w:eastAsia="Arial" w:hAnsi="Arial"/>
            <w:sz w:val="18"/>
            <w:szCs w:val="18"/>
            <w:u w:val="single" w:color="auto"/>
            <w:color w:val="0000EE"/>
          </w:rPr>
          <w:t>General Hospital</w:t>
        </w:r>
      </w:hyperlink>
    </w:p>
    <w:p>
      <w:pPr>
        <w:spacing w:after="0" w:line="1" w:lineRule="exact"/>
        <w:rPr>
          <w:rFonts w:ascii="Arial" w:cs="Arial" w:eastAsia="Arial" w:hAnsi="Arial"/>
          <w:sz w:val="18"/>
          <w:szCs w:val="18"/>
          <w:u w:val="single" w:color="auto"/>
          <w:color w:val="0000EE"/>
        </w:rPr>
      </w:pPr>
    </w:p>
    <w:p>
      <w:pPr>
        <w:ind w:left="1020" w:right="60" w:hanging="669"/>
        <w:spacing w:after="0" w:line="232"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10.18†</w:t>
      </w:r>
      <w:r>
        <w:rPr>
          <w:sz w:val="20"/>
          <w:szCs w:val="20"/>
          <w:color w:val="auto"/>
        </w:rPr>
        <w:tab/>
      </w:r>
      <w:hyperlink r:id="rId220">
        <w:r>
          <w:rPr>
            <w:rFonts w:ascii="Arial" w:cs="Arial" w:eastAsia="Arial" w:hAnsi="Arial"/>
            <w:sz w:val="17"/>
            <w:szCs w:val="17"/>
            <w:u w:val="single" w:color="auto"/>
            <w:color w:val="0000EE"/>
          </w:rPr>
          <w:t>Amended and Restated Cas9-I License</w:t>
        </w:r>
      </w:hyperlink>
      <w:r>
        <w:rPr>
          <w:rFonts w:ascii="Arial" w:cs="Arial" w:eastAsia="Arial" w:hAnsi="Arial"/>
          <w:sz w:val="17"/>
          <w:szCs w:val="17"/>
          <w:u w:val="single" w:color="auto"/>
          <w:color w:val="0000EE"/>
        </w:rPr>
        <w:t xml:space="preserve"> </w:t>
      </w:r>
      <w:hyperlink r:id="rId220">
        <w:r>
          <w:rPr>
            <w:rFonts w:ascii="Arial" w:cs="Arial" w:eastAsia="Arial" w:hAnsi="Arial"/>
            <w:sz w:val="17"/>
            <w:szCs w:val="17"/>
            <w:u w:val="single" w:color="auto"/>
            <w:color w:val="0000EE"/>
          </w:rPr>
          <w:t>Agreement, dated December 16, 2016, among the</w:t>
        </w:r>
      </w:hyperlink>
      <w:r>
        <w:rPr>
          <w:rFonts w:ascii="Arial" w:cs="Arial" w:eastAsia="Arial" w:hAnsi="Arial"/>
          <w:sz w:val="17"/>
          <w:szCs w:val="17"/>
          <w:u w:val="single" w:color="auto"/>
          <w:color w:val="0000EE"/>
        </w:rPr>
        <w:t xml:space="preserve"> </w:t>
      </w:r>
      <w:hyperlink r:id="rId220">
        <w:r>
          <w:rPr>
            <w:rFonts w:ascii="Arial" w:cs="Arial" w:eastAsia="Arial" w:hAnsi="Arial"/>
            <w:sz w:val="17"/>
            <w:szCs w:val="17"/>
            <w:u w:val="single" w:color="auto"/>
            <w:color w:val="0000EE"/>
          </w:rPr>
          <w:t>Registrant, the President and Fellows of Harvard</w:t>
        </w:r>
      </w:hyperlink>
      <w:r>
        <w:rPr>
          <w:rFonts w:ascii="Arial" w:cs="Arial" w:eastAsia="Arial" w:hAnsi="Arial"/>
          <w:sz w:val="17"/>
          <w:szCs w:val="17"/>
          <w:u w:val="single" w:color="auto"/>
          <w:color w:val="0000EE"/>
        </w:rPr>
        <w:t xml:space="preserve"> </w:t>
      </w:r>
      <w:hyperlink r:id="rId220">
        <w:r>
          <w:rPr>
            <w:rFonts w:ascii="Arial" w:cs="Arial" w:eastAsia="Arial" w:hAnsi="Arial"/>
            <w:sz w:val="17"/>
            <w:szCs w:val="17"/>
            <w:u w:val="single" w:color="auto"/>
            <w:color w:val="0000EE"/>
          </w:rPr>
          <w:t>College, and the Broad Institute, Inc.</w:t>
        </w:r>
      </w:hyperlink>
    </w:p>
    <w:p>
      <w:pPr>
        <w:ind w:left="1020" w:hanging="580"/>
        <w:spacing w:after="0" w:line="189" w:lineRule="exact"/>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221">
        <w:r>
          <w:rPr>
            <w:rFonts w:ascii="Arial" w:cs="Arial" w:eastAsia="Arial" w:hAnsi="Arial"/>
            <w:sz w:val="18"/>
            <w:szCs w:val="18"/>
            <w:u w:val="single" w:color="auto"/>
            <w:color w:val="0000EE"/>
          </w:rPr>
          <w:t>Amendment No.1 to Amended and Restated</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Cas9</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I License Agreement, by and among Editas</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Medicine, Inc., President and Fellows of Harvard</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College, and the Broad Institute, Inc., dated March</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3, 2017</w:t>
        </w:r>
      </w:hyperlink>
    </w:p>
    <w:p>
      <w:pPr>
        <w:spacing w:after="0" w:line="1" w:lineRule="exact"/>
        <w:rPr>
          <w:rFonts w:ascii="Arial" w:cs="Arial" w:eastAsia="Arial" w:hAnsi="Arial"/>
          <w:sz w:val="18"/>
          <w:szCs w:val="18"/>
          <w:u w:val="single" w:color="auto"/>
          <w:color w:val="0000EE"/>
        </w:rPr>
      </w:pPr>
    </w:p>
    <w:p>
      <w:pPr>
        <w:ind w:left="1020" w:right="220" w:hanging="669"/>
        <w:spacing w:after="0" w:line="219"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222">
        <w:r>
          <w:rPr>
            <w:rFonts w:ascii="Arial" w:cs="Arial" w:eastAsia="Arial" w:hAnsi="Arial"/>
            <w:sz w:val="18"/>
            <w:szCs w:val="18"/>
            <w:u w:val="single" w:color="auto"/>
            <w:color w:val="0000EE"/>
          </w:rPr>
          <w:t>License and Collaboration Agreement, dated</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May 26, 2015, between the Registrant and Juno</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Therapeutics, Inc.</w:t>
        </w:r>
      </w:hyperlink>
    </w:p>
    <w:p>
      <w:pPr>
        <w:ind w:left="3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223">
        <w:r>
          <w:rPr>
            <w:rFonts w:ascii="Arial" w:cs="Arial" w:eastAsia="Arial" w:hAnsi="Arial"/>
            <w:sz w:val="16"/>
            <w:szCs w:val="16"/>
            <w:u w:val="single" w:color="auto"/>
            <w:color w:val="0000EE"/>
          </w:rPr>
          <w:t>Summary of Director Compensation Program</w:t>
        </w:r>
      </w:hyperlink>
    </w:p>
    <w:p>
      <w:pPr>
        <w:ind w:left="3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224">
        <w:r>
          <w:rPr>
            <w:rFonts w:ascii="Arial" w:cs="Arial" w:eastAsia="Arial" w:hAnsi="Arial"/>
            <w:sz w:val="16"/>
            <w:szCs w:val="16"/>
            <w:u w:val="single" w:color="auto"/>
            <w:color w:val="0000EE"/>
          </w:rPr>
          <w:t>2015 Employee Stock Purchase Plan</w:t>
        </w:r>
      </w:hyperlink>
    </w:p>
    <w:p>
      <w:pPr>
        <w:ind w:left="3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225">
        <w:r>
          <w:rPr>
            <w:rFonts w:ascii="Arial" w:cs="Arial" w:eastAsia="Arial" w:hAnsi="Arial"/>
            <w:sz w:val="16"/>
            <w:szCs w:val="16"/>
            <w:u w:val="single" w:color="auto"/>
            <w:color w:val="0000EE"/>
          </w:rPr>
          <w:t>Severance Benefits Plan</w:t>
        </w:r>
      </w:hyperlink>
    </w:p>
    <w:p>
      <w:pPr>
        <w:jc w:val="both"/>
        <w:ind w:left="1020" w:right="100" w:hanging="580"/>
        <w:spacing w:after="0" w:line="219"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226">
        <w:r>
          <w:rPr>
            <w:rFonts w:ascii="Arial" w:cs="Arial" w:eastAsia="Arial" w:hAnsi="Arial"/>
            <w:sz w:val="18"/>
            <w:szCs w:val="18"/>
            <w:u w:val="single" w:color="auto"/>
            <w:color w:val="0000EE"/>
          </w:rPr>
          <w:t>Form of Indemnification Agreement between the</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Registrant and each of its directors and executive</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officers</w:t>
        </w:r>
      </w:hyperlink>
    </w:p>
    <w:p>
      <w:pPr>
        <w:spacing w:after="0" w:line="1" w:lineRule="exact"/>
        <w:rPr>
          <w:rFonts w:ascii="Arial" w:cs="Arial" w:eastAsia="Arial" w:hAnsi="Arial"/>
          <w:sz w:val="18"/>
          <w:szCs w:val="18"/>
          <w:u w:val="single" w:color="auto"/>
          <w:color w:val="0000EE"/>
        </w:rPr>
      </w:pPr>
    </w:p>
    <w:p>
      <w:pPr>
        <w:ind w:left="1020" w:right="100" w:hanging="580"/>
        <w:spacing w:after="0" w:line="219"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227">
        <w:r>
          <w:rPr>
            <w:rFonts w:ascii="Arial" w:cs="Arial" w:eastAsia="Arial" w:hAnsi="Arial"/>
            <w:sz w:val="18"/>
            <w:szCs w:val="18"/>
            <w:u w:val="single" w:color="auto"/>
            <w:color w:val="0000EE"/>
          </w:rPr>
          <w:t>Lease Agreement, dated February 12, 2016,</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between Registrant and ARE-MA Region No. 55</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Exchange Holding LLC</w:t>
        </w:r>
      </w:hyperlink>
    </w:p>
    <w:p>
      <w:pPr>
        <w:spacing w:after="0" w:line="1" w:lineRule="exact"/>
        <w:rPr>
          <w:rFonts w:ascii="Arial" w:cs="Arial" w:eastAsia="Arial" w:hAnsi="Arial"/>
          <w:sz w:val="18"/>
          <w:szCs w:val="18"/>
          <w:u w:val="single" w:color="auto"/>
          <w:color w:val="0000EE"/>
        </w:rPr>
      </w:pPr>
    </w:p>
    <w:p>
      <w:pPr>
        <w:ind w:left="1020" w:right="120" w:hanging="669"/>
        <w:spacing w:after="0" w:line="246" w:lineRule="auto"/>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10.26†</w:t>
      </w:r>
      <w:r>
        <w:rPr>
          <w:sz w:val="20"/>
          <w:szCs w:val="20"/>
          <w:color w:val="auto"/>
        </w:rPr>
        <w:tab/>
      </w:r>
      <w:hyperlink r:id="rId228">
        <w:r>
          <w:rPr>
            <w:rFonts w:ascii="Arial" w:cs="Arial" w:eastAsia="Arial" w:hAnsi="Arial"/>
            <w:sz w:val="16"/>
            <w:szCs w:val="16"/>
            <w:u w:val="single" w:color="auto"/>
            <w:color w:val="0000EE"/>
          </w:rPr>
          <w:t>Exclusive Patent License Agreement, dated as of</w:t>
        </w:r>
      </w:hyperlink>
      <w:r>
        <w:rPr>
          <w:rFonts w:ascii="Arial" w:cs="Arial" w:eastAsia="Arial" w:hAnsi="Arial"/>
          <w:sz w:val="16"/>
          <w:szCs w:val="16"/>
          <w:u w:val="single" w:color="auto"/>
          <w:color w:val="0000EE"/>
        </w:rPr>
        <w:t xml:space="preserve"> </w:t>
      </w:r>
      <w:hyperlink r:id="rId228">
        <w:r>
          <w:rPr>
            <w:rFonts w:ascii="Arial" w:cs="Arial" w:eastAsia="Arial" w:hAnsi="Arial"/>
            <w:sz w:val="16"/>
            <w:szCs w:val="16"/>
            <w:u w:val="single" w:color="auto"/>
            <w:color w:val="0000EE"/>
          </w:rPr>
          <w:t>August 2, 2016, by and between the Registrant</w:t>
        </w:r>
      </w:hyperlink>
      <w:r>
        <w:rPr>
          <w:rFonts w:ascii="Arial" w:cs="Arial" w:eastAsia="Arial" w:hAnsi="Arial"/>
          <w:sz w:val="16"/>
          <w:szCs w:val="16"/>
          <w:u w:val="single" w:color="auto"/>
          <w:color w:val="0000EE"/>
        </w:rPr>
        <w:t xml:space="preserve"> </w:t>
      </w:r>
      <w:hyperlink r:id="rId228">
        <w:r>
          <w:rPr>
            <w:rFonts w:ascii="Arial" w:cs="Arial" w:eastAsia="Arial" w:hAnsi="Arial"/>
            <w:sz w:val="16"/>
            <w:szCs w:val="16"/>
            <w:u w:val="single" w:color="auto"/>
            <w:color w:val="0000EE"/>
          </w:rPr>
          <w:t>and The General Hospital Corporation, d/b/a</w:t>
        </w:r>
      </w:hyperlink>
      <w:r>
        <w:rPr>
          <w:rFonts w:ascii="Arial" w:cs="Arial" w:eastAsia="Arial" w:hAnsi="Arial"/>
          <w:sz w:val="16"/>
          <w:szCs w:val="16"/>
          <w:u w:val="single" w:color="auto"/>
          <w:color w:val="0000EE"/>
        </w:rPr>
        <w:t xml:space="preserve"> </w:t>
      </w:r>
      <w:hyperlink r:id="rId228">
        <w:r>
          <w:rPr>
            <w:rFonts w:ascii="Arial" w:cs="Arial" w:eastAsia="Arial" w:hAnsi="Arial"/>
            <w:sz w:val="16"/>
            <w:szCs w:val="16"/>
            <w:u w:val="single" w:color="auto"/>
            <w:color w:val="0000EE"/>
          </w:rPr>
          <w:t>Massachusetts General Hospital</w:t>
        </w:r>
      </w:hyperlink>
    </w:p>
    <w:p>
      <w:pPr>
        <w:spacing w:after="0" w:line="2" w:lineRule="exact"/>
        <w:rPr>
          <w:rFonts w:ascii="Arial" w:cs="Arial" w:eastAsia="Arial" w:hAnsi="Arial"/>
          <w:sz w:val="16"/>
          <w:szCs w:val="16"/>
          <w:u w:val="single" w:color="auto"/>
          <w:color w:val="0000EE"/>
        </w:rPr>
      </w:pPr>
    </w:p>
    <w:p>
      <w:pPr>
        <w:ind w:left="1020" w:right="760" w:hanging="669"/>
        <w:spacing w:after="0" w:line="246" w:lineRule="auto"/>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10.27†</w:t>
      </w:r>
      <w:r>
        <w:rPr>
          <w:sz w:val="20"/>
          <w:szCs w:val="20"/>
          <w:color w:val="auto"/>
        </w:rPr>
        <w:tab/>
      </w:r>
      <w:hyperlink r:id="rId229">
        <w:r>
          <w:rPr>
            <w:rFonts w:ascii="Arial" w:cs="Arial" w:eastAsia="Arial" w:hAnsi="Arial"/>
            <w:sz w:val="16"/>
            <w:szCs w:val="16"/>
            <w:u w:val="single" w:color="auto"/>
            <w:color w:val="0000EE"/>
          </w:rPr>
          <w:t>Cpf1 License Agreement, dated as of</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December 16, 2016, by and between the</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Registrant and The Broad Institute, Inc.</w:t>
        </w:r>
      </w:hyperlink>
    </w:p>
    <w:p>
      <w:pPr>
        <w:spacing w:after="0" w:line="1" w:lineRule="exact"/>
        <w:rPr>
          <w:rFonts w:ascii="Arial" w:cs="Arial" w:eastAsia="Arial" w:hAnsi="Arial"/>
          <w:sz w:val="16"/>
          <w:szCs w:val="16"/>
          <w:u w:val="single" w:color="auto"/>
          <w:color w:val="0000EE"/>
        </w:rPr>
      </w:pPr>
    </w:p>
    <w:p>
      <w:pPr>
        <w:jc w:val="both"/>
        <w:ind w:left="1020" w:right="760" w:hanging="669"/>
        <w:spacing w:after="0" w:line="189" w:lineRule="exact"/>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230">
        <w:r>
          <w:rPr>
            <w:rFonts w:ascii="Arial" w:cs="Arial" w:eastAsia="Arial" w:hAnsi="Arial"/>
            <w:sz w:val="16"/>
            <w:szCs w:val="16"/>
            <w:u w:val="single" w:color="auto"/>
            <w:color w:val="0000EE"/>
          </w:rPr>
          <w:t>Cas9</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II License Agreement, dated as of</w:t>
        </w:r>
      </w:hyperlink>
      <w:r>
        <w:rPr>
          <w:rFonts w:ascii="Arial" w:cs="Arial" w:eastAsia="Arial" w:hAnsi="Arial"/>
          <w:sz w:val="16"/>
          <w:szCs w:val="16"/>
          <w:u w:val="single" w:color="auto"/>
          <w:color w:val="0000EE"/>
        </w:rPr>
        <w:t xml:space="preserve"> </w:t>
      </w:r>
      <w:hyperlink r:id="rId230">
        <w:r>
          <w:rPr>
            <w:rFonts w:ascii="Arial" w:cs="Arial" w:eastAsia="Arial" w:hAnsi="Arial"/>
            <w:sz w:val="16"/>
            <w:szCs w:val="16"/>
            <w:u w:val="single" w:color="auto"/>
            <w:color w:val="0000EE"/>
          </w:rPr>
          <w:t>December 16, 2016, by and between the</w:t>
        </w:r>
      </w:hyperlink>
      <w:r>
        <w:rPr>
          <w:rFonts w:ascii="Arial" w:cs="Arial" w:eastAsia="Arial" w:hAnsi="Arial"/>
          <w:sz w:val="16"/>
          <w:szCs w:val="16"/>
          <w:u w:val="single" w:color="auto"/>
          <w:color w:val="0000EE"/>
        </w:rPr>
        <w:t xml:space="preserve"> </w:t>
      </w:r>
      <w:hyperlink r:id="rId230">
        <w:r>
          <w:rPr>
            <w:rFonts w:ascii="Arial" w:cs="Arial" w:eastAsia="Arial" w:hAnsi="Arial"/>
            <w:sz w:val="16"/>
            <w:szCs w:val="16"/>
            <w:u w:val="single" w:color="auto"/>
            <w:color w:val="0000EE"/>
          </w:rPr>
          <w:t>Registrant and The Broad Institute, Inc.</w:t>
        </w:r>
      </w:hyperlink>
    </w:p>
    <w:p>
      <w:pPr>
        <w:spacing w:after="0" w:line="1" w:lineRule="exact"/>
        <w:rPr>
          <w:rFonts w:ascii="Arial" w:cs="Arial" w:eastAsia="Arial" w:hAnsi="Arial"/>
          <w:sz w:val="16"/>
          <w:szCs w:val="16"/>
          <w:u w:val="single" w:color="auto"/>
          <w:color w:val="0000EE"/>
        </w:rPr>
      </w:pPr>
    </w:p>
    <w:p>
      <w:pPr>
        <w:ind w:left="1020" w:right="180" w:hanging="669"/>
        <w:spacing w:after="0" w:line="219"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231">
        <w:r>
          <w:rPr>
            <w:rFonts w:ascii="Arial" w:cs="Arial" w:eastAsia="Arial" w:hAnsi="Arial"/>
            <w:sz w:val="18"/>
            <w:szCs w:val="18"/>
            <w:u w:val="single" w:color="auto"/>
            <w:color w:val="0000EE"/>
          </w:rPr>
          <w:t>Strategic Alliance and Option Agreement, dated</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March 14, 2017, by and between the Registrant</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and Allergan Pharmaceuticals International</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Limited</w:t>
        </w:r>
      </w:hyperlink>
    </w:p>
    <w:p>
      <w:pPr>
        <w:spacing w:after="0" w:line="1" w:lineRule="exact"/>
        <w:rPr>
          <w:rFonts w:ascii="Arial" w:cs="Arial" w:eastAsia="Arial" w:hAnsi="Arial"/>
          <w:sz w:val="18"/>
          <w:szCs w:val="18"/>
          <w:u w:val="single" w:color="auto"/>
          <w:color w:val="0000EE"/>
        </w:rPr>
      </w:pPr>
    </w:p>
    <w:p>
      <w:pPr>
        <w:ind w:left="1020" w:right="80" w:hanging="580"/>
        <w:spacing w:after="0" w:line="219"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232">
        <w:r>
          <w:rPr>
            <w:rFonts w:ascii="Arial" w:cs="Arial" w:eastAsia="Arial" w:hAnsi="Arial"/>
            <w:sz w:val="18"/>
            <w:szCs w:val="18"/>
            <w:u w:val="single" w:color="auto"/>
            <w:color w:val="0000EE"/>
          </w:rPr>
          <w:t>Common Stock Sales Agreement, dated March 3,</w:t>
        </w:r>
      </w:hyperlink>
      <w:r>
        <w:rPr>
          <w:rFonts w:ascii="Arial" w:cs="Arial" w:eastAsia="Arial" w:hAnsi="Arial"/>
          <w:sz w:val="18"/>
          <w:szCs w:val="18"/>
          <w:u w:val="single" w:color="auto"/>
          <w:color w:val="0000EE"/>
        </w:rPr>
        <w:t xml:space="preserve"> </w:t>
      </w:r>
      <w:hyperlink r:id="rId232">
        <w:r>
          <w:rPr>
            <w:rFonts w:ascii="Arial" w:cs="Arial" w:eastAsia="Arial" w:hAnsi="Arial"/>
            <w:sz w:val="18"/>
            <w:szCs w:val="18"/>
            <w:u w:val="single" w:color="auto"/>
            <w:color w:val="0000EE"/>
          </w:rPr>
          <w:t>2017, between the Registrant and Cowen and</w:t>
        </w:r>
      </w:hyperlink>
      <w:r>
        <w:rPr>
          <w:rFonts w:ascii="Arial" w:cs="Arial" w:eastAsia="Arial" w:hAnsi="Arial"/>
          <w:sz w:val="18"/>
          <w:szCs w:val="18"/>
          <w:u w:val="single" w:color="auto"/>
          <w:color w:val="0000EE"/>
        </w:rPr>
        <w:t xml:space="preserve"> </w:t>
      </w:r>
      <w:hyperlink r:id="rId232">
        <w:r>
          <w:rPr>
            <w:rFonts w:ascii="Arial" w:cs="Arial" w:eastAsia="Arial" w:hAnsi="Arial"/>
            <w:sz w:val="18"/>
            <w:szCs w:val="18"/>
            <w:u w:val="single" w:color="auto"/>
            <w:color w:val="0000EE"/>
          </w:rPr>
          <w:t>Company, LLC</w:t>
        </w:r>
      </w:hyperlink>
    </w:p>
    <w:p>
      <w:pPr>
        <w:spacing w:after="0" w:line="1" w:lineRule="exact"/>
        <w:rPr>
          <w:rFonts w:ascii="Arial" w:cs="Arial" w:eastAsia="Arial" w:hAnsi="Arial"/>
          <w:sz w:val="18"/>
          <w:szCs w:val="18"/>
          <w:u w:val="single" w:color="auto"/>
          <w:color w:val="0000EE"/>
        </w:rPr>
      </w:pPr>
    </w:p>
    <w:p>
      <w:pPr>
        <w:ind w:left="54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233">
        <w:r>
          <w:rPr>
            <w:rFonts w:ascii="Arial" w:cs="Arial" w:eastAsia="Arial" w:hAnsi="Arial"/>
            <w:sz w:val="16"/>
            <w:szCs w:val="16"/>
            <w:u w:val="single" w:color="auto"/>
            <w:color w:val="0000EE"/>
          </w:rPr>
          <w:t>Subsidiaries of the Registrant</w:t>
        </w:r>
      </w:hyperlink>
    </w:p>
    <w:p>
      <w:pPr>
        <w:spacing w:after="0" w:line="385" w:lineRule="exact"/>
        <w:rPr>
          <w:rFonts w:ascii="Arial" w:cs="Arial" w:eastAsia="Arial" w:hAnsi="Arial"/>
          <w:sz w:val="18"/>
          <w:szCs w:val="18"/>
          <w:u w:val="single" w:color="auto"/>
          <w:color w:val="0000EE"/>
        </w:rPr>
      </w:pPr>
    </w:p>
    <w:p>
      <w:pPr>
        <w:ind w:left="4400"/>
        <w:spacing w:after="0"/>
        <w:rPr>
          <w:sz w:val="20"/>
          <w:szCs w:val="20"/>
          <w:color w:val="auto"/>
        </w:rPr>
      </w:pPr>
      <w:r>
        <w:rPr>
          <w:rFonts w:ascii="Arial" w:cs="Arial" w:eastAsia="Arial" w:hAnsi="Arial"/>
          <w:sz w:val="16"/>
          <w:szCs w:val="16"/>
          <w:color w:val="auto"/>
        </w:rPr>
        <w:t>180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64" w:lineRule="exact"/>
        <w:rPr>
          <w:rFonts w:ascii="Arial" w:cs="Arial" w:eastAsia="Arial" w:hAnsi="Arial"/>
          <w:sz w:val="18"/>
          <w:szCs w:val="18"/>
          <w:u w:val="single" w:color="auto"/>
          <w:color w:val="0000EE"/>
        </w:rPr>
      </w:pPr>
    </w:p>
    <w:p>
      <w:pPr>
        <w:spacing w:after="0"/>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S-1</w:t>
        <w:tab/>
        <w:t>333-208856</w:t>
        <w:tab/>
        <w:t>1/4/2016</w:t>
      </w:r>
      <w:r>
        <w:rPr>
          <w:sz w:val="20"/>
          <w:szCs w:val="20"/>
          <w:color w:val="auto"/>
        </w:rPr>
        <w:tab/>
      </w:r>
      <w:r>
        <w:rPr>
          <w:rFonts w:ascii="Arial" w:cs="Arial" w:eastAsia="Arial" w:hAnsi="Arial"/>
          <w:sz w:val="15"/>
          <w:szCs w:val="15"/>
          <w:color w:val="auto"/>
        </w:rPr>
        <w:t>10.16</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38" w:lineRule="exact"/>
        <w:rPr>
          <w:rFonts w:ascii="Arial" w:cs="Arial" w:eastAsia="Arial" w:hAnsi="Arial"/>
          <w:sz w:val="18"/>
          <w:szCs w:val="18"/>
          <w:u w:val="single" w:color="auto"/>
          <w:color w:val="0000EE"/>
        </w:rPr>
      </w:pPr>
    </w:p>
    <w:p>
      <w:pPr>
        <w:spacing w:after="0"/>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S-1</w:t>
        <w:tab/>
        <w:t>333-208856</w:t>
        <w:tab/>
        <w:t>1/4/2016</w:t>
      </w:r>
      <w:r>
        <w:rPr>
          <w:sz w:val="20"/>
          <w:szCs w:val="20"/>
          <w:color w:val="auto"/>
        </w:rPr>
        <w:tab/>
      </w:r>
      <w:r>
        <w:rPr>
          <w:rFonts w:ascii="Arial" w:cs="Arial" w:eastAsia="Arial" w:hAnsi="Arial"/>
          <w:sz w:val="15"/>
          <w:szCs w:val="15"/>
          <w:color w:val="auto"/>
        </w:rPr>
        <w:t>10.19</w:t>
      </w:r>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spacing w:after="0"/>
        <w:tabs>
          <w:tab w:leader="none" w:pos="1460" w:val="left"/>
          <w:tab w:leader="none" w:pos="2380" w:val="left"/>
        </w:tabs>
        <w:rPr>
          <w:sz w:val="20"/>
          <w:szCs w:val="20"/>
          <w:color w:val="auto"/>
        </w:rPr>
      </w:pPr>
      <w:r>
        <w:rPr>
          <w:rFonts w:ascii="Arial" w:cs="Arial" w:eastAsia="Arial" w:hAnsi="Arial"/>
          <w:sz w:val="18"/>
          <w:szCs w:val="18"/>
          <w:color w:val="auto"/>
        </w:rPr>
        <w:t>10-K 001-37687</w:t>
        <w:tab/>
        <w:t>3/3/2017</w:t>
      </w:r>
      <w:r>
        <w:rPr>
          <w:sz w:val="20"/>
          <w:szCs w:val="20"/>
          <w:color w:val="auto"/>
        </w:rPr>
        <w:tab/>
      </w:r>
      <w:r>
        <w:rPr>
          <w:rFonts w:ascii="Arial" w:cs="Arial" w:eastAsia="Arial" w:hAnsi="Arial"/>
          <w:sz w:val="15"/>
          <w:szCs w:val="15"/>
          <w:color w:val="auto"/>
        </w:rPr>
        <w:t>10.16</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38" w:lineRule="exact"/>
        <w:rPr>
          <w:rFonts w:ascii="Arial" w:cs="Arial" w:eastAsia="Arial" w:hAnsi="Arial"/>
          <w:sz w:val="18"/>
          <w:szCs w:val="18"/>
          <w:u w:val="single" w:color="auto"/>
          <w:color w:val="0000EE"/>
        </w:rPr>
      </w:pPr>
    </w:p>
    <w:p>
      <w:pPr>
        <w:spacing w:after="0" w:line="207" w:lineRule="exact"/>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tab/>
        <w:t>001</w:t>
      </w:r>
      <w:r>
        <w:rPr>
          <w:rFonts w:ascii="MS PGothic" w:cs="MS PGothic" w:eastAsia="MS PGothic" w:hAnsi="MS PGothic"/>
          <w:sz w:val="18"/>
          <w:szCs w:val="18"/>
          <w:color w:val="auto"/>
        </w:rPr>
        <w:t>‑</w:t>
      </w:r>
      <w:r>
        <w:rPr>
          <w:rFonts w:ascii="Arial" w:cs="Arial" w:eastAsia="Arial" w:hAnsi="Arial"/>
          <w:sz w:val="18"/>
          <w:szCs w:val="18"/>
          <w:color w:val="auto"/>
        </w:rPr>
        <w:t>37687</w:t>
        <w:tab/>
        <w:t>1/23/2017</w:t>
      </w:r>
      <w:r>
        <w:rPr>
          <w:sz w:val="20"/>
          <w:szCs w:val="20"/>
          <w:color w:val="auto"/>
        </w:rPr>
        <w:tab/>
      </w:r>
      <w:r>
        <w:rPr>
          <w:rFonts w:ascii="Arial" w:cs="Arial" w:eastAsia="Arial" w:hAnsi="Arial"/>
          <w:sz w:val="16"/>
          <w:szCs w:val="16"/>
          <w:color w:val="auto"/>
        </w:rPr>
        <w:t>99.4</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38" w:lineRule="exact"/>
        <w:rPr>
          <w:rFonts w:ascii="Arial" w:cs="Arial" w:eastAsia="Arial" w:hAnsi="Arial"/>
          <w:sz w:val="18"/>
          <w:szCs w:val="18"/>
          <w:u w:val="single" w:color="auto"/>
          <w:color w:val="0000EE"/>
        </w:rPr>
      </w:pPr>
    </w:p>
    <w:p>
      <w:pPr>
        <w:spacing w:after="0" w:line="207" w:lineRule="exact"/>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tab/>
        <w:t>001</w:t>
      </w:r>
      <w:r>
        <w:rPr>
          <w:rFonts w:ascii="MS PGothic" w:cs="MS PGothic" w:eastAsia="MS PGothic" w:hAnsi="MS PGothic"/>
          <w:sz w:val="18"/>
          <w:szCs w:val="18"/>
          <w:color w:val="auto"/>
        </w:rPr>
        <w:t>‑</w:t>
      </w:r>
      <w:r>
        <w:rPr>
          <w:rFonts w:ascii="Arial" w:cs="Arial" w:eastAsia="Arial" w:hAnsi="Arial"/>
          <w:sz w:val="18"/>
          <w:szCs w:val="18"/>
          <w:color w:val="auto"/>
        </w:rPr>
        <w:t>37687</w:t>
        <w:tab/>
        <w:t>1/23/2017</w:t>
      </w:r>
      <w:r>
        <w:rPr>
          <w:sz w:val="20"/>
          <w:szCs w:val="20"/>
          <w:color w:val="auto"/>
        </w:rPr>
        <w:tab/>
      </w:r>
      <w:r>
        <w:rPr>
          <w:rFonts w:ascii="Arial" w:cs="Arial" w:eastAsia="Arial" w:hAnsi="Arial"/>
          <w:sz w:val="16"/>
          <w:szCs w:val="16"/>
          <w:color w:val="auto"/>
        </w:rPr>
        <w:t>99.2</w:t>
      </w:r>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spacing w:after="0"/>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8-K</w:t>
        <w:tab/>
        <w:t>001-37687</w:t>
        <w:tab/>
        <w:t>3/7/2017</w:t>
      </w:r>
      <w:r>
        <w:rPr>
          <w:sz w:val="20"/>
          <w:szCs w:val="20"/>
          <w:color w:val="auto"/>
        </w:rPr>
        <w:tab/>
      </w:r>
      <w:r>
        <w:rPr>
          <w:rFonts w:ascii="Arial" w:cs="Arial" w:eastAsia="Arial" w:hAnsi="Arial"/>
          <w:sz w:val="16"/>
          <w:szCs w:val="16"/>
          <w:color w:val="auto"/>
        </w:rPr>
        <w:t>99.1</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38" w:lineRule="exact"/>
        <w:rPr>
          <w:rFonts w:ascii="Arial" w:cs="Arial" w:eastAsia="Arial" w:hAnsi="Arial"/>
          <w:sz w:val="18"/>
          <w:szCs w:val="18"/>
          <w:u w:val="single" w:color="auto"/>
          <w:color w:val="0000EE"/>
        </w:rPr>
      </w:pPr>
    </w:p>
    <w:p>
      <w:pPr>
        <w:spacing w:after="0"/>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S-1</w:t>
        <w:tab/>
        <w:t>333-208856</w:t>
        <w:tab/>
        <w:t>1/4/2016</w:t>
      </w:r>
      <w:r>
        <w:rPr>
          <w:sz w:val="20"/>
          <w:szCs w:val="20"/>
          <w:color w:val="auto"/>
        </w:rPr>
        <w:tab/>
      </w:r>
      <w:r>
        <w:rPr>
          <w:rFonts w:ascii="Arial" w:cs="Arial" w:eastAsia="Arial" w:hAnsi="Arial"/>
          <w:sz w:val="15"/>
          <w:szCs w:val="15"/>
          <w:color w:val="auto"/>
        </w:rPr>
        <w:t>10.23</w:t>
      </w:r>
    </w:p>
    <w:p>
      <w:pPr>
        <w:spacing w:after="0" w:line="358" w:lineRule="exact"/>
        <w:rPr>
          <w:rFonts w:ascii="Arial" w:cs="Arial" w:eastAsia="Arial" w:hAnsi="Arial"/>
          <w:sz w:val="18"/>
          <w:szCs w:val="18"/>
          <w:u w:val="single" w:color="auto"/>
          <w:color w:val="0000EE"/>
        </w:rPr>
      </w:pPr>
    </w:p>
    <w:p>
      <w:pPr>
        <w:spacing w:after="0"/>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S-1</w:t>
        <w:tab/>
        <w:t>333-208856</w:t>
        <w:tab/>
        <w:t>1/4/2016</w:t>
      </w:r>
      <w:r>
        <w:rPr>
          <w:sz w:val="20"/>
          <w:szCs w:val="20"/>
          <w:color w:val="auto"/>
        </w:rPr>
        <w:tab/>
      </w:r>
      <w:r>
        <w:rPr>
          <w:rFonts w:ascii="Arial" w:cs="Arial" w:eastAsia="Arial" w:hAnsi="Arial"/>
          <w:sz w:val="15"/>
          <w:szCs w:val="15"/>
          <w:color w:val="auto"/>
        </w:rPr>
        <w:t>10.24</w:t>
      </w:r>
    </w:p>
    <w:p>
      <w:pPr>
        <w:spacing w:after="0"/>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S-1</w:t>
        <w:tab/>
        <w:t>333-208856</w:t>
        <w:tab/>
        <w:t>1/4/2016</w:t>
      </w:r>
      <w:r>
        <w:rPr>
          <w:sz w:val="20"/>
          <w:szCs w:val="20"/>
          <w:color w:val="auto"/>
        </w:rPr>
        <w:tab/>
      </w:r>
      <w:r>
        <w:rPr>
          <w:rFonts w:ascii="Arial" w:cs="Arial" w:eastAsia="Arial" w:hAnsi="Arial"/>
          <w:sz w:val="15"/>
          <w:szCs w:val="15"/>
          <w:color w:val="auto"/>
        </w:rPr>
        <w:t>10.25</w:t>
      </w:r>
    </w:p>
    <w:p>
      <w:pPr>
        <w:spacing w:after="0"/>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S-1</w:t>
        <w:tab/>
        <w:t>333-208856</w:t>
        <w:tab/>
        <w:t>1/4/2016</w:t>
      </w:r>
      <w:r>
        <w:rPr>
          <w:sz w:val="20"/>
          <w:szCs w:val="20"/>
          <w:color w:val="auto"/>
        </w:rPr>
        <w:tab/>
      </w:r>
      <w:r>
        <w:rPr>
          <w:rFonts w:ascii="Arial" w:cs="Arial" w:eastAsia="Arial" w:hAnsi="Arial"/>
          <w:sz w:val="15"/>
          <w:szCs w:val="15"/>
          <w:color w:val="auto"/>
        </w:rPr>
        <w:t>10.27</w:t>
      </w:r>
    </w:p>
    <w:p>
      <w:pPr>
        <w:spacing w:after="0"/>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S-1</w:t>
        <w:tab/>
        <w:t>333-208856</w:t>
        <w:tab/>
        <w:t>1/4/2016</w:t>
      </w:r>
      <w:r>
        <w:rPr>
          <w:sz w:val="20"/>
          <w:szCs w:val="20"/>
          <w:color w:val="auto"/>
        </w:rPr>
        <w:tab/>
      </w:r>
      <w:r>
        <w:rPr>
          <w:rFonts w:ascii="Arial" w:cs="Arial" w:eastAsia="Arial" w:hAnsi="Arial"/>
          <w:sz w:val="15"/>
          <w:szCs w:val="15"/>
          <w:color w:val="auto"/>
        </w:rPr>
        <w:t>10.28</w:t>
      </w:r>
    </w:p>
    <w:p>
      <w:pPr>
        <w:spacing w:after="0" w:line="344" w:lineRule="exact"/>
        <w:rPr>
          <w:rFonts w:ascii="Arial" w:cs="Arial" w:eastAsia="Arial" w:hAnsi="Arial"/>
          <w:sz w:val="18"/>
          <w:szCs w:val="18"/>
          <w:u w:val="single" w:color="auto"/>
          <w:color w:val="0000EE"/>
        </w:rPr>
      </w:pPr>
    </w:p>
    <w:p>
      <w:pPr>
        <w:spacing w:after="0"/>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8-K</w:t>
        <w:tab/>
        <w:t>001-37687</w:t>
        <w:tab/>
        <w:t>2/19/2016</w:t>
      </w:r>
      <w:r>
        <w:rPr>
          <w:sz w:val="20"/>
          <w:szCs w:val="20"/>
          <w:color w:val="auto"/>
        </w:rPr>
        <w:tab/>
      </w:r>
      <w:r>
        <w:rPr>
          <w:rFonts w:ascii="Arial" w:cs="Arial" w:eastAsia="Arial" w:hAnsi="Arial"/>
          <w:sz w:val="16"/>
          <w:szCs w:val="16"/>
          <w:color w:val="auto"/>
        </w:rPr>
        <w:t>99.1</w:t>
      </w:r>
    </w:p>
    <w:p>
      <w:pPr>
        <w:spacing w:after="0" w:line="360" w:lineRule="exact"/>
        <w:rPr>
          <w:rFonts w:ascii="Arial" w:cs="Arial" w:eastAsia="Arial" w:hAnsi="Arial"/>
          <w:sz w:val="18"/>
          <w:szCs w:val="18"/>
          <w:u w:val="single" w:color="auto"/>
          <w:color w:val="0000EE"/>
        </w:rPr>
      </w:pPr>
    </w:p>
    <w:p>
      <w:pPr>
        <w:spacing w:after="0" w:line="207" w:lineRule="exact"/>
        <w:tabs>
          <w:tab w:leader="none" w:pos="1460" w:val="left"/>
          <w:tab w:leader="none" w:pos="2380" w:val="left"/>
        </w:tabs>
        <w:rPr>
          <w:sz w:val="20"/>
          <w:szCs w:val="20"/>
          <w:color w:val="auto"/>
        </w:rPr>
      </w:pPr>
      <w:r>
        <w:rPr>
          <w:rFonts w:ascii="Arial" w:cs="Arial" w:eastAsia="Arial" w:hAnsi="Arial"/>
          <w:sz w:val="18"/>
          <w:szCs w:val="18"/>
          <w:color w:val="auto"/>
        </w:rPr>
        <w:t>10-Q 001</w:t>
      </w:r>
      <w:r>
        <w:rPr>
          <w:rFonts w:ascii="MS PGothic" w:cs="MS PGothic" w:eastAsia="MS PGothic" w:hAnsi="MS PGothic"/>
          <w:sz w:val="18"/>
          <w:szCs w:val="18"/>
          <w:color w:val="auto"/>
        </w:rPr>
        <w:t>‑</w:t>
      </w:r>
      <w:r>
        <w:rPr>
          <w:rFonts w:ascii="Arial" w:cs="Arial" w:eastAsia="Arial" w:hAnsi="Arial"/>
          <w:sz w:val="18"/>
          <w:szCs w:val="18"/>
          <w:color w:val="auto"/>
        </w:rPr>
        <w:t>37687</w:t>
        <w:tab/>
        <w:t>11/9/2016</w:t>
      </w:r>
      <w:r>
        <w:rPr>
          <w:sz w:val="20"/>
          <w:szCs w:val="20"/>
          <w:color w:val="auto"/>
        </w:rPr>
        <w:tab/>
      </w:r>
      <w:r>
        <w:rPr>
          <w:rFonts w:ascii="Arial" w:cs="Arial" w:eastAsia="Arial" w:hAnsi="Arial"/>
          <w:sz w:val="16"/>
          <w:szCs w:val="16"/>
          <w:color w:val="auto"/>
        </w:rPr>
        <w:t>10.1</w:t>
      </w:r>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spacing w:after="0" w:line="207" w:lineRule="exact"/>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tab/>
        <w:t>001</w:t>
      </w:r>
      <w:r>
        <w:rPr>
          <w:rFonts w:ascii="MS PGothic" w:cs="MS PGothic" w:eastAsia="MS PGothic" w:hAnsi="MS PGothic"/>
          <w:sz w:val="18"/>
          <w:szCs w:val="18"/>
          <w:color w:val="auto"/>
        </w:rPr>
        <w:t>‑</w:t>
      </w:r>
      <w:r>
        <w:rPr>
          <w:rFonts w:ascii="Arial" w:cs="Arial" w:eastAsia="Arial" w:hAnsi="Arial"/>
          <w:sz w:val="18"/>
          <w:szCs w:val="18"/>
          <w:color w:val="auto"/>
        </w:rPr>
        <w:t>37687</w:t>
        <w:tab/>
        <w:t>1/23/2017</w:t>
      </w:r>
      <w:r>
        <w:rPr>
          <w:sz w:val="20"/>
          <w:szCs w:val="20"/>
          <w:color w:val="auto"/>
        </w:rPr>
        <w:tab/>
      </w:r>
      <w:r>
        <w:rPr>
          <w:rFonts w:ascii="Arial" w:cs="Arial" w:eastAsia="Arial" w:hAnsi="Arial"/>
          <w:sz w:val="16"/>
          <w:szCs w:val="16"/>
          <w:color w:val="auto"/>
        </w:rPr>
        <w:t>99.1</w:t>
      </w:r>
    </w:p>
    <w:p>
      <w:pPr>
        <w:spacing w:after="0" w:line="360" w:lineRule="exact"/>
        <w:rPr>
          <w:rFonts w:ascii="Arial" w:cs="Arial" w:eastAsia="Arial" w:hAnsi="Arial"/>
          <w:sz w:val="18"/>
          <w:szCs w:val="18"/>
          <w:u w:val="single" w:color="auto"/>
          <w:color w:val="0000EE"/>
        </w:rPr>
      </w:pPr>
    </w:p>
    <w:p>
      <w:pPr>
        <w:spacing w:after="0" w:line="207" w:lineRule="exact"/>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tab/>
        <w:t>001</w:t>
      </w:r>
      <w:r>
        <w:rPr>
          <w:rFonts w:ascii="MS PGothic" w:cs="MS PGothic" w:eastAsia="MS PGothic" w:hAnsi="MS PGothic"/>
          <w:sz w:val="18"/>
          <w:szCs w:val="18"/>
          <w:color w:val="auto"/>
        </w:rPr>
        <w:t>‑</w:t>
      </w:r>
      <w:r>
        <w:rPr>
          <w:rFonts w:ascii="Arial" w:cs="Arial" w:eastAsia="Arial" w:hAnsi="Arial"/>
          <w:sz w:val="18"/>
          <w:szCs w:val="18"/>
          <w:color w:val="auto"/>
        </w:rPr>
        <w:t>37687</w:t>
        <w:tab/>
        <w:t>1/23/2017</w:t>
      </w:r>
      <w:r>
        <w:rPr>
          <w:sz w:val="20"/>
          <w:szCs w:val="20"/>
          <w:color w:val="auto"/>
        </w:rPr>
        <w:tab/>
      </w:r>
      <w:r>
        <w:rPr>
          <w:rFonts w:ascii="Arial" w:cs="Arial" w:eastAsia="Arial" w:hAnsi="Arial"/>
          <w:sz w:val="16"/>
          <w:szCs w:val="16"/>
          <w:color w:val="auto"/>
        </w:rPr>
        <w:t>99.3</w:t>
      </w:r>
    </w:p>
    <w:p>
      <w:pPr>
        <w:spacing w:after="0" w:line="360" w:lineRule="exact"/>
        <w:rPr>
          <w:rFonts w:ascii="Arial" w:cs="Arial" w:eastAsia="Arial" w:hAnsi="Arial"/>
          <w:sz w:val="18"/>
          <w:szCs w:val="18"/>
          <w:u w:val="single" w:color="auto"/>
          <w:color w:val="0000EE"/>
        </w:rPr>
      </w:pPr>
    </w:p>
    <w:p>
      <w:pPr>
        <w:spacing w:after="0"/>
        <w:tabs>
          <w:tab w:leader="none" w:pos="1460" w:val="left"/>
          <w:tab w:leader="none" w:pos="2380" w:val="left"/>
        </w:tabs>
        <w:rPr>
          <w:sz w:val="20"/>
          <w:szCs w:val="20"/>
          <w:color w:val="auto"/>
        </w:rPr>
      </w:pPr>
      <w:r>
        <w:rPr>
          <w:rFonts w:ascii="Arial" w:cs="Arial" w:eastAsia="Arial" w:hAnsi="Arial"/>
          <w:sz w:val="18"/>
          <w:szCs w:val="18"/>
          <w:color w:val="auto"/>
        </w:rPr>
        <w:t>10-Q 001-37687</w:t>
        <w:tab/>
        <w:t>5/15/2017</w:t>
      </w:r>
      <w:r>
        <w:rPr>
          <w:sz w:val="20"/>
          <w:szCs w:val="20"/>
          <w:color w:val="auto"/>
        </w:rPr>
        <w:tab/>
      </w:r>
      <w:r>
        <w:rPr>
          <w:rFonts w:ascii="Arial" w:cs="Arial" w:eastAsia="Arial" w:hAnsi="Arial"/>
          <w:sz w:val="16"/>
          <w:szCs w:val="16"/>
          <w:color w:val="auto"/>
        </w:rPr>
        <w:t>10.1</w:t>
      </w:r>
    </w:p>
    <w:p>
      <w:pPr>
        <w:spacing w:after="0" w:line="200" w:lineRule="exact"/>
        <w:rPr>
          <w:rFonts w:ascii="Arial" w:cs="Arial" w:eastAsia="Arial" w:hAnsi="Arial"/>
          <w:sz w:val="18"/>
          <w:szCs w:val="18"/>
          <w:u w:val="single" w:color="auto"/>
          <w:color w:val="0000EE"/>
        </w:rPr>
      </w:pPr>
    </w:p>
    <w:p>
      <w:pPr>
        <w:spacing w:after="0" w:line="349" w:lineRule="exact"/>
        <w:rPr>
          <w:rFonts w:ascii="Arial" w:cs="Arial" w:eastAsia="Arial" w:hAnsi="Arial"/>
          <w:sz w:val="18"/>
          <w:szCs w:val="18"/>
          <w:u w:val="single" w:color="auto"/>
          <w:color w:val="0000EE"/>
        </w:rPr>
      </w:pPr>
    </w:p>
    <w:p>
      <w:pPr>
        <w:spacing w:after="0"/>
        <w:tabs>
          <w:tab w:leader="none" w:pos="440" w:val="left"/>
          <w:tab w:leader="none" w:pos="1460" w:val="left"/>
          <w:tab w:leader="none" w:pos="2380" w:val="left"/>
        </w:tabs>
        <w:rPr>
          <w:sz w:val="20"/>
          <w:szCs w:val="20"/>
          <w:color w:val="auto"/>
        </w:rPr>
      </w:pPr>
      <w:r>
        <w:rPr>
          <w:rFonts w:ascii="Arial" w:cs="Arial" w:eastAsia="Arial" w:hAnsi="Arial"/>
          <w:sz w:val="18"/>
          <w:szCs w:val="18"/>
          <w:color w:val="auto"/>
        </w:rPr>
        <w:t>S-3</w:t>
        <w:tab/>
        <w:t>333-216444</w:t>
        <w:tab/>
        <w:t>3/3/2017</w:t>
      </w:r>
      <w:r>
        <w:rPr>
          <w:sz w:val="20"/>
          <w:szCs w:val="20"/>
          <w:color w:val="auto"/>
        </w:rPr>
        <w:tab/>
      </w:r>
      <w:r>
        <w:rPr>
          <w:rFonts w:ascii="Arial" w:cs="Arial" w:eastAsia="Arial" w:hAnsi="Arial"/>
          <w:sz w:val="15"/>
          <w:szCs w:val="15"/>
          <w:color w:val="auto"/>
        </w:rPr>
        <w:t>1.2</w:t>
      </w:r>
    </w:p>
    <w:p>
      <w:pPr>
        <w:spacing w:after="0" w:line="360" w:lineRule="exact"/>
        <w:rPr>
          <w:rFonts w:ascii="Arial" w:cs="Arial" w:eastAsia="Arial" w:hAnsi="Arial"/>
          <w:sz w:val="18"/>
          <w:szCs w:val="18"/>
          <w:u w:val="single" w:color="auto"/>
          <w:color w:val="0000EE"/>
        </w:rPr>
      </w:pPr>
    </w:p>
    <w:p>
      <w:pPr>
        <w:spacing w:after="0"/>
        <w:tabs>
          <w:tab w:leader="none" w:pos="1460" w:val="left"/>
          <w:tab w:leader="none" w:pos="2380" w:val="left"/>
        </w:tabs>
        <w:rPr>
          <w:sz w:val="20"/>
          <w:szCs w:val="20"/>
          <w:color w:val="auto"/>
        </w:rPr>
      </w:pPr>
      <w:r>
        <w:rPr>
          <w:rFonts w:ascii="Arial" w:cs="Arial" w:eastAsia="Arial" w:hAnsi="Arial"/>
          <w:sz w:val="18"/>
          <w:szCs w:val="18"/>
          <w:color w:val="auto"/>
        </w:rPr>
        <w:t>10-K 001-37687</w:t>
        <w:tab/>
        <w:t>3/30/2016</w:t>
      </w:r>
      <w:r>
        <w:rPr>
          <w:sz w:val="20"/>
          <w:szCs w:val="20"/>
          <w:color w:val="auto"/>
        </w:rPr>
        <w:tab/>
      </w:r>
      <w:r>
        <w:rPr>
          <w:rFonts w:ascii="Arial" w:cs="Arial" w:eastAsia="Arial" w:hAnsi="Arial"/>
          <w:sz w:val="16"/>
          <w:szCs w:val="16"/>
          <w:color w:val="auto"/>
        </w:rPr>
        <w:t>21.1</w:t>
      </w:r>
    </w:p>
    <w:p>
      <w:pPr>
        <w:sectPr>
          <w:pgSz w:w="11900" w:h="16838" w:orient="portrait"/>
          <w:cols w:equalWidth="0" w:num="2">
            <w:col w:w="4680" w:space="120"/>
            <w:col w:w="4239"/>
          </w:cols>
          <w:pgMar w:left="1420" w:top="112" w:right="1440"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000" w:type="dxa"/>
            <w:vAlign w:val="bottom"/>
            <w:gridSpan w:val="8"/>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23.1</w:t>
            </w:r>
          </w:p>
        </w:tc>
        <w:tc>
          <w:tcPr>
            <w:tcW w:w="5260" w:type="dxa"/>
            <w:vAlign w:val="bottom"/>
            <w:gridSpan w:val="9"/>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Consent of Ernst &amp; Young</w:t>
              </w:r>
            </w:hyperlink>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31.1</w:t>
            </w:r>
          </w:p>
        </w:tc>
        <w:tc>
          <w:tcPr>
            <w:tcW w:w="5260" w:type="dxa"/>
            <w:vAlign w:val="bottom"/>
            <w:gridSpan w:val="9"/>
          </w:tcPr>
          <w:p>
            <w:pPr>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Rule 13a-14(a) Certification of Principal</w:t>
              </w:r>
            </w:hyperlink>
          </w:p>
        </w:tc>
        <w:tc>
          <w:tcPr>
            <w:tcW w:w="1760" w:type="dxa"/>
            <w:vAlign w:val="bottom"/>
          </w:tcPr>
          <w:p>
            <w:pPr>
              <w:ind w:left="1620"/>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940" w:type="dxa"/>
            <w:vAlign w:val="bottom"/>
            <w:tcBorders>
              <w:top w:val="single" w:sz="8" w:color="0000EE"/>
            </w:tcBorders>
            <w:gridSpan w:val="5"/>
          </w:tcPr>
          <w:p>
            <w:pPr>
              <w:spacing w:after="0" w:line="170" w:lineRule="exact"/>
              <w:rPr>
                <w:rFonts w:ascii="Arial" w:cs="Arial" w:eastAsia="Arial" w:hAnsi="Arial"/>
                <w:sz w:val="18"/>
                <w:szCs w:val="18"/>
                <w:color w:val="0000EE"/>
              </w:rPr>
            </w:pPr>
            <w:hyperlink w:anchor="page184">
              <w:r>
                <w:rPr>
                  <w:rFonts w:ascii="Arial" w:cs="Arial" w:eastAsia="Arial" w:hAnsi="Arial"/>
                  <w:sz w:val="18"/>
                  <w:szCs w:val="18"/>
                  <w:color w:val="0000EE"/>
                </w:rPr>
                <w:t>Executive Officer</w:t>
              </w:r>
            </w:hyperlink>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right"/>
              <w:ind w:right="70"/>
              <w:spacing w:after="0" w:line="150" w:lineRule="exact"/>
              <w:rPr>
                <w:sz w:val="20"/>
                <w:szCs w:val="20"/>
                <w:color w:val="auto"/>
              </w:rPr>
            </w:pPr>
            <w:r>
              <w:rPr>
                <w:rFonts w:ascii="Arial" w:cs="Arial" w:eastAsia="Arial" w:hAnsi="Arial"/>
                <w:sz w:val="17"/>
                <w:szCs w:val="17"/>
                <w:color w:val="auto"/>
              </w:rPr>
              <w:t>31.2</w:t>
            </w:r>
          </w:p>
        </w:tc>
        <w:tc>
          <w:tcPr>
            <w:tcW w:w="1300" w:type="dxa"/>
            <w:vAlign w:val="bottom"/>
            <w:tcBorders>
              <w:top w:val="single" w:sz="8" w:color="0000EE"/>
            </w:tcBorders>
            <w:gridSpan w:val="3"/>
          </w:tcPr>
          <w:p>
            <w:pPr>
              <w:spacing w:after="0" w:line="156" w:lineRule="exact"/>
              <w:rPr>
                <w:rFonts w:ascii="Arial" w:cs="Arial" w:eastAsia="Arial" w:hAnsi="Arial"/>
                <w:sz w:val="18"/>
                <w:szCs w:val="18"/>
                <w:color w:val="0000EE"/>
              </w:rPr>
            </w:pPr>
            <w:hyperlink w:anchor="page185">
              <w:r>
                <w:rPr>
                  <w:rFonts w:ascii="Arial" w:cs="Arial" w:eastAsia="Arial" w:hAnsi="Arial"/>
                  <w:sz w:val="18"/>
                  <w:szCs w:val="18"/>
                  <w:color w:val="0000EE"/>
                </w:rPr>
                <w:t>Rule 13a-14(a)</w:t>
              </w:r>
            </w:hyperlink>
          </w:p>
        </w:tc>
        <w:tc>
          <w:tcPr>
            <w:tcW w:w="3960" w:type="dxa"/>
            <w:vAlign w:val="bottom"/>
            <w:gridSpan w:val="6"/>
          </w:tcPr>
          <w:p>
            <w:pPr>
              <w:spacing w:after="0" w:line="150" w:lineRule="exact"/>
              <w:rPr>
                <w:rFonts w:ascii="Arial" w:cs="Arial" w:eastAsia="Arial" w:hAnsi="Arial"/>
                <w:sz w:val="17"/>
                <w:szCs w:val="17"/>
                <w:color w:val="0000EE"/>
              </w:rPr>
            </w:pPr>
            <w:hyperlink w:anchor="page185">
              <w:r>
                <w:rPr>
                  <w:rFonts w:ascii="Arial" w:cs="Arial" w:eastAsia="Arial" w:hAnsi="Arial"/>
                  <w:sz w:val="17"/>
                  <w:szCs w:val="17"/>
                  <w:color w:val="0000EE"/>
                </w:rPr>
                <w:t>Certification of Principal Financial</w:t>
              </w:r>
            </w:hyperlink>
          </w:p>
        </w:tc>
        <w:tc>
          <w:tcPr>
            <w:tcW w:w="1760" w:type="dxa"/>
            <w:vAlign w:val="bottom"/>
          </w:tcPr>
          <w:p>
            <w:pPr>
              <w:ind w:left="1620"/>
              <w:spacing w:after="0" w:line="150"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9"/>
        </w:trPr>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rPr>
              <w:t>32.1</w:t>
            </w:r>
          </w:p>
        </w:tc>
        <w:tc>
          <w:tcPr>
            <w:tcW w:w="3660" w:type="dxa"/>
            <w:vAlign w:val="bottom"/>
            <w:tcBorders>
              <w:top w:val="single" w:sz="8" w:color="0000EE"/>
            </w:tcBorders>
            <w:gridSpan w:val="8"/>
          </w:tcPr>
          <w:p>
            <w:pPr>
              <w:spacing w:after="0" w:line="170" w:lineRule="exact"/>
              <w:rPr>
                <w:rFonts w:ascii="Arial" w:cs="Arial" w:eastAsia="Arial" w:hAnsi="Arial"/>
                <w:sz w:val="18"/>
                <w:szCs w:val="18"/>
                <w:color w:val="0000EE"/>
              </w:rPr>
            </w:pPr>
            <w:hyperlink w:anchor="page185">
              <w:r>
                <w:rPr>
                  <w:rFonts w:ascii="Arial" w:cs="Arial" w:eastAsia="Arial" w:hAnsi="Arial"/>
                  <w:sz w:val="18"/>
                  <w:szCs w:val="18"/>
                  <w:color w:val="0000EE"/>
                </w:rPr>
                <w:t>Officer</w:t>
              </w:r>
            </w:hyperlink>
          </w:p>
        </w:tc>
        <w:tc>
          <w:tcPr>
            <w:tcW w:w="1600" w:type="dxa"/>
            <w:vAlign w:val="bottom"/>
          </w:tcPr>
          <w:p>
            <w:pPr>
              <w:spacing w:after="0"/>
              <w:rPr>
                <w:sz w:val="14"/>
                <w:szCs w:val="14"/>
                <w:color w:val="auto"/>
              </w:rPr>
            </w:pPr>
          </w:p>
        </w:tc>
        <w:tc>
          <w:tcPr>
            <w:tcW w:w="1760" w:type="dxa"/>
            <w:vAlign w:val="bottom"/>
            <w:vMerge w:val="restart"/>
          </w:tcPr>
          <w:p>
            <w:pPr>
              <w:ind w:left="16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5260" w:type="dxa"/>
            <w:vAlign w:val="bottom"/>
            <w:gridSpan w:val="9"/>
          </w:tcPr>
          <w:p>
            <w:pPr>
              <w:spacing w:after="0" w:line="156" w:lineRule="exact"/>
              <w:rPr>
                <w:rFonts w:ascii="Arial" w:cs="Arial" w:eastAsia="Arial" w:hAnsi="Arial"/>
                <w:sz w:val="18"/>
                <w:szCs w:val="18"/>
                <w:color w:val="0000EE"/>
              </w:rPr>
            </w:pPr>
            <w:hyperlink w:anchor="page186">
              <w:r>
                <w:rPr>
                  <w:rFonts w:ascii="Arial" w:cs="Arial" w:eastAsia="Arial" w:hAnsi="Arial"/>
                  <w:sz w:val="18"/>
                  <w:szCs w:val="18"/>
                  <w:color w:val="0000EE"/>
                </w:rPr>
                <w:t>Certification of Principal Executive Officer and</w:t>
              </w:r>
            </w:hyperlink>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344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89"/>
              </w:rPr>
            </w:pPr>
            <w:hyperlink w:anchor="page186">
              <w:r>
                <w:rPr>
                  <w:rFonts w:ascii="Arial" w:cs="Arial" w:eastAsia="Arial" w:hAnsi="Arial"/>
                  <w:sz w:val="18"/>
                  <w:szCs w:val="18"/>
                  <w:color w:val="0000EE"/>
                  <w:w w:val="89"/>
                </w:rPr>
                <w:t>Principal Financial Officer pursuant to 18 U.S.C.</w:t>
              </w:r>
            </w:hyperlink>
          </w:p>
        </w:tc>
        <w:tc>
          <w:tcPr>
            <w:tcW w:w="100" w:type="dxa"/>
            <w:vAlign w:val="bottom"/>
            <w:tcBorders>
              <w:bottom w:val="single" w:sz="8" w:color="0000EE"/>
            </w:tcBorders>
          </w:tcPr>
          <w:p>
            <w:pPr>
              <w:spacing w:after="0"/>
              <w:rPr>
                <w:sz w:val="14"/>
                <w:szCs w:val="14"/>
                <w:color w:val="auto"/>
              </w:rPr>
            </w:pPr>
          </w:p>
        </w:tc>
        <w:tc>
          <w:tcPr>
            <w:tcW w:w="1720" w:type="dxa"/>
            <w:vAlign w:val="bottom"/>
            <w:gridSpan w:val="2"/>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rPr>
              <w:t>101.INS</w:t>
            </w:r>
          </w:p>
        </w:tc>
        <w:tc>
          <w:tcPr>
            <w:tcW w:w="520" w:type="dxa"/>
            <w:vAlign w:val="bottom"/>
            <w:tcBorders>
              <w:bottom w:val="single" w:sz="8" w:color="0000EE"/>
            </w:tcBorders>
            <w:gridSpan w:val="2"/>
          </w:tcPr>
          <w:p>
            <w:pPr>
              <w:spacing w:after="0" w:line="170" w:lineRule="exact"/>
              <w:rPr>
                <w:rFonts w:ascii="Arial" w:cs="Arial" w:eastAsia="Arial" w:hAnsi="Arial"/>
                <w:sz w:val="18"/>
                <w:szCs w:val="18"/>
                <w:color w:val="0000EE"/>
                <w:w w:val="95"/>
              </w:rPr>
            </w:pPr>
            <w:hyperlink w:anchor="page186">
              <w:r>
                <w:rPr>
                  <w:rFonts w:ascii="Arial" w:cs="Arial" w:eastAsia="Arial" w:hAnsi="Arial"/>
                  <w:sz w:val="18"/>
                  <w:szCs w:val="18"/>
                  <w:color w:val="0000EE"/>
                  <w:w w:val="95"/>
                </w:rPr>
                <w:t>§1350</w:t>
              </w:r>
            </w:hyperlink>
          </w:p>
        </w:tc>
        <w:tc>
          <w:tcPr>
            <w:tcW w:w="4740" w:type="dxa"/>
            <w:vAlign w:val="bottom"/>
            <w:gridSpan w:val="7"/>
            <w:vMerge w:val="restart"/>
          </w:tcPr>
          <w:p>
            <w:pPr>
              <w:ind w:left="20"/>
              <w:spacing w:after="0"/>
              <w:rPr>
                <w:sz w:val="20"/>
                <w:szCs w:val="20"/>
                <w:color w:val="auto"/>
              </w:rPr>
            </w:pPr>
            <w:r>
              <w:rPr>
                <w:rFonts w:ascii="Arial" w:cs="Arial" w:eastAsia="Arial" w:hAnsi="Arial"/>
                <w:sz w:val="18"/>
                <w:szCs w:val="18"/>
                <w:color w:val="auto"/>
              </w:rPr>
              <w:t>Instance Document</w:t>
            </w:r>
          </w:p>
        </w:tc>
        <w:tc>
          <w:tcPr>
            <w:tcW w:w="1760" w:type="dxa"/>
            <w:vAlign w:val="bottom"/>
            <w:vMerge w:val="restart"/>
          </w:tcPr>
          <w:p>
            <w:pPr>
              <w:ind w:left="16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8"/>
        </w:trPr>
        <w:tc>
          <w:tcPr>
            <w:tcW w:w="1020" w:type="dxa"/>
            <w:vAlign w:val="bottom"/>
            <w:vMerge w:val="continue"/>
          </w:tcPr>
          <w:p>
            <w:pPr>
              <w:spacing w:after="0"/>
              <w:rPr>
                <w:sz w:val="14"/>
                <w:szCs w:val="14"/>
                <w:color w:val="auto"/>
              </w:rPr>
            </w:pPr>
          </w:p>
        </w:tc>
        <w:tc>
          <w:tcPr>
            <w:tcW w:w="520" w:type="dxa"/>
            <w:vAlign w:val="bottom"/>
            <w:gridSpan w:val="2"/>
          </w:tcPr>
          <w:p>
            <w:pPr>
              <w:spacing w:after="0" w:line="169" w:lineRule="exact"/>
              <w:rPr>
                <w:sz w:val="20"/>
                <w:szCs w:val="20"/>
                <w:color w:val="auto"/>
              </w:rPr>
            </w:pPr>
            <w:r>
              <w:rPr>
                <w:rFonts w:ascii="Arial" w:cs="Arial" w:eastAsia="Arial" w:hAnsi="Arial"/>
                <w:sz w:val="18"/>
                <w:szCs w:val="18"/>
                <w:color w:val="auto"/>
              </w:rPr>
              <w:t>XBRL</w:t>
            </w:r>
          </w:p>
        </w:tc>
        <w:tc>
          <w:tcPr>
            <w:tcW w:w="4740" w:type="dxa"/>
            <w:vAlign w:val="bottom"/>
            <w:gridSpan w:val="7"/>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101.SCH</w:t>
            </w:r>
          </w:p>
        </w:tc>
        <w:tc>
          <w:tcPr>
            <w:tcW w:w="5260" w:type="dxa"/>
            <w:vAlign w:val="bottom"/>
            <w:gridSpan w:val="9"/>
          </w:tcPr>
          <w:p>
            <w:pPr>
              <w:spacing w:after="0" w:line="189" w:lineRule="exact"/>
              <w:rPr>
                <w:sz w:val="20"/>
                <w:szCs w:val="20"/>
                <w:color w:val="auto"/>
              </w:rPr>
            </w:pPr>
            <w:r>
              <w:rPr>
                <w:rFonts w:ascii="Arial" w:cs="Arial" w:eastAsia="Arial" w:hAnsi="Arial"/>
                <w:sz w:val="18"/>
                <w:szCs w:val="18"/>
                <w:color w:val="auto"/>
              </w:rPr>
              <w:t>XBRL Taxonomy Extension Schema Document</w:t>
            </w:r>
          </w:p>
        </w:tc>
        <w:tc>
          <w:tcPr>
            <w:tcW w:w="1760" w:type="dxa"/>
            <w:vAlign w:val="bottom"/>
          </w:tcPr>
          <w:p>
            <w:pPr>
              <w:ind w:left="1620"/>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102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101.CAL</w:t>
            </w:r>
          </w:p>
        </w:tc>
        <w:tc>
          <w:tcPr>
            <w:tcW w:w="5260" w:type="dxa"/>
            <w:vAlign w:val="bottom"/>
            <w:gridSpan w:val="9"/>
          </w:tcPr>
          <w:p>
            <w:pPr>
              <w:spacing w:after="0" w:line="189" w:lineRule="exact"/>
              <w:rPr>
                <w:sz w:val="20"/>
                <w:szCs w:val="20"/>
                <w:color w:val="auto"/>
              </w:rPr>
            </w:pPr>
            <w:r>
              <w:rPr>
                <w:rFonts w:ascii="Arial" w:cs="Arial" w:eastAsia="Arial" w:hAnsi="Arial"/>
                <w:sz w:val="18"/>
                <w:szCs w:val="18"/>
                <w:color w:val="auto"/>
              </w:rPr>
              <w:t>XBRL Taxonomy Extension Calculation Linkbase</w:t>
            </w:r>
          </w:p>
        </w:tc>
        <w:tc>
          <w:tcPr>
            <w:tcW w:w="1760" w:type="dxa"/>
            <w:vAlign w:val="bottom"/>
          </w:tcPr>
          <w:p>
            <w:pPr>
              <w:ind w:left="1620"/>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5260" w:type="dxa"/>
            <w:vAlign w:val="bottom"/>
            <w:gridSpan w:val="9"/>
          </w:tcPr>
          <w:p>
            <w:pPr>
              <w:spacing w:after="0" w:line="189" w:lineRule="exact"/>
              <w:rPr>
                <w:sz w:val="20"/>
                <w:szCs w:val="20"/>
                <w:color w:val="auto"/>
              </w:rPr>
            </w:pPr>
            <w:r>
              <w:rPr>
                <w:rFonts w:ascii="Arial" w:cs="Arial" w:eastAsia="Arial" w:hAnsi="Arial"/>
                <w:sz w:val="18"/>
                <w:szCs w:val="18"/>
                <w:color w:val="auto"/>
              </w:rPr>
              <w:t>Document</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101.DEF</w:t>
            </w:r>
          </w:p>
        </w:tc>
        <w:tc>
          <w:tcPr>
            <w:tcW w:w="5260" w:type="dxa"/>
            <w:vAlign w:val="bottom"/>
            <w:gridSpan w:val="9"/>
          </w:tcPr>
          <w:p>
            <w:pPr>
              <w:spacing w:after="0" w:line="189" w:lineRule="exact"/>
              <w:rPr>
                <w:sz w:val="20"/>
                <w:szCs w:val="20"/>
                <w:color w:val="auto"/>
              </w:rPr>
            </w:pPr>
            <w:r>
              <w:rPr>
                <w:rFonts w:ascii="Arial" w:cs="Arial" w:eastAsia="Arial" w:hAnsi="Arial"/>
                <w:sz w:val="18"/>
                <w:szCs w:val="18"/>
                <w:color w:val="auto"/>
              </w:rPr>
              <w:t>XBRL Taxonomy Extension Definition Linkbase</w:t>
            </w:r>
          </w:p>
        </w:tc>
        <w:tc>
          <w:tcPr>
            <w:tcW w:w="1760" w:type="dxa"/>
            <w:vAlign w:val="bottom"/>
          </w:tcPr>
          <w:p>
            <w:pPr>
              <w:ind w:left="1620"/>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5260" w:type="dxa"/>
            <w:vAlign w:val="bottom"/>
            <w:gridSpan w:val="9"/>
          </w:tcPr>
          <w:p>
            <w:pPr>
              <w:spacing w:after="0" w:line="189" w:lineRule="exact"/>
              <w:rPr>
                <w:sz w:val="20"/>
                <w:szCs w:val="20"/>
                <w:color w:val="auto"/>
              </w:rPr>
            </w:pPr>
            <w:r>
              <w:rPr>
                <w:rFonts w:ascii="Arial" w:cs="Arial" w:eastAsia="Arial" w:hAnsi="Arial"/>
                <w:sz w:val="18"/>
                <w:szCs w:val="18"/>
                <w:color w:val="auto"/>
              </w:rPr>
              <w:t>Document</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101.LAB</w:t>
            </w:r>
          </w:p>
        </w:tc>
        <w:tc>
          <w:tcPr>
            <w:tcW w:w="5260" w:type="dxa"/>
            <w:vAlign w:val="bottom"/>
            <w:gridSpan w:val="9"/>
          </w:tcPr>
          <w:p>
            <w:pPr>
              <w:spacing w:after="0" w:line="189" w:lineRule="exact"/>
              <w:rPr>
                <w:sz w:val="20"/>
                <w:szCs w:val="20"/>
                <w:color w:val="auto"/>
              </w:rPr>
            </w:pPr>
            <w:r>
              <w:rPr>
                <w:rFonts w:ascii="Arial" w:cs="Arial" w:eastAsia="Arial" w:hAnsi="Arial"/>
                <w:sz w:val="18"/>
                <w:szCs w:val="18"/>
                <w:color w:val="auto"/>
              </w:rPr>
              <w:t>XBRL Taxonomy Extension Label Linkbase</w:t>
            </w:r>
          </w:p>
        </w:tc>
        <w:tc>
          <w:tcPr>
            <w:tcW w:w="1760" w:type="dxa"/>
            <w:vAlign w:val="bottom"/>
          </w:tcPr>
          <w:p>
            <w:pPr>
              <w:ind w:left="1620"/>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5260" w:type="dxa"/>
            <w:vAlign w:val="bottom"/>
            <w:gridSpan w:val="9"/>
          </w:tcPr>
          <w:p>
            <w:pPr>
              <w:spacing w:after="0" w:line="189" w:lineRule="exact"/>
              <w:rPr>
                <w:sz w:val="20"/>
                <w:szCs w:val="20"/>
                <w:color w:val="auto"/>
              </w:rPr>
            </w:pPr>
            <w:r>
              <w:rPr>
                <w:rFonts w:ascii="Arial" w:cs="Arial" w:eastAsia="Arial" w:hAnsi="Arial"/>
                <w:sz w:val="18"/>
                <w:szCs w:val="18"/>
                <w:color w:val="auto"/>
              </w:rPr>
              <w:t>Document</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101.PRE</w:t>
            </w:r>
          </w:p>
        </w:tc>
        <w:tc>
          <w:tcPr>
            <w:tcW w:w="5260" w:type="dxa"/>
            <w:vAlign w:val="bottom"/>
            <w:gridSpan w:val="9"/>
          </w:tcPr>
          <w:p>
            <w:pPr>
              <w:spacing w:after="0" w:line="189" w:lineRule="exact"/>
              <w:rPr>
                <w:sz w:val="20"/>
                <w:szCs w:val="20"/>
                <w:color w:val="auto"/>
              </w:rPr>
            </w:pPr>
            <w:r>
              <w:rPr>
                <w:rFonts w:ascii="Arial" w:cs="Arial" w:eastAsia="Arial" w:hAnsi="Arial"/>
                <w:sz w:val="18"/>
                <w:szCs w:val="18"/>
                <w:color w:val="auto"/>
              </w:rPr>
              <w:t>XBRL Taxonomy Extension Presentation</w:t>
            </w:r>
          </w:p>
        </w:tc>
        <w:tc>
          <w:tcPr>
            <w:tcW w:w="1760" w:type="dxa"/>
            <w:vAlign w:val="bottom"/>
          </w:tcPr>
          <w:p>
            <w:pPr>
              <w:ind w:left="1620"/>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26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408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4" w:lineRule="exact"/>
        <w:rPr>
          <w:sz w:val="20"/>
          <w:szCs w:val="20"/>
          <w:color w:val="auto"/>
        </w:rPr>
      </w:pPr>
    </w:p>
    <w:p>
      <w:pPr>
        <w:ind w:left="660" w:hanging="657"/>
        <w:spacing w:after="0" w:line="212" w:lineRule="auto"/>
        <w:tabs>
          <w:tab w:leader="none" w:pos="6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filed separately with the Securities and Exchange Commission.</w:t>
      </w:r>
    </w:p>
    <w:p>
      <w:pPr>
        <w:spacing w:after="0" w:line="1" w:lineRule="exact"/>
        <w:rPr>
          <w:sz w:val="20"/>
          <w:szCs w:val="20"/>
          <w:color w:val="auto"/>
        </w:rPr>
      </w:pPr>
    </w:p>
    <w:p>
      <w:pPr>
        <w:ind w:left="640" w:hanging="637"/>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95" w:right="1439" w:bottom="1440" w:gutter="0" w:footer="0" w:header="0"/>
        </w:sectPr>
      </w:pPr>
    </w:p>
    <w:bookmarkStart w:id="181" w:name="page182"/>
    <w:bookmarkEnd w:id="1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EDITAS MEDICINE, INC.</w:t>
      </w:r>
    </w:p>
    <w:p>
      <w:pPr>
        <w:spacing w:after="0" w:line="322" w:lineRule="exact"/>
        <w:rPr>
          <w:sz w:val="20"/>
          <w:szCs w:val="20"/>
          <w:color w:val="auto"/>
        </w:rPr>
      </w:pPr>
    </w:p>
    <w:p>
      <w:pPr>
        <w:spacing w:after="0"/>
        <w:tabs>
          <w:tab w:leader="none" w:pos="4300" w:val="left"/>
          <w:tab w:leader="none" w:pos="4760" w:val="left"/>
        </w:tabs>
        <w:rPr>
          <w:sz w:val="20"/>
          <w:szCs w:val="20"/>
          <w:color w:val="auto"/>
        </w:rPr>
      </w:pPr>
      <w:r>
        <w:rPr>
          <w:rFonts w:ascii="Arial" w:cs="Arial" w:eastAsia="Arial" w:hAnsi="Arial"/>
          <w:sz w:val="18"/>
          <w:szCs w:val="18"/>
          <w:color w:val="auto"/>
        </w:rPr>
        <w:t>Dated: March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Katrine S. Bosley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-635</wp:posOffset>
            </wp:positionV>
            <wp:extent cx="2727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4780"/>
        <w:spacing w:after="0" w:line="203" w:lineRule="auto"/>
        <w:rPr>
          <w:sz w:val="20"/>
          <w:szCs w:val="20"/>
          <w:color w:val="auto"/>
        </w:rPr>
      </w:pPr>
      <w:r>
        <w:rPr>
          <w:rFonts w:ascii="Arial" w:cs="Arial" w:eastAsia="Arial" w:hAnsi="Arial"/>
          <w:sz w:val="18"/>
          <w:szCs w:val="18"/>
          <w:color w:val="auto"/>
        </w:rPr>
        <w:t>Katrine S. Bosley</w:t>
      </w:r>
    </w:p>
    <w:p>
      <w:pPr>
        <w:ind w:left="4780"/>
        <w:spacing w:after="0"/>
        <w:rPr>
          <w:sz w:val="20"/>
          <w:szCs w:val="20"/>
          <w:color w:val="auto"/>
        </w:rPr>
      </w:pPr>
      <w:r>
        <w:rPr>
          <w:rFonts w:ascii="Arial" w:cs="Arial" w:eastAsia="Arial" w:hAnsi="Arial"/>
          <w:sz w:val="18"/>
          <w:szCs w:val="18"/>
          <w:color w:val="auto"/>
        </w:rPr>
        <w:t>President and Chief Executive Officer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48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60"/>
          </w:cols>
          <w:pgMar w:left="1420" w:top="114" w:right="1419" w:bottom="1440" w:gutter="0" w:footer="0" w:header="0"/>
        </w:sectPr>
      </w:pPr>
    </w:p>
    <w:p>
      <w:pPr>
        <w:spacing w:after="0" w:line="13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0</wp:posOffset>
            </wp:positionV>
            <wp:extent cx="17665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6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Katrine S. Bosley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19208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9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Katrine S. Bosley</w:t>
      </w:r>
    </w:p>
    <w:p>
      <w:pPr>
        <w:spacing w:after="0" w:line="360"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Andrew A. F. Hack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19208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97"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Andrew A.F. Hack, M.D., Ph.D.</w:t>
      </w:r>
    </w:p>
    <w:p>
      <w:pPr>
        <w:spacing w:after="0" w:line="34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Kevin Bitterman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19208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Kevin Bitterman, Ph.D.</w:t>
      </w:r>
    </w:p>
    <w:p>
      <w:pPr>
        <w:spacing w:after="0" w:line="320"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19208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Alexis Borisy</w:t>
      </w:r>
    </w:p>
    <w:p>
      <w:pPr>
        <w:spacing w:after="0" w:line="320"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 Andrew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19208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Andrew Hirsch</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23241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President and Chief Executive Officer, Director (principal executive officer)</w:t>
      </w:r>
    </w:p>
    <w:p>
      <w:pPr>
        <w:spacing w:after="0" w:line="200" w:lineRule="exact"/>
        <w:rPr>
          <w:sz w:val="20"/>
          <w:szCs w:val="20"/>
          <w:color w:val="auto"/>
        </w:rPr>
      </w:pPr>
    </w:p>
    <w:p>
      <w:pPr>
        <w:spacing w:after="0" w:line="28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Chief Financial Officer (principal financial and accounting officer)</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12007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March 8, 2018</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March 8, 2018</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March 8, 2018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March 8, 2018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March 8, 2018</w:t>
      </w:r>
    </w:p>
    <w:p>
      <w:pPr>
        <w:spacing w:after="0" w:line="535" w:lineRule="exact"/>
        <w:rPr>
          <w:sz w:val="20"/>
          <w:szCs w:val="20"/>
          <w:color w:val="auto"/>
        </w:rPr>
      </w:pPr>
    </w:p>
    <w:p>
      <w:pPr>
        <w:sectPr>
          <w:pgSz w:w="11900" w:h="16838" w:orient="portrait"/>
          <w:cols w:equalWidth="0" w:num="3">
            <w:col w:w="2680" w:space="460"/>
            <w:col w:w="3440" w:space="460"/>
            <w:col w:w="2020"/>
          </w:cols>
          <w:pgMar w:left="1420" w:top="114" w:right="141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Jessica Hopfield</w:t>
            </w:r>
          </w:p>
        </w:tc>
        <w:tc>
          <w:tcPr>
            <w:tcW w:w="10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980" w:type="dxa"/>
            <w:vAlign w:val="bottom"/>
          </w:tcPr>
          <w:p>
            <w:pPr>
              <w:ind w:left="2960"/>
              <w:spacing w:after="0"/>
              <w:rPr>
                <w:sz w:val="20"/>
                <w:szCs w:val="20"/>
                <w:color w:val="auto"/>
              </w:rPr>
            </w:pPr>
            <w:r>
              <w:rPr>
                <w:rFonts w:ascii="Arial" w:cs="Arial" w:eastAsia="Arial" w:hAnsi="Arial"/>
                <w:sz w:val="18"/>
                <w:szCs w:val="18"/>
                <w:color w:val="auto"/>
              </w:rPr>
              <w:t>March 8, 2018</w:t>
            </w:r>
          </w:p>
        </w:tc>
      </w:tr>
      <w:tr>
        <w:trPr>
          <w:trHeight w:val="237"/>
        </w:trPr>
        <w:tc>
          <w:tcPr>
            <w:tcW w:w="3020" w:type="dxa"/>
            <w:vAlign w:val="bottom"/>
          </w:tcPr>
          <w:p>
            <w:pPr>
              <w:jc w:val="center"/>
              <w:spacing w:after="0"/>
              <w:rPr>
                <w:sz w:val="20"/>
                <w:szCs w:val="20"/>
                <w:color w:val="auto"/>
              </w:rPr>
            </w:pPr>
            <w:r>
              <w:rPr>
                <w:rFonts w:ascii="Arial" w:cs="Arial" w:eastAsia="Arial" w:hAnsi="Arial"/>
                <w:sz w:val="18"/>
                <w:szCs w:val="18"/>
                <w:color w:val="auto"/>
                <w:w w:val="90"/>
              </w:rPr>
              <w:t>Jessica Hopfield, Ph.D.</w:t>
            </w:r>
          </w:p>
        </w:tc>
        <w:tc>
          <w:tcPr>
            <w:tcW w:w="106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527"/>
        </w:trPr>
        <w:tc>
          <w:tcPr>
            <w:tcW w:w="3020" w:type="dxa"/>
            <w:vAlign w:val="bottom"/>
          </w:tcPr>
          <w:p>
            <w:pPr>
              <w:jc w:val="center"/>
              <w:spacing w:after="0"/>
              <w:rPr>
                <w:sz w:val="20"/>
                <w:szCs w:val="20"/>
                <w:color w:val="auto"/>
              </w:rPr>
            </w:pPr>
            <w:r>
              <w:rPr>
                <w:rFonts w:ascii="Arial" w:cs="Arial" w:eastAsia="Arial" w:hAnsi="Arial"/>
                <w:sz w:val="18"/>
                <w:szCs w:val="18"/>
                <w:color w:val="auto"/>
                <w:w w:val="92"/>
              </w:rPr>
              <w:t>/s/ John D. Mendlein</w:t>
            </w:r>
          </w:p>
        </w:tc>
        <w:tc>
          <w:tcPr>
            <w:tcW w:w="10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980" w:type="dxa"/>
            <w:vAlign w:val="bottom"/>
          </w:tcPr>
          <w:p>
            <w:pPr>
              <w:ind w:left="2960"/>
              <w:spacing w:after="0"/>
              <w:rPr>
                <w:sz w:val="20"/>
                <w:szCs w:val="20"/>
                <w:color w:val="auto"/>
              </w:rPr>
            </w:pPr>
            <w:r>
              <w:rPr>
                <w:rFonts w:ascii="Arial" w:cs="Arial" w:eastAsia="Arial" w:hAnsi="Arial"/>
                <w:sz w:val="18"/>
                <w:szCs w:val="18"/>
                <w:color w:val="auto"/>
              </w:rPr>
              <w:t>March 8, 2018</w:t>
            </w:r>
          </w:p>
        </w:tc>
      </w:tr>
      <w:tr>
        <w:trPr>
          <w:trHeight w:val="27"/>
        </w:trPr>
        <w:tc>
          <w:tcPr>
            <w:tcW w:w="30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3020" w:type="dxa"/>
            <w:vAlign w:val="bottom"/>
          </w:tcPr>
          <w:p>
            <w:pPr>
              <w:jc w:val="center"/>
              <w:spacing w:after="0"/>
              <w:rPr>
                <w:sz w:val="20"/>
                <w:szCs w:val="20"/>
                <w:color w:val="auto"/>
              </w:rPr>
            </w:pPr>
            <w:r>
              <w:rPr>
                <w:rFonts w:ascii="Arial" w:cs="Arial" w:eastAsia="Arial" w:hAnsi="Arial"/>
                <w:sz w:val="18"/>
                <w:szCs w:val="18"/>
                <w:color w:val="auto"/>
                <w:w w:val="91"/>
              </w:rPr>
              <w:t>John D. Mendlein, Ph.D., J.D.</w:t>
            </w:r>
          </w:p>
        </w:tc>
        <w:tc>
          <w:tcPr>
            <w:tcW w:w="106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527"/>
        </w:trPr>
        <w:tc>
          <w:tcPr>
            <w:tcW w:w="3020" w:type="dxa"/>
            <w:vAlign w:val="bottom"/>
          </w:tcPr>
          <w:p>
            <w:pPr>
              <w:jc w:val="center"/>
              <w:spacing w:after="0"/>
              <w:rPr>
                <w:sz w:val="20"/>
                <w:szCs w:val="20"/>
                <w:color w:val="auto"/>
              </w:rPr>
            </w:pPr>
            <w:r>
              <w:rPr>
                <w:rFonts w:ascii="Arial" w:cs="Arial" w:eastAsia="Arial" w:hAnsi="Arial"/>
                <w:sz w:val="18"/>
                <w:szCs w:val="18"/>
                <w:color w:val="auto"/>
                <w:w w:val="97"/>
              </w:rPr>
              <w:t>/s/ Boris Nikolic</w:t>
            </w:r>
          </w:p>
        </w:tc>
        <w:tc>
          <w:tcPr>
            <w:tcW w:w="10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980" w:type="dxa"/>
            <w:vAlign w:val="bottom"/>
          </w:tcPr>
          <w:p>
            <w:pPr>
              <w:ind w:left="2960"/>
              <w:spacing w:after="0"/>
              <w:rPr>
                <w:sz w:val="20"/>
                <w:szCs w:val="20"/>
                <w:color w:val="auto"/>
              </w:rPr>
            </w:pPr>
            <w:r>
              <w:rPr>
                <w:rFonts w:ascii="Arial" w:cs="Arial" w:eastAsia="Arial" w:hAnsi="Arial"/>
                <w:sz w:val="18"/>
                <w:szCs w:val="18"/>
                <w:color w:val="auto"/>
              </w:rPr>
              <w:t>March 8, 2018</w:t>
            </w:r>
          </w:p>
        </w:tc>
      </w:tr>
      <w:tr>
        <w:trPr>
          <w:trHeight w:val="27"/>
        </w:trPr>
        <w:tc>
          <w:tcPr>
            <w:tcW w:w="30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3020" w:type="dxa"/>
            <w:vAlign w:val="bottom"/>
          </w:tcPr>
          <w:p>
            <w:pPr>
              <w:jc w:val="center"/>
              <w:spacing w:after="0"/>
              <w:rPr>
                <w:sz w:val="20"/>
                <w:szCs w:val="20"/>
                <w:color w:val="auto"/>
              </w:rPr>
            </w:pPr>
            <w:r>
              <w:rPr>
                <w:rFonts w:ascii="Arial" w:cs="Arial" w:eastAsia="Arial" w:hAnsi="Arial"/>
                <w:sz w:val="18"/>
                <w:szCs w:val="18"/>
                <w:color w:val="auto"/>
                <w:w w:val="97"/>
              </w:rPr>
              <w:t>Boris Nikolic, M.D.</w:t>
            </w:r>
          </w:p>
        </w:tc>
        <w:tc>
          <w:tcPr>
            <w:tcW w:w="106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527"/>
        </w:trPr>
        <w:tc>
          <w:tcPr>
            <w:tcW w:w="3020" w:type="dxa"/>
            <w:vAlign w:val="bottom"/>
          </w:tcPr>
          <w:p>
            <w:pPr>
              <w:jc w:val="center"/>
              <w:spacing w:after="0"/>
              <w:rPr>
                <w:sz w:val="20"/>
                <w:szCs w:val="20"/>
                <w:color w:val="auto"/>
              </w:rPr>
            </w:pPr>
            <w:r>
              <w:rPr>
                <w:rFonts w:ascii="Arial" w:cs="Arial" w:eastAsia="Arial" w:hAnsi="Arial"/>
                <w:sz w:val="18"/>
                <w:szCs w:val="18"/>
                <w:color w:val="auto"/>
                <w:w w:val="91"/>
              </w:rPr>
              <w:t>/s/ Akshay K. Vaishnaw</w:t>
            </w:r>
          </w:p>
        </w:tc>
        <w:tc>
          <w:tcPr>
            <w:tcW w:w="10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980" w:type="dxa"/>
            <w:vAlign w:val="bottom"/>
          </w:tcPr>
          <w:p>
            <w:pPr>
              <w:ind w:left="2960"/>
              <w:spacing w:after="0"/>
              <w:rPr>
                <w:sz w:val="20"/>
                <w:szCs w:val="20"/>
                <w:color w:val="auto"/>
              </w:rPr>
            </w:pPr>
            <w:r>
              <w:rPr>
                <w:rFonts w:ascii="Arial" w:cs="Arial" w:eastAsia="Arial" w:hAnsi="Arial"/>
                <w:sz w:val="18"/>
                <w:szCs w:val="18"/>
                <w:color w:val="auto"/>
              </w:rPr>
              <w:t>March 8, 2018</w:t>
            </w:r>
          </w:p>
        </w:tc>
      </w:tr>
      <w:tr>
        <w:trPr>
          <w:trHeight w:val="27"/>
        </w:trPr>
        <w:tc>
          <w:tcPr>
            <w:tcW w:w="30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37"/>
        </w:trPr>
        <w:tc>
          <w:tcPr>
            <w:tcW w:w="3020" w:type="dxa"/>
            <w:vAlign w:val="bottom"/>
          </w:tcPr>
          <w:p>
            <w:pPr>
              <w:jc w:val="center"/>
              <w:spacing w:after="0"/>
              <w:rPr>
                <w:sz w:val="20"/>
                <w:szCs w:val="20"/>
                <w:color w:val="auto"/>
              </w:rPr>
            </w:pPr>
            <w:r>
              <w:rPr>
                <w:rFonts w:ascii="Arial" w:cs="Arial" w:eastAsia="Arial" w:hAnsi="Arial"/>
                <w:sz w:val="18"/>
                <w:szCs w:val="18"/>
                <w:color w:val="auto"/>
                <w:w w:val="92"/>
              </w:rPr>
              <w:t>Akshay K. Vaishnaw, M.D., Ph.D.</w:t>
            </w:r>
          </w:p>
        </w:tc>
        <w:tc>
          <w:tcPr>
            <w:tcW w:w="1060" w:type="dxa"/>
            <w:vAlign w:val="bottom"/>
          </w:tcPr>
          <w:p>
            <w:pPr>
              <w:spacing w:after="0"/>
              <w:rPr>
                <w:sz w:val="20"/>
                <w:szCs w:val="20"/>
                <w:color w:val="auto"/>
              </w:rPr>
            </w:pPr>
          </w:p>
        </w:tc>
        <w:tc>
          <w:tcPr>
            <w:tcW w:w="4980" w:type="dxa"/>
            <w:vAlign w:val="bottom"/>
          </w:tcPr>
          <w:p>
            <w:pPr>
              <w:spacing w:after="0"/>
              <w:rPr>
                <w:sz w:val="20"/>
                <w:szCs w:val="20"/>
                <w:color w:val="auto"/>
              </w:rPr>
            </w:pPr>
          </w:p>
        </w:tc>
      </w:tr>
      <w:tr>
        <w:trPr>
          <w:trHeight w:val="797"/>
        </w:trPr>
        <w:tc>
          <w:tcPr>
            <w:tcW w:w="3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182</w:t>
            </w:r>
          </w:p>
        </w:tc>
      </w:tr>
      <w:tr>
        <w:trPr>
          <w:trHeight w:val="102"/>
        </w:trPr>
        <w:tc>
          <w:tcPr>
            <w:tcW w:w="30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9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4" w:right="1419" w:bottom="1440" w:gutter="0" w:footer="0" w:header="0"/>
          <w:type w:val="continuous"/>
        </w:sectPr>
      </w:pPr>
    </w:p>
    <w:bookmarkStart w:id="182" w:name="page183"/>
    <w:bookmarkEnd w:id="182"/>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jc w:val="both"/>
        <w:ind w:left="160" w:right="139" w:firstLine="648"/>
        <w:spacing w:after="0" w:line="216" w:lineRule="auto"/>
        <w:rPr>
          <w:sz w:val="20"/>
          <w:szCs w:val="20"/>
          <w:color w:val="auto"/>
        </w:rPr>
      </w:pPr>
      <w:r>
        <w:rPr>
          <w:rFonts w:ascii="Arial" w:cs="Arial" w:eastAsia="Arial" w:hAnsi="Arial"/>
          <w:sz w:val="18"/>
          <w:szCs w:val="18"/>
          <w:color w:val="auto"/>
        </w:rPr>
        <w:t>We consent to the incorporation by reference in the following Registration Statements (Form S-3 Nos. 333-216444, 333-216528, 333-222266 and Form S-8 pertaining to the 2013 Stock Incentive Plan, the 2015 Stock Incentive Plan and 2015 Employee Stock Purchase Plan of Editas Medicine, Inc. of our report dated March 8, 2018, with respect to the consolidated financial statements of Editas Medicine, Inc. included in this Annual Report (Form 10-K) for the year ended December 31, 2017.</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ind w:left="160"/>
        <w:spacing w:after="0"/>
        <w:rPr>
          <w:sz w:val="20"/>
          <w:szCs w:val="20"/>
          <w:color w:val="auto"/>
        </w:rPr>
      </w:pPr>
      <w:r>
        <w:rPr>
          <w:rFonts w:ascii="Arial" w:cs="Arial" w:eastAsia="Arial" w:hAnsi="Arial"/>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31.1</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Katrine S. Bosley, certify that:</w:t>
      </w:r>
    </w:p>
    <w:p>
      <w:pPr>
        <w:spacing w:after="0" w:line="144" w:lineRule="exact"/>
        <w:rPr>
          <w:sz w:val="20"/>
          <w:szCs w:val="20"/>
          <w:color w:val="auto"/>
        </w:rPr>
      </w:pPr>
    </w:p>
    <w:p>
      <w:pPr>
        <w:ind w:left="640" w:hanging="313"/>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Editas Medicine, Inc.;</w:t>
      </w:r>
    </w:p>
    <w:p>
      <w:pPr>
        <w:spacing w:after="0" w:line="144" w:lineRule="exact"/>
        <w:rPr>
          <w:rFonts w:ascii="Arial" w:cs="Arial" w:eastAsia="Arial" w:hAnsi="Arial"/>
          <w:sz w:val="18"/>
          <w:szCs w:val="18"/>
          <w:color w:val="auto"/>
        </w:rPr>
      </w:pPr>
    </w:p>
    <w:p>
      <w:pPr>
        <w:ind w:left="660" w:right="380" w:hanging="333"/>
        <w:spacing w:after="0" w:line="224" w:lineRule="auto"/>
        <w:tabs>
          <w:tab w:leader="none" w:pos="6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333"/>
        <w:spacing w:after="0" w:line="224" w:lineRule="auto"/>
        <w:tabs>
          <w:tab w:leader="none" w:pos="6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660" w:hanging="333"/>
        <w:spacing w:after="0" w:line="238" w:lineRule="auto"/>
        <w:tabs>
          <w:tab w:leader="none" w:pos="65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1300" w:right="100" w:hanging="325"/>
        <w:spacing w:after="0" w:line="219" w:lineRule="auto"/>
        <w:tabs>
          <w:tab w:leader="none" w:pos="128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0" w:right="80" w:hanging="325"/>
        <w:spacing w:after="0" w:line="219" w:lineRule="auto"/>
        <w:tabs>
          <w:tab w:leader="none" w:pos="129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300" w:hanging="325"/>
        <w:spacing w:after="0" w:line="224" w:lineRule="auto"/>
        <w:tabs>
          <w:tab w:leader="none" w:pos="1281"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0" w:right="60" w:hanging="325"/>
        <w:spacing w:after="0" w:line="219" w:lineRule="auto"/>
        <w:tabs>
          <w:tab w:leader="none" w:pos="129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80" w:hanging="333"/>
        <w:spacing w:after="0" w:line="224" w:lineRule="auto"/>
        <w:tabs>
          <w:tab w:leader="none" w:pos="6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40" w:hanging="325"/>
        <w:spacing w:after="0" w:line="224" w:lineRule="auto"/>
        <w:tabs>
          <w:tab w:leader="none" w:pos="128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0" w:right="180" w:hanging="325"/>
        <w:spacing w:after="0" w:line="235" w:lineRule="auto"/>
        <w:tabs>
          <w:tab w:leader="none" w:pos="129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spacing w:after="0"/>
        <w:tabs>
          <w:tab w:leader="none" w:pos="4420" w:val="left"/>
          <w:tab w:leader="none" w:pos="4840" w:val="left"/>
        </w:tabs>
        <w:rPr>
          <w:sz w:val="20"/>
          <w:szCs w:val="20"/>
          <w:color w:val="auto"/>
        </w:rPr>
      </w:pPr>
      <w:r>
        <w:rPr>
          <w:rFonts w:ascii="Arial" w:cs="Arial" w:eastAsia="Arial" w:hAnsi="Arial"/>
          <w:sz w:val="18"/>
          <w:szCs w:val="18"/>
          <w:color w:val="auto"/>
        </w:rPr>
        <w:t>Date: March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Katrine S. Bosley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6350</wp:posOffset>
            </wp:positionV>
            <wp:extent cx="26670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4860"/>
        <w:spacing w:after="0" w:line="232" w:lineRule="auto"/>
        <w:rPr>
          <w:sz w:val="20"/>
          <w:szCs w:val="20"/>
          <w:color w:val="auto"/>
        </w:rPr>
      </w:pPr>
      <w:r>
        <w:rPr>
          <w:rFonts w:ascii="Arial" w:cs="Arial" w:eastAsia="Arial" w:hAnsi="Arial"/>
          <w:sz w:val="18"/>
          <w:szCs w:val="18"/>
          <w:color w:val="auto"/>
        </w:rPr>
        <w:t>Katrine S. Bosley</w:t>
      </w:r>
    </w:p>
    <w:p>
      <w:pPr>
        <w:ind w:left="4860"/>
        <w:spacing w:after="0" w:line="219"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6" w:right="1419" w:bottom="1440" w:gutter="0" w:footer="0" w:header="0"/>
        </w:sectPr>
      </w:pPr>
    </w:p>
    <w:bookmarkStart w:id="184" w:name="page185"/>
    <w:bookmarkEnd w:id="184"/>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Andrew A.F. Hack, certify that:</w:t>
      </w:r>
    </w:p>
    <w:p>
      <w:pPr>
        <w:spacing w:after="0" w:line="211" w:lineRule="exact"/>
        <w:rPr>
          <w:sz w:val="20"/>
          <w:szCs w:val="20"/>
          <w:color w:val="auto"/>
        </w:rPr>
      </w:pPr>
    </w:p>
    <w:p>
      <w:pPr>
        <w:ind w:left="780" w:hanging="305"/>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Editas Medicine, Inc.;</w:t>
      </w:r>
    </w:p>
    <w:p>
      <w:pPr>
        <w:spacing w:after="0" w:line="225" w:lineRule="exact"/>
        <w:rPr>
          <w:rFonts w:ascii="Arial" w:cs="Arial" w:eastAsia="Arial" w:hAnsi="Arial"/>
          <w:sz w:val="18"/>
          <w:szCs w:val="18"/>
          <w:color w:val="auto"/>
        </w:rPr>
      </w:pPr>
    </w:p>
    <w:p>
      <w:pPr>
        <w:ind w:left="800" w:right="199" w:hanging="325"/>
        <w:spacing w:after="0" w:line="264" w:lineRule="auto"/>
        <w:tabs>
          <w:tab w:leader="none" w:pos="7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00" w:right="219" w:hanging="325"/>
        <w:spacing w:after="0" w:line="264" w:lineRule="auto"/>
        <w:tabs>
          <w:tab w:leader="none" w:pos="7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800" w:right="279" w:hanging="325"/>
        <w:spacing w:after="0" w:line="312" w:lineRule="auto"/>
        <w:tabs>
          <w:tab w:leader="none" w:pos="791"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ind w:left="1440" w:right="299" w:hanging="317"/>
        <w:spacing w:after="0" w:line="279" w:lineRule="auto"/>
        <w:tabs>
          <w:tab w:leader="none" w:pos="1421"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1440" w:right="299" w:hanging="317"/>
        <w:spacing w:after="0" w:line="259" w:lineRule="auto"/>
        <w:tabs>
          <w:tab w:leader="none" w:pos="1431"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40" w:right="259" w:hanging="317"/>
        <w:spacing w:after="0" w:line="286" w:lineRule="auto"/>
        <w:tabs>
          <w:tab w:leader="none" w:pos="1421"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1440" w:right="359" w:hanging="317"/>
        <w:spacing w:after="0" w:line="279" w:lineRule="auto"/>
        <w:tabs>
          <w:tab w:leader="none" w:pos="1431" w:val="left"/>
        </w:tabs>
        <w:numPr>
          <w:ilvl w:val="1"/>
          <w:numId w:val="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800" w:right="259" w:hanging="325"/>
        <w:spacing w:after="0" w:line="264" w:lineRule="auto"/>
        <w:tabs>
          <w:tab w:leader="none" w:pos="7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440" w:right="239" w:hanging="317"/>
        <w:spacing w:after="0" w:line="264" w:lineRule="auto"/>
        <w:tabs>
          <w:tab w:leader="none" w:pos="1421"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440" w:right="799" w:hanging="317"/>
        <w:spacing w:after="0" w:line="277" w:lineRule="auto"/>
        <w:tabs>
          <w:tab w:leader="none" w:pos="1431"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2840" w:type="dxa"/>
            <w:vAlign w:val="bottom"/>
          </w:tcPr>
          <w:p>
            <w:pPr>
              <w:ind w:left="20"/>
              <w:spacing w:after="0"/>
              <w:rPr>
                <w:sz w:val="20"/>
                <w:szCs w:val="20"/>
                <w:color w:val="auto"/>
              </w:rPr>
            </w:pPr>
            <w:r>
              <w:rPr>
                <w:rFonts w:ascii="Arial" w:cs="Arial" w:eastAsia="Arial" w:hAnsi="Arial"/>
                <w:sz w:val="18"/>
                <w:szCs w:val="18"/>
                <w:color w:val="auto"/>
              </w:rPr>
              <w:t>Date: March 8, 2018</w:t>
            </w:r>
          </w:p>
        </w:tc>
        <w:tc>
          <w:tcPr>
            <w:tcW w:w="5880" w:type="dxa"/>
            <w:vAlign w:val="bottom"/>
            <w:gridSpan w:val="2"/>
          </w:tcPr>
          <w:p>
            <w:pPr>
              <w:ind w:left="1360"/>
              <w:spacing w:after="0"/>
              <w:rPr>
                <w:sz w:val="20"/>
                <w:szCs w:val="20"/>
                <w:color w:val="auto"/>
              </w:rPr>
            </w:pPr>
            <w:r>
              <w:rPr>
                <w:rFonts w:ascii="Arial" w:cs="Arial" w:eastAsia="Arial" w:hAnsi="Arial"/>
                <w:sz w:val="18"/>
                <w:szCs w:val="18"/>
                <w:color w:val="auto"/>
              </w:rPr>
              <w:t>By:  /s/ Andrew A. F. Hack</w:t>
            </w:r>
          </w:p>
        </w:tc>
        <w:tc>
          <w:tcPr>
            <w:tcW w:w="20" w:type="dxa"/>
            <w:vAlign w:val="bottom"/>
          </w:tcPr>
          <w:p>
            <w:pPr>
              <w:spacing w:after="0"/>
              <w:rPr>
                <w:sz w:val="18"/>
                <w:szCs w:val="18"/>
                <w:color w:val="auto"/>
              </w:rPr>
            </w:pPr>
          </w:p>
        </w:tc>
      </w:tr>
      <w:tr>
        <w:trPr>
          <w:trHeight w:val="155"/>
        </w:trPr>
        <w:tc>
          <w:tcPr>
            <w:tcW w:w="2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1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Andrew A. F. Hack, M.D., Ph.D.</w:t>
            </w:r>
          </w:p>
        </w:tc>
        <w:tc>
          <w:tcPr>
            <w:tcW w:w="20" w:type="dxa"/>
            <w:vAlign w:val="bottom"/>
          </w:tcPr>
          <w:p>
            <w:pPr>
              <w:spacing w:after="0"/>
              <w:rPr>
                <w:sz w:val="13"/>
                <w:szCs w:val="13"/>
                <w:color w:val="auto"/>
              </w:rPr>
            </w:pPr>
          </w:p>
        </w:tc>
      </w:tr>
      <w:tr>
        <w:trPr>
          <w:trHeight w:val="189"/>
        </w:trPr>
        <w:tc>
          <w:tcPr>
            <w:tcW w:w="2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8"/>
                <w:szCs w:val="18"/>
                <w:i w:val="1"/>
                <w:iCs w:val="1"/>
                <w:color w:val="auto"/>
              </w:rPr>
              <w:t>Chief Financial Officer</w:t>
            </w:r>
          </w:p>
        </w:tc>
        <w:tc>
          <w:tcPr>
            <w:tcW w:w="20" w:type="dxa"/>
            <w:vAlign w:val="bottom"/>
          </w:tcPr>
          <w:p>
            <w:pPr>
              <w:spacing w:after="0"/>
              <w:rPr>
                <w:sz w:val="16"/>
                <w:szCs w:val="16"/>
                <w:color w:val="auto"/>
              </w:rPr>
            </w:pPr>
          </w:p>
        </w:tc>
      </w:tr>
      <w:tr>
        <w:trPr>
          <w:trHeight w:val="230"/>
        </w:trPr>
        <w:tc>
          <w:tcPr>
            <w:tcW w:w="2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20" w:type="dxa"/>
            <w:vAlign w:val="bottom"/>
          </w:tcPr>
          <w:p>
            <w:pPr>
              <w:spacing w:after="0"/>
              <w:rPr>
                <w:sz w:val="20"/>
                <w:szCs w:val="20"/>
                <w:color w:val="auto"/>
              </w:rPr>
            </w:pPr>
          </w:p>
        </w:tc>
      </w:tr>
      <w:tr>
        <w:trPr>
          <w:trHeight w:val="412"/>
        </w:trPr>
        <w:tc>
          <w:tcPr>
            <w:tcW w:w="2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85" w:name="page186"/>
    <w:bookmarkEnd w:id="185"/>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 OF CEO AND CFO PURSUANT TO 18 U.S.C. SECTION 1350,</w:t>
      </w:r>
    </w:p>
    <w:p>
      <w:pPr>
        <w:jc w:val="center"/>
        <w:ind w:right="-20"/>
        <w:spacing w:after="0" w:line="203" w:lineRule="auto"/>
        <w:rPr>
          <w:sz w:val="20"/>
          <w:szCs w:val="20"/>
          <w:color w:val="auto"/>
        </w:rPr>
      </w:pPr>
      <w:r>
        <w:rPr>
          <w:rFonts w:ascii="Arial" w:cs="Arial" w:eastAsia="Arial" w:hAnsi="Arial"/>
          <w:sz w:val="18"/>
          <w:szCs w:val="18"/>
          <w:b w:val="1"/>
          <w:bCs w:val="1"/>
          <w:color w:val="auto"/>
        </w:rPr>
        <w:t>AS ADOPTED PURSUANT TO</w:t>
      </w: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left="160" w:right="139"/>
        <w:spacing w:after="0" w:line="232" w:lineRule="auto"/>
        <w:rPr>
          <w:sz w:val="20"/>
          <w:szCs w:val="20"/>
          <w:color w:val="auto"/>
        </w:rPr>
      </w:pPr>
      <w:r>
        <w:rPr>
          <w:rFonts w:ascii="Arial" w:cs="Arial" w:eastAsia="Arial" w:hAnsi="Arial"/>
          <w:sz w:val="17"/>
          <w:szCs w:val="17"/>
          <w:color w:val="auto"/>
        </w:rPr>
        <w:t>In connection with this Annual Report on Form 10-K of Editas Medicine, Inc. (the “Company”) for the year ended December 31, 2017, as filed with the Securities and Exchange Commission on the date hereof (the “Report”), each of the undersigned officers of the Company hereby certifies, pursuant to 18 U.S.C. (section) 1350, as adopted pursuant to (section) 906 of the Sarbanes-Oxley Act of 2002, that to the best of her or his knowledge:</w:t>
      </w:r>
    </w:p>
    <w:p>
      <w:pPr>
        <w:spacing w:after="0" w:line="122" w:lineRule="exact"/>
        <w:rPr>
          <w:sz w:val="20"/>
          <w:szCs w:val="20"/>
          <w:color w:val="auto"/>
        </w:rPr>
      </w:pPr>
    </w:p>
    <w:p>
      <w:pPr>
        <w:ind w:left="1120" w:right="259" w:hanging="321"/>
        <w:spacing w:after="0" w:line="235" w:lineRule="auto"/>
        <w:tabs>
          <w:tab w:leader="none" w:pos="11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1120" w:right="179" w:hanging="321"/>
        <w:spacing w:after="0" w:line="235" w:lineRule="auto"/>
        <w:tabs>
          <w:tab w:leader="none" w:pos="11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Dated: March 8, 2018</w:t>
      </w:r>
    </w:p>
    <w:p>
      <w:pPr>
        <w:spacing w:after="0" w:line="144"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Katrine S. Bosley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6350</wp:posOffset>
            </wp:positionV>
            <wp:extent cx="24701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560"/>
        <w:spacing w:after="0" w:line="232" w:lineRule="auto"/>
        <w:rPr>
          <w:sz w:val="20"/>
          <w:szCs w:val="20"/>
          <w:color w:val="auto"/>
        </w:rPr>
      </w:pPr>
      <w:r>
        <w:rPr>
          <w:rFonts w:ascii="Arial" w:cs="Arial" w:eastAsia="Arial" w:hAnsi="Arial"/>
          <w:sz w:val="18"/>
          <w:szCs w:val="18"/>
          <w:color w:val="auto"/>
        </w:rPr>
        <w:t>Katrine S. Bosley</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President and Chief Executive Officer</w:t>
      </w:r>
    </w:p>
    <w:p>
      <w:pPr>
        <w:spacing w:after="0" w:line="344"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A.F. Hack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6350</wp:posOffset>
            </wp:positionV>
            <wp:extent cx="24701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560"/>
        <w:spacing w:after="0" w:line="232" w:lineRule="auto"/>
        <w:rPr>
          <w:sz w:val="20"/>
          <w:szCs w:val="20"/>
          <w:color w:val="auto"/>
        </w:rPr>
      </w:pPr>
      <w:r>
        <w:rPr>
          <w:rFonts w:ascii="Arial" w:cs="Arial" w:eastAsia="Arial" w:hAnsi="Arial"/>
          <w:sz w:val="18"/>
          <w:szCs w:val="18"/>
          <w:color w:val="auto"/>
        </w:rPr>
        <w:t>Andrew A.F. Hack, M.D., Ph.D.</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253365</wp:posOffset>
            </wp:positionV>
            <wp:extent cx="554863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2"/>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decimal"/>
      <w:start w:val="8"/>
    </w:lvl>
  </w:abstractNum>
  <w:abstractNum w:abstractNumId="60">
    <w:nsid w:val="1DBABF00"/>
    <w:multiLevelType w:val="hybridMultilevel"/>
    <w:lvl w:ilvl="0">
      <w:lvlJc w:val="left"/>
      <w:lvlText w:val="%1."/>
      <w:numFmt w:val="decimal"/>
      <w:start w:val="12"/>
    </w:lvl>
  </w:abstractNum>
  <w:abstractNum w:abstractNumId="61">
    <w:nsid w:val="4AD084E9"/>
    <w:multiLevelType w:val="hybridMultilevel"/>
    <w:lvl w:ilvl="0">
      <w:lvlJc w:val="left"/>
      <w:lvlText w:val="(%1)"/>
      <w:numFmt w:val="lowerLetter"/>
      <w:start w:val="2"/>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2"/>
    </w:lvl>
  </w:abstractNum>
  <w:abstractNum w:abstractNumId="65">
    <w:nsid w:val="100F8FCA"/>
    <w:multiLevelType w:val="hybridMultilevel"/>
    <w:lvl w:ilvl="0">
      <w:lvlJc w:val="left"/>
      <w:lvlText w:val="(%1)"/>
      <w:numFmt w:val="decimal"/>
      <w:start w:val="3"/>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00" Type="http://schemas.openxmlformats.org/officeDocument/2006/relationships/hyperlink" Target="http://www.sec.gov/Archives/edgar/data/1650664/000104746916010055/a2227290zex-3_1.htm" TargetMode="External"/><Relationship Id="rId201" Type="http://schemas.openxmlformats.org/officeDocument/2006/relationships/hyperlink" Target="http://www.sec.gov/Archives/edgar/data/1650664/000104746916010055/a2227290zex-3_2.htm" TargetMode="External"/><Relationship Id="rId202" Type="http://schemas.openxmlformats.org/officeDocument/2006/relationships/hyperlink" Target="http://www.sec.gov/Archives/edgar/data/1650664/000104746916009534/a2226902zex-4_1.htm" TargetMode="External"/><Relationship Id="rId203" Type="http://schemas.openxmlformats.org/officeDocument/2006/relationships/hyperlink" Target="http://www.sec.gov/Archives/edgar/data/1650664/000104746916009534/a2226902zex-10_5.htm" TargetMode="External"/><Relationship Id="rId204" Type="http://schemas.openxmlformats.org/officeDocument/2006/relationships/hyperlink" Target="http://www.sec.gov/Archives/edgar/data/1650664/000104746916009534/a2226902zex-10_6.htm" TargetMode="External"/><Relationship Id="rId205" Type="http://schemas.openxmlformats.org/officeDocument/2006/relationships/hyperlink" Target="http://www.sec.gov/Archives/edgar/data/1650664/000104746916009534/a2226902zex-10_7.htm" TargetMode="External"/><Relationship Id="rId206" Type="http://schemas.openxmlformats.org/officeDocument/2006/relationships/hyperlink" Target="http://www.sec.gov/Archives/edgar/data/1650664/000104746916009534/a2226902zex-10_8.htm" TargetMode="External"/><Relationship Id="rId207" Type="http://schemas.openxmlformats.org/officeDocument/2006/relationships/hyperlink" Target="http://www.sec.gov/Archives/edgar/data/1650664/000104746916009534/a2226902zex-10_9.htm" TargetMode="External"/><Relationship Id="rId208" Type="http://schemas.openxmlformats.org/officeDocument/2006/relationships/hyperlink" Target="http://www.sec.gov/Archives/edgar/data/1650664/000104746916009534/a2226902zex-10_10.htm" TargetMode="External"/><Relationship Id="rId209" Type="http://schemas.openxmlformats.org/officeDocument/2006/relationships/hyperlink" Target="http://www.sec.gov/Archives/edgar/data/1650664/000104746916009534/a2226902zex-10_11.htm" TargetMode="External"/><Relationship Id="rId210" Type="http://schemas.openxmlformats.org/officeDocument/2006/relationships/hyperlink" Target="http://www.sec.gov/Archives/edgar/data/1650664/000104746916009534/a2226902zex-10_12.htm" TargetMode="External"/><Relationship Id="rId211" Type="http://schemas.openxmlformats.org/officeDocument/2006/relationships/hyperlink" Target="http://www.sec.gov/Archives/edgar/data/1650664/000155837017008429/edit-20170930ex101475b37.htm" TargetMode="External"/><Relationship Id="rId212" Type="http://schemas.openxmlformats.org/officeDocument/2006/relationships/hyperlink" Target="http://www.sec.gov/Archives/edgar/data/1650664/000104746916009534/a2226902zex-10_13.htm" TargetMode="External"/><Relationship Id="rId213" Type="http://schemas.openxmlformats.org/officeDocument/2006/relationships/hyperlink" Target="http://www.sec.gov/Archives/edgar/data/1650664/000155837017001340/edit-20161231ex101166626.htm" TargetMode="External"/><Relationship Id="rId214" Type="http://schemas.openxmlformats.org/officeDocument/2006/relationships/hyperlink" Target="http://www.sec.gov/Archives/edgar/data/1650664/000155837017001340/edit-20161231ex1012f151f.htm" TargetMode="External"/><Relationship Id="rId215" Type="http://schemas.openxmlformats.org/officeDocument/2006/relationships/hyperlink" Target="http://www.sec.gov/Archives/edgar/data/1650664/000155837016009937/ex99_1.htm" TargetMode="External"/><Relationship Id="rId216" Type="http://schemas.openxmlformats.org/officeDocument/2006/relationships/hyperlink" Target="http://www.sec.gov/Archives/edgar/data/1650664/000104746916009534/a2226902zex-10_16.htm" TargetMode="External"/><Relationship Id="rId217" Type="http://schemas.openxmlformats.org/officeDocument/2006/relationships/hyperlink" Target="http://www.sec.gov/Archives/edgar/data/1650664/000104746916009534/a2226902zex-10_19.htm" TargetMode="External"/><Relationship Id="rId218" Type="http://schemas.openxmlformats.org/officeDocument/2006/relationships/hyperlink" Target="http://www.sec.gov/Archives/edgar/data/1650664/000155837017001340/edit-20161231ex101675c19.htm" TargetMode="External"/><Relationship Id="rId219" Type="http://schemas.openxmlformats.org/officeDocument/2006/relationships/hyperlink" Target="http://www.sec.gov/Archives/edgar/data/1650664/000155837017000174/edit-20161117ex994ce3a65.htm" TargetMode="External"/><Relationship Id="rId220" Type="http://schemas.openxmlformats.org/officeDocument/2006/relationships/hyperlink" Target="http://www.sec.gov/Archives/edgar/data/1650664/000155837017000174/edit-20161117ex992b17c22.htm" TargetMode="External"/><Relationship Id="rId221" Type="http://schemas.openxmlformats.org/officeDocument/2006/relationships/hyperlink" Target="http://www.sec.gov/Archives/edgar/data/1650664/000155837017001417/g99-1cas9iamendment.htm" TargetMode="External"/><Relationship Id="rId222" Type="http://schemas.openxmlformats.org/officeDocument/2006/relationships/hyperlink" Target="http://www.sec.gov/Archives/edgar/data/1650664/000104746916009534/a2226902zex-10_23.htm" TargetMode="External"/><Relationship Id="rId223" Type="http://schemas.openxmlformats.org/officeDocument/2006/relationships/hyperlink" Target="http://www.sec.gov/Archives/edgar/data/1650664/000104746916009534/a2226902zex-10_24.htm" TargetMode="External"/><Relationship Id="rId224" Type="http://schemas.openxmlformats.org/officeDocument/2006/relationships/hyperlink" Target="http://www.sec.gov/Archives/edgar/data/1650664/000104746916009534/a2226902zex-10_25.htm" TargetMode="External"/><Relationship Id="rId225" Type="http://schemas.openxmlformats.org/officeDocument/2006/relationships/hyperlink" Target="http://www.sec.gov/Archives/edgar/data/1650664/000104746916009534/a2226902zex-10_27.htm" TargetMode="External"/><Relationship Id="rId226" Type="http://schemas.openxmlformats.org/officeDocument/2006/relationships/hyperlink" Target="http://www.sec.gov/Archives/edgar/data/1650664/000104746916009534/a2226902zex-10_28.htm" TargetMode="External"/><Relationship Id="rId227" Type="http://schemas.openxmlformats.org/officeDocument/2006/relationships/hyperlink" Target="http://www.sec.gov/Archives/edgar/data/1650664/000110465916098504/a16-4765_1ex99d1.htm" TargetMode="External"/><Relationship Id="rId228" Type="http://schemas.openxmlformats.org/officeDocument/2006/relationships/hyperlink" Target="http://www.sec.gov/Archives/edgar/data/1650664/000155837016009820/edit-20160930ex101ffd68a.htm" TargetMode="External"/><Relationship Id="rId229" Type="http://schemas.openxmlformats.org/officeDocument/2006/relationships/hyperlink" Target="http://www.sec.gov/Archives/edgar/data/1650664/000155837017000174/edit-20161117ex9916e543d.htm" TargetMode="External"/><Relationship Id="rId230" Type="http://schemas.openxmlformats.org/officeDocument/2006/relationships/hyperlink" Target="http://www.sec.gov/Archives/edgar/data/1650664/000155837017000174/edit-20161117ex993f74f02.htm" TargetMode="External"/><Relationship Id="rId231" Type="http://schemas.openxmlformats.org/officeDocument/2006/relationships/hyperlink" Target="http://www.sec.gov/Archives/edgar/data/1650664/000155837017004338/edit-20170331ex1013d1533.htm" TargetMode="External"/><Relationship Id="rId232" Type="http://schemas.openxmlformats.org/officeDocument/2006/relationships/hyperlink" Target="http://www.sec.gov/Archives/edgar/data/1650664/000104746917001246/a2231151zex-1_2.htm" TargetMode="External"/><Relationship Id="rId233" Type="http://schemas.openxmlformats.org/officeDocument/2006/relationships/hyperlink" Target="http://www.sec.gov/Archives/edgar/data/1650664/000155837016004455/edit-20151231ex218e1def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2019-12-28T23:28:13Z</dcterms:created>
  <dcterms:modified xsi:type="dcterms:W3CDTF">2019-12-28T23:28:13Z</dcterms:modified>
</cp:coreProperties>
</file>