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19"/>
        <w:spacing w:after="0" w:line="21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119"/>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Date of Report (Date of earliest event reported): December 12, 2023</w:t>
      </w:r>
    </w:p>
    <w:p>
      <w:pPr>
        <w:spacing w:after="0" w:line="3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Editas Medicine, Inc.</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60"/>
          </w:cols>
          <w:pgMar w:left="300" w:top="685" w:right="439" w:bottom="1440" w:gutter="0" w:footer="0" w:header="0"/>
        </w:sectPr>
      </w:pPr>
    </w:p>
    <w:p>
      <w:pPr>
        <w:spacing w:after="0" w:line="330"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001-37687</w:t>
      </w:r>
    </w:p>
    <w:p>
      <w:pPr>
        <w:spacing w:after="0" w:line="25"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46-4097528</w:t>
      </w:r>
    </w:p>
    <w:p>
      <w:pPr>
        <w:spacing w:after="0" w:line="2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400" w:space="720"/>
            <w:col w:w="2520" w:space="720"/>
            <w:col w:w="2800"/>
          </w:cols>
          <w:pgMar w:left="300" w:top="685" w:right="439" w:bottom="1440" w:gutter="0" w:footer="0" w:header="0"/>
          <w:type w:val="continuous"/>
        </w:sectPr>
      </w:pPr>
    </w:p>
    <w:p>
      <w:pPr>
        <w:spacing w:after="0" w:line="11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3"/>
          <w:szCs w:val="13"/>
          <w:b w:val="1"/>
          <w:bCs w:val="1"/>
          <w:color w:val="auto"/>
        </w:rPr>
        <w:t>11 Hurley Street</w:t>
      </w:r>
    </w:p>
    <w:p>
      <w:pPr>
        <w:sectPr>
          <w:pgSz w:w="11900" w:h="16838" w:orient="portrait"/>
          <w:cols w:equalWidth="0" w:num="1">
            <w:col w:w="11160"/>
          </w:cols>
          <w:pgMar w:left="300" w:top="685" w:right="439" w:bottom="1440" w:gutter="0" w:footer="0" w:header="0"/>
          <w:type w:val="continuous"/>
        </w:sectPr>
      </w:pPr>
    </w:p>
    <w:p>
      <w:pPr>
        <w:spacing w:after="0" w:line="16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Cambridge, Massachusetts</w:t>
      </w:r>
    </w:p>
    <w:p>
      <w:pPr>
        <w:spacing w:after="0" w:line="2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02141</w:t>
      </w:r>
    </w:p>
    <w:p>
      <w:pPr>
        <w:spacing w:after="0" w:line="25"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900" w:space="720"/>
            <w:col w:w="2540"/>
          </w:cols>
          <w:pgMar w:left="300" w:top="685" w:right="439" w:bottom="1440" w:gutter="0" w:footer="0" w:header="0"/>
          <w:type w:val="continuous"/>
        </w:sectPr>
      </w:pP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401-9000</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84"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160"/>
          </w:cols>
          <w:pgMar w:left="300" w:top="685" w:right="439" w:bottom="1440" w:gutter="0" w:footer="0" w:header="0"/>
          <w:type w:val="continuous"/>
        </w:sectPr>
      </w:pPr>
    </w:p>
    <w:p>
      <w:pPr>
        <w:spacing w:after="0" w:line="31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35" w:lineRule="exact"/>
        <w:rPr>
          <w:sz w:val="24"/>
          <w:szCs w:val="24"/>
          <w:color w:val="auto"/>
        </w:rPr>
      </w:pPr>
    </w:p>
    <w:p>
      <w:pPr>
        <w:sectPr>
          <w:pgSz w:w="11900" w:h="16838" w:orient="portrait"/>
          <w:cols w:equalWidth="0" w:num="3">
            <w:col w:w="4480" w:space="720"/>
            <w:col w:w="2440" w:space="720"/>
            <w:col w:w="2800"/>
          </w:cols>
          <w:pgMar w:left="300" w:top="685" w:right="4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1"/>
          <w:szCs w:val="1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1"/>
          <w:szCs w:val="11"/>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The Nasdaq Stock Market LLC</w:t>
      </w:r>
    </w:p>
    <w:p>
      <w:pPr>
        <w:spacing w:after="0" w:line="200" w:lineRule="exact"/>
        <w:rPr>
          <w:sz w:val="24"/>
          <w:szCs w:val="24"/>
          <w:color w:val="auto"/>
        </w:rPr>
      </w:pPr>
    </w:p>
    <w:p>
      <w:pPr>
        <w:sectPr>
          <w:pgSz w:w="11900" w:h="16838" w:orient="portrait"/>
          <w:cols w:equalWidth="0" w:num="3">
            <w:col w:w="4800" w:space="720"/>
            <w:col w:w="2460" w:space="720"/>
            <w:col w:w="2460"/>
          </w:cols>
          <w:pgMar w:left="300" w:top="685" w:right="439" w:bottom="1440" w:gutter="0" w:footer="0" w:header="0"/>
          <w:type w:val="continuous"/>
        </w:sectPr>
      </w:pPr>
    </w:p>
    <w:p>
      <w:pPr>
        <w:spacing w:after="0" w:line="79"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93" w:lineRule="exact"/>
        <w:rPr>
          <w:sz w:val="24"/>
          <w:szCs w:val="24"/>
          <w:color w:val="auto"/>
        </w:rPr>
      </w:pPr>
    </w:p>
    <w:p>
      <w:pPr>
        <w:ind w:right="160" w:firstLine="509"/>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553085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160"/>
          </w:cols>
          <w:pgMar w:left="300" w:top="685" w:right="439" w:bottom="1440" w:gutter="0" w:footer="0" w:header="0"/>
          <w:type w:val="continuous"/>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4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On December 13, 2023, Editas Medicine, Inc. (the “Company”) issued a press release titled “Editas Medicine and Vertex Pharmaceuticals Enter Into Non-exclusive License Agreement for Cas9.” A copy of the press release is furnished as Exhibit 99.1 hereto.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in this Item 7.01, including Exhibit 99.1 attached hereto, is intended to be furnished and shall not be deemed “filed” for purposes of Section 18 of the Securities Exchange Act of</w:t>
      </w:r>
    </w:p>
    <w:p>
      <w:pPr>
        <w:spacing w:after="0" w:line="4" w:lineRule="exact"/>
        <w:rPr>
          <w:sz w:val="20"/>
          <w:szCs w:val="20"/>
          <w:color w:val="auto"/>
        </w:rPr>
      </w:pPr>
    </w:p>
    <w:p>
      <w:pPr>
        <w:ind w:right="440"/>
        <w:spacing w:after="0" w:line="228" w:lineRule="auto"/>
        <w:rPr>
          <w:sz w:val="20"/>
          <w:szCs w:val="20"/>
          <w:color w:val="auto"/>
        </w:rPr>
      </w:pPr>
      <w:r>
        <w:rPr>
          <w:rFonts w:ascii="Times New Roman" w:cs="Times New Roman" w:eastAsia="Times New Roman" w:hAnsi="Times New Roman"/>
          <w:sz w:val="14"/>
          <w:szCs w:val="14"/>
          <w:color w:val="auto"/>
        </w:rPr>
        <w:t>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December 12, 2023, the Company and Vertex Pharmaceuticals Incorporated (“Vertex”) entered into a license agreement, under which Vertex will obtain a non-exclusive license for the Company’s</w:t>
      </w:r>
    </w:p>
    <w:p>
      <w:pPr>
        <w:spacing w:after="0" w:line="4" w:lineRule="exact"/>
        <w:rPr>
          <w:sz w:val="20"/>
          <w:szCs w:val="20"/>
          <w:color w:val="auto"/>
        </w:rPr>
      </w:pPr>
    </w:p>
    <w:p>
      <w:pPr>
        <w:ind w:right="140"/>
        <w:spacing w:after="0" w:line="192" w:lineRule="auto"/>
        <w:rPr>
          <w:sz w:val="20"/>
          <w:szCs w:val="20"/>
          <w:color w:val="auto"/>
        </w:rPr>
      </w:pPr>
      <w:r>
        <w:rPr>
          <w:rFonts w:ascii="Times New Roman" w:cs="Times New Roman" w:eastAsia="Times New Roman" w:hAnsi="Times New Roman"/>
          <w:sz w:val="14"/>
          <w:szCs w:val="14"/>
          <w:color w:val="auto"/>
        </w:rPr>
        <w:t xml:space="preserve">Cas9 gene editing technology for </w:t>
      </w:r>
      <w:r>
        <w:rPr>
          <w:rFonts w:ascii="Times New Roman" w:cs="Times New Roman" w:eastAsia="Times New Roman" w:hAnsi="Times New Roman"/>
          <w:sz w:val="14"/>
          <w:szCs w:val="14"/>
          <w:i w:val="1"/>
          <w:iCs w:val="1"/>
          <w:color w:val="auto"/>
        </w:rPr>
        <w:t>ex vivo</w:t>
      </w:r>
      <w:r>
        <w:rPr>
          <w:rFonts w:ascii="Times New Roman" w:cs="Times New Roman" w:eastAsia="Times New Roman" w:hAnsi="Times New Roman"/>
          <w:sz w:val="14"/>
          <w:szCs w:val="14"/>
          <w:color w:val="auto"/>
        </w:rPr>
        <w:t xml:space="preserve"> gene editing medicines targeting the </w:t>
      </w:r>
      <w:r>
        <w:rPr>
          <w:rFonts w:ascii="Times New Roman" w:cs="Times New Roman" w:eastAsia="Times New Roman" w:hAnsi="Times New Roman"/>
          <w:sz w:val="14"/>
          <w:szCs w:val="14"/>
          <w:i w:val="1"/>
          <w:iCs w:val="1"/>
          <w:color w:val="auto"/>
        </w:rPr>
        <w:t>BCL11A</w:t>
      </w:r>
      <w:r>
        <w:rPr>
          <w:rFonts w:ascii="Times New Roman" w:cs="Times New Roman" w:eastAsia="Times New Roman" w:hAnsi="Times New Roman"/>
          <w:sz w:val="14"/>
          <w:szCs w:val="14"/>
          <w:color w:val="auto"/>
        </w:rPr>
        <w:t xml:space="preserve"> gene in the fields of sickle cell disease and transfusion-dependent beta thalassemia, including Vertex’s CASGEVY</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(exagamglogene autotemcel). The Company is entitled to a $50.0 million upfront cash payment and is eligible to receive an additional $50.0 million contingent upfront payment. The Company is also eligible to receive annual license fees, ranging from $10.0 million to $40.0 million annually, inclusive of certain sales-based annual license fee increases, through 2034. The</w:t>
      </w:r>
    </w:p>
    <w:p>
      <w:pPr>
        <w:spacing w:after="0" w:line="1"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Company will be required to pay The Broad Institute, Inc. (“Broad”) and the President and Fellows of Harvard College (“Harvard”) a mid-double-digit percentage of amounts received from Vertex under the license agreement as it relates to Cas9 technology licensed by the Company from Broad and Harvard. The Company expects that its existing cash, cash equivalents and marketable securities, together with the upfront payment, near-term annual license fees and the contingent upfront payment, will enable it to fund its operating expenses and capital expenditure requirements into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9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2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60" w:type="dxa"/>
            <w:vAlign w:val="bottom"/>
            <w:tcBorders>
              <w:top w:val="single" w:sz="8" w:color="auto"/>
              <w:bottom w:val="single" w:sz="8" w:color="0000FF"/>
            </w:tcBorders>
          </w:tcPr>
          <w:p>
            <w:pPr>
              <w:spacing w:after="0" w:line="139" w:lineRule="exact"/>
              <w:rPr>
                <w:sz w:val="20"/>
                <w:szCs w:val="20"/>
                <w:color w:val="auto"/>
              </w:rPr>
            </w:pPr>
            <w:r>
              <w:rPr>
                <w:rFonts w:ascii="Times New Roman" w:cs="Times New Roman" w:eastAsia="Times New Roman" w:hAnsi="Times New Roman"/>
                <w:sz w:val="14"/>
                <w:szCs w:val="14"/>
                <w:color w:val="0000FF"/>
              </w:rPr>
              <w:t>Press Release dated December 13, 2023</w:t>
            </w:r>
          </w:p>
        </w:tc>
        <w:tc>
          <w:tcPr>
            <w:tcW w:w="7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1901"/>
        </w:trPr>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EDITAS MEDICINE, INC.</w:t>
      </w:r>
    </w:p>
    <w:p>
      <w:pPr>
        <w:spacing w:after="0" w:line="202" w:lineRule="exact"/>
        <w:rPr>
          <w:sz w:val="20"/>
          <w:szCs w:val="20"/>
          <w:color w:val="auto"/>
        </w:rPr>
      </w:pPr>
    </w:p>
    <w:p>
      <w:pPr>
        <w:ind w:left="780"/>
        <w:spacing w:after="0"/>
        <w:tabs>
          <w:tab w:leader="none" w:pos="1320" w:val="left"/>
          <w:tab w:leader="none" w:pos="4760" w:val="left"/>
          <w:tab w:leader="none" w:pos="52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December 13,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14605</wp:posOffset>
            </wp:positionV>
            <wp:extent cx="33483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Gilmore O’Neill</w:t>
      </w:r>
    </w:p>
    <w:p>
      <w:pPr>
        <w:ind w:left="52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0860"/>
          </w:cols>
          <w:pgMar w:left="300" w:top="621" w:right="7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2023-12-13T08:04:31Z</dcterms:created>
  <dcterms:modified xsi:type="dcterms:W3CDTF">2023-12-13T08:04:31Z</dcterms:modified>
</cp:coreProperties>
</file>