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Editas Medicine,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001-37687</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46-4097528</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2920"/>
          </w:cols>
          <w:pgMar w:left="320" w:top="754" w:right="49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8"/>
          <w:szCs w:val="18"/>
          <w:color w:val="auto"/>
        </w:rPr>
        <w:t>of Incorporation)</w:t>
      </w:r>
    </w:p>
    <w:p>
      <w:pPr>
        <w:sectPr>
          <w:pgSz w:w="11900" w:h="16838" w:orient="portrait"/>
          <w:cols w:equalWidth="0" w:num="1">
            <w:col w:w="11080"/>
          </w:cols>
          <w:pgMar w:left="320" w:top="754" w:right="499" w:bottom="1440" w:gutter="0" w:footer="0" w:header="0"/>
          <w:type w:val="continuous"/>
        </w:sectPr>
      </w:pPr>
    </w:p>
    <w:p>
      <w:pPr>
        <w:spacing w:after="0" w:line="20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11 Hurley Street</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02141</w:t>
      </w:r>
    </w:p>
    <w:p>
      <w:pPr>
        <w:spacing w:after="0" w:line="3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040"/>
          </w:cols>
          <w:pgMar w:left="320" w:top="754"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401-9000</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8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754" w:right="499" w:bottom="1440" w:gutter="0" w:footer="0" w:header="0"/>
          <w:type w:val="continuous"/>
        </w:sectPr>
      </w:pPr>
    </w:p>
    <w:p>
      <w:pPr>
        <w:spacing w:after="0" w:line="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05" w:lineRule="exact"/>
        <w:rPr>
          <w:sz w:val="24"/>
          <w:szCs w:val="24"/>
          <w:color w:val="auto"/>
        </w:rPr>
      </w:pPr>
    </w:p>
    <w:p>
      <w:pPr>
        <w:sectPr>
          <w:pgSz w:w="11900" w:h="16838" w:orient="portrait"/>
          <w:cols w:equalWidth="0" w:num="3">
            <w:col w:w="4200" w:space="720"/>
            <w:col w:w="2080" w:space="720"/>
            <w:col w:w="3360"/>
          </w:cols>
          <w:pgMar w:left="320" w:top="754" w:right="49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EDIT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11" w:lineRule="exact"/>
        <w:rPr>
          <w:sz w:val="24"/>
          <w:szCs w:val="24"/>
          <w:color w:val="auto"/>
        </w:rPr>
      </w:pPr>
    </w:p>
    <w:p>
      <w:pPr>
        <w:sectPr>
          <w:pgSz w:w="11900" w:h="16838" w:orient="portrait"/>
          <w:cols w:equalWidth="0" w:num="3">
            <w:col w:w="4700" w:space="720"/>
            <w:col w:w="2120" w:space="720"/>
            <w:col w:w="2820"/>
          </w:cols>
          <w:pgMar w:left="320" w:top="754" w:right="499" w:bottom="1440" w:gutter="0" w:footer="0" w:header="0"/>
          <w:type w:val="continuous"/>
        </w:sectPr>
      </w:pPr>
    </w:p>
    <w:p>
      <w:pPr>
        <w:spacing w:after="0" w:line="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May 26, 2026, Editas Medicine, Inc. (the “Company”) entered into an underwriting agreement (the “Underwriting Agreement”) with Cantor Fitzgerald &amp; Co. and Wells Fargo Securities, LLC as representatives of the underwriters named therein (the “Underwriters”), relating to an underwritten public offering of 55,555,556 shares (the “Underwritten Shares”) of the Company’s common stock, $0.0001 par value per share (the “Common Stock”), and accompanying common stock warrants (the “Common Stock Warrants”) to purchase up to 55,555,556 shares of Common Stock (or pre-funded warrants to purchase shares of Common Stock in lieu thereof (the “Pre-Funded Warrants”)). All of the Underwritten Shares and the Common Stock Warrants are being sold by the Company. Each Underwritten Share is being offered and sold together with an accompanying Common Stock Warrant at a combined public offering price of $2.25. The Underwriters have agreed to purchase each Underwritten Share and accompanying Common Stock Warrant from the Company pursuant to the Underwriting Agreement at a combined price of $2.1150.</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$117.0 million, after deducting underwriting discounts and commissions and estimated offering expenses, and excluding any proceeds that may be received from the exercise of the Common Stock Warrants. If all of the Common Stock Warrants sold in the offering were to be exercised in cash for shares of Common Stock, the Company would receive additional proceeds of approximately $192.5 million.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Underwritten Shares and the Common Stock Warrants will be issued pursuant to a shelf registration statement on Form S-3 that the Company filed with the Securities and Exchange Commission (the “SEC”) on February 28, 2024 (File No. 333-277471), as amended by Post-Effective Amendment No. 1 to Form S-3 Registration Statement and Post-Effective Amendment No. 2 to Form S-3 Registration Statement, both filed with the SEC on March 5, 2025 and declared effective on March 21, 2025. A prospectus supplement relating to the offering has been filed with the SEC. The closing of the offering is expected to take place on or about May 27, 2026, subject to the satisfaction of customary closing conditions.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Each Common Stock Warrant will have an exercise price of $3.50 per share (or $3.4999 if the Common Stock Warrant is being exercised for Pre-Funded Warrants). The exercise price of the Common Stock Warrants may only be paid in cash, subject to a limited exception as set forth in the Common Stock Warrant. The Common Stock Warrants will be immediately exercisable and will be exercisable from the date of issuance and will expire on the earlier of (i) the date that is 30 days following the first public announcement by the Company of Phase 1 clinical data for the Company’s product candidate, EDIT-401, that discloses at least three patients in the trial that each demonstrated greater than 80% reduction in LDL-cholesterol as compared to baseline with at least one (1) month of follow-up and (ii) the date that is three years after the date of issuance. Under the terms of the Common Stock Warrants, the Company may not effect the exercise of any Common Stock Warrant, and a holder will not be entitled to exercise any portion of any Common Stock Warrant, that, upon giving effect to such exercise, would cause (1) the aggregate number of shares of Common Stock beneficially owned by such holder (together with its affiliates) to exceed 4.99% or 9.99%, as elected by the holder, of the number of shares of Common Stock outstanding immediately after giving effect to the exercise; or (2) the combined voting power of the Company’s securities beneficially owned by such holder (together with its affiliates) to exceed 4.99% or 9.99%, as elected by the holder, of the combined voting power of all of the Company’s securities outstanding immediately after giving effect to the exercise, as such percentage ownership is determined in accordance with the terms of the Common Stock Warrant. However, any holder of a Common Stock Warrant may increase or decrease such percentage to any other percentage not in excess of 19.99% provided that any such increase will not be effective until the 61st day after notice from the holder is delivered to the Company. To the extent that specified limitations described herein restrict the exercise of the Common Stock Warrants, a holder may choose, in lieu of receiving Common Stock upon exercise of such warrants, to receive a Pre-Funded Warrant to purchase an identical number of shares of Common Stock it would have received upon the exercise of its Common Stock Warrants; except that the applicable exercise price shall instead be the exercise price less $0.0001 per share, and the resulting issued Pre-Funded Warrant shall have an exercise price of $0.0001 per share.</w:t>
      </w:r>
    </w:p>
    <w:p>
      <w:pPr>
        <w:spacing w:after="0" w:line="19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Any Pre-Funded Warrant issued upon the exercise of Common Stock Warrants will have an exercise price of $0.0001 per share, and will be immediately exercisable for one share of common stock. Each Pre-Funded Warrant will be exercisable at any time after their original issuance and will expire on the date the warrant is exercised in full. Under the terms of the Pre-Funded Warrants, the Company may not effect the exercise of any portion of such Pre-Funded Warrant, and a holder will not be entitled to exercise any portion of any such Pre-Funded Warrant, that, upon giving effect to such exercise, would cause (1) the aggregate number of shares of Common Stock beneficially owned by such holder (together with its affiliates) to exceed</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4.99% or 9.99%, as elected by the holder, of the number of shares of Common Stock outstanding immediately after giving effect to the exercise; or (2) the combined voting power of the Company’s securities beneficially owned by such holder (together with its affiliates) to exceed 4.99% or 9.99%, as elected by the holder, of the combined voting power of all of the Company’s securities outstanding immediately after giving effect to the exercise, as such percentage ownership is determined in accordance with the terms of the Pre-Funded Warrant. However, any holder of a Pre-Funded Warrant may increase or decrease such percentage to any other percentage not in excess of 19.99% provided that such increase will not be effective until the 61st day after notice from the holder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Common Stock Warrants and any Pre-Funded Warrants, and generally including any merger or consolidation with or into another person in which the Company is not the surviving entity, the sale of all or substantially all of the Company’s assets, the acquisition of more than 50% of the outstanding Common Stock, or any person or group becoming the beneficial owner of more than 50% of the voting power of the outstanding Common Stock, or any reclassification or compulsory share exchange pursuant to which the Common Stock is effectively converted into or exchanged for other securities, cash or property), the holders of the Common Stock Warrants and any Pre-Funded Warrants will have the right to receive, upon exercise of the Common Stock Warrants or Pre-Funded Warrants, as applicable, the same amount and kind of securities, cash or property that such holders would have been entitled to receive had they exercised such Common Stock Warrants or Pre-Funded Warrants, as applicable immediately prior to such fundamental transaction, without regard to any limitations on exercise contained in the Common Stock Warrants or Pre-Funded Warrants, as applicable.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terms of the Underwriting Agreement, the Common Stock Warrants and the Pre-Funded Warrants are qualified in their entirety by reference to the Underwriting Agreement and the Form of Common Stock Warrant (including the form of Pre-Funded Warrant attached as an exhibit thereto), which are filed hereto as Exhibit 1.1 and Exhibit 4.1, respectively, and incorporated by reference herein.</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 copy of the legal opinion and consent of Wilmer Cutler Pickering Hale and Dorr LLP relating to the Underwritten Shares, the Common Stock Warrants, the Pre-Funded Warrants and the shares of Common Stock underlying the Common Stock Warrants and the Pre-Funded Warrants issuable upon exercise thereof is attached as Exhibit 5.1 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full text of the press release announcing the pricing of the underwritten public offering on May 26, 2026 is attached as Exhibit 99.1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Runway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Based upon the Company’s current plans and forecasted expenses, the Company estimates that the net proceeds from the underwritten offering, together with the Company’s cash and cash equivalents as of March 31, 2026, will enable the Company to fund its operations into the second half of 2028. The Company has based this estimate on assumptions that may prove to be wrong, and the Company could use its available capital resources sooner than it currently expects.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and information within the meaning of The Private Securities Litigation Reform Act of 1995. The words “anticipate,” “believe,” “continue,” “could,” “estimate,” “expect,” “intend,” “may,” “plan,” “potential,” “predict,” “project,” “target,” “should,” “would,” and similar expressions are intended to identify forward-looking statements, although not all forward-looking statements contain these identifying words. Forward-looking statements in this Current Report on Form 8-K include statements regarding the Company’s expectations regarding its cash runway, the anticipated closing of the offering and the expected net proceeds of the offering.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risks associated with uncertainties related to market conditions and the satisfaction of customary closing conditions related to the offering; and uncertainties with respect to the availability of resources and financing sufficient to fund the Company’s foreseeable and unforeseeable operating expenses and capital expenditure requirements. These and other risks are described in greater detail under the caption “Risk Factors” included in the Company’s most recent Annual Report on Form 10-K, which is on file with the SEC, as updated by the Company’s subsequent filings with the SEC, and in other filings that the Company may make with the SEC in the future. Any forward-looking statements contained in this Current Report on Form 8-K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2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8"/>
        </w:trPr>
        <w:tc>
          <w:tcPr>
            <w:tcW w:w="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6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00" w:type="dxa"/>
            <w:vAlign w:val="bottom"/>
            <w:tcBorders>
              <w:bottom w:val="single" w:sz="8" w:color="0000EE"/>
            </w:tcBorders>
            <w:gridSpan w:val="5"/>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Underwriting Agreement, dated May 26, 2026, by and among the Company, Cantor Fitzgerald &amp; Co. and Wells Fargo Securities, LLC</w:t>
            </w:r>
          </w:p>
        </w:tc>
        <w:tc>
          <w:tcPr>
            <w:tcW w:w="300" w:type="dxa"/>
            <w:vAlign w:val="bottom"/>
          </w:tcPr>
          <w:p>
            <w:pPr>
              <w:spacing w:after="0"/>
              <w:rPr>
                <w:sz w:val="14"/>
                <w:szCs w:val="14"/>
                <w:color w:val="auto"/>
              </w:rPr>
            </w:pPr>
          </w:p>
        </w:tc>
      </w:tr>
      <w:tr>
        <w:trPr>
          <w:trHeight w:val="196"/>
        </w:trPr>
        <w:tc>
          <w:tcPr>
            <w:tcW w:w="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Form of Common Stock Warrant (including the form of Pre-Funded Warrant attached as an exhibit thereto)</w:t>
            </w:r>
          </w:p>
        </w:tc>
        <w:tc>
          <w:tcPr>
            <w:tcW w:w="2260" w:type="dxa"/>
            <w:vAlign w:val="bottom"/>
            <w:gridSpan w:val="2"/>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Opinion of Wilmer Cutler Pickering Hale and Dorr LLP</w:t>
            </w:r>
          </w:p>
        </w:tc>
        <w:tc>
          <w:tcPr>
            <w:tcW w:w="5940" w:type="dxa"/>
            <w:vAlign w:val="bottom"/>
            <w:gridSpan w:val="4"/>
          </w:tcPr>
          <w:p>
            <w:pPr>
              <w:spacing w:after="0"/>
              <w:rPr>
                <w:sz w:val="17"/>
                <w:szCs w:val="17"/>
                <w:color w:val="auto"/>
              </w:rPr>
            </w:pPr>
          </w:p>
        </w:tc>
      </w:tr>
      <w:tr>
        <w:trPr>
          <w:trHeight w:val="196"/>
        </w:trPr>
        <w:tc>
          <w:tcPr>
            <w:tcW w:w="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Wilmer Cutler Pickering Hale and Dorr LLP (included in Exhibit 5.1)</w:t>
            </w:r>
          </w:p>
        </w:tc>
      </w:tr>
      <w:tr>
        <w:trPr>
          <w:trHeight w:val="196"/>
        </w:trPr>
        <w:tc>
          <w:tcPr>
            <w:tcW w:w="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Press Release dated May 26, 2026</w:t>
            </w:r>
          </w:p>
        </w:tc>
        <w:tc>
          <w:tcPr>
            <w:tcW w:w="3380" w:type="dxa"/>
            <w:vAlign w:val="bottom"/>
            <w:tcBorders>
              <w:top w:val="single" w:sz="8" w:color="0000EE"/>
            </w:tcBorders>
            <w:gridSpan w:val="2"/>
          </w:tcPr>
          <w:p>
            <w:pPr>
              <w:spacing w:after="0"/>
              <w:rPr>
                <w:sz w:val="17"/>
                <w:szCs w:val="17"/>
                <w:color w:val="auto"/>
              </w:rPr>
            </w:pPr>
          </w:p>
        </w:tc>
        <w:tc>
          <w:tcPr>
            <w:tcW w:w="4140" w:type="dxa"/>
            <w:vAlign w:val="bottom"/>
            <w:gridSpan w:val="3"/>
          </w:tcPr>
          <w:p>
            <w:pPr>
              <w:spacing w:after="0"/>
              <w:rPr>
                <w:sz w:val="17"/>
                <w:szCs w:val="17"/>
                <w:color w:val="auto"/>
              </w:rPr>
            </w:pPr>
          </w:p>
        </w:tc>
      </w:tr>
      <w:tr>
        <w:trPr>
          <w:trHeight w:val="237"/>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EDITAS MEDICINE,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Amy Parison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Amy Parison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55,555,556 SHARES OF COMMON STOCK, $0.0001 PAR VALUE PER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55,555,556 SHARES OF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for the several Underwriters named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 59th St.,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Editas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55,555,556 shares of its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accompanying warrants to purchase up to 55,555,556 shares of the Company’s common stock at an exercise price of $3.50 per share (or, in lieu of shares of common stock, pre-funded warrants to purchase shares of the Company’s common stock at an exercise price of $0.0001 per share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at an exercise price of $3.4999 per Pre-Funded Warrant), subject to conditions stated therein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shares of the Company’s common stock issuable upon exercise of the Common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shares of the Company’s common stock issuable upon exercise of Pre-Funded Warrants originally issued upon exercise of Common Warrants) are herein referred to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shares of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Each Share is being sold together with a Common Warrant to purchase one share of Common Stock.</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originally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as defined in Rule 405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 prospectus, on Form S-3ASR (File No. 333-277471) relating to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Securities, to be issued from time to time by the Company, on February 28, 2024, as amended by Post-Effective Amendment No.1 and Post-Effective Amendment No. 2, each filed by the Company with the Commission on March 5, 2025, which shelf registration statement was declared effective by the Commission on March 21, 2025. The various parts of the registration statement, including all exhibits thereto, any prospectus supplement relating to the Shelf Securities or the Securities that is filed with the Commission and the information (if any) deemed to be part of the registration statement at the time of effectiveness pursuant to Rule 430A or Rule 430B under the Securities Act, each as amended at the time such part of the registration statement became effective, are hereinafter collectively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pursuant to Rule 462(b) of the Securities Act is herein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after such filing, the term “Registration Statement” shall include any Rule 462(b) Registration Statement. The base prospectus filed as part of such Registration Statement, in the form in which it has most recently been filed with the Commission on or prior to the date of this underwriting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Any preliminary prospectus (including any preliminary prospectus supplement) relating to the Securities filed with the Commission pursuant to Rule 424(b) under the Securities Act is hereinafter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Basic Prospectus, as amended and supplemented by a prospectus supplement specifically relating to the Securities (if any) in the form first used to confirm sales of the Securities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Pricing Prospectus</w:t>
      </w:r>
      <w:r>
        <w:rPr>
          <w:rFonts w:ascii="Times New Roman" w:cs="Times New Roman" w:eastAsia="Times New Roman" w:hAnsi="Times New Roman"/>
          <w:sz w:val="18"/>
          <w:szCs w:val="18"/>
          <w:color w:val="auto"/>
        </w:rPr>
        <w:t>.” The form of the final prospectus relating to the Securities filed with the Commission pursuant to Rule 424(b) under the Securities Act in accordance with Section 5(a) hereof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Pricing Prospectus and the documents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The Company meets the requirements for use of Form S-3 under the Securities Act. The Registration Statement has become effective; no stop order suspending the effectiveness of the Registration Statement is in effect, and no proceedings for such purpose are pending before or, to the knowledge of the Company,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as of its date and the Closing Date,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the Representatives, prepare, use or refer to, any free writing prospectus.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The Company has been duly incorporated, is validly existing as a corporation in good standing under the laws of the State of Delaware,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Each subsidiary of 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and are owned directly by the Company, free and clear of all liens, encumbrances, equities or claims.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This Agreement has been duly authorized, executed and delivered by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authorized capital stock of the Company conforms in all material respects as to legal matters to the description thereof contained in the Time of Sale Prospectus.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The shares of Common Stock outstanding prior to the issuance of the Securities have been duly authorized and are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Shares have been duly authorized and, when issued and delivered in accordance with the terms of this Agreement, will be validly issued, fully paid and non-assessable, and the issuance of such Shares will not be subject to any preemptive or similar rights that have not been validly waived.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The Common Warrants (and any Pre-Funded Warrants issued upon exercise of Common Warrants) have been duly authorized and, when executed and delivered by the Company, will be valid and binding agreements of the Company, enforceable against the Company in accordance with their respective terms, except as the enforcement thereof may be limited by bankruptcy, insolvency, reorganization, moratorium or other similar laws relating to or affecting the rights and remedies of creditors or by general equitable principles. The Warrant Shares have been duly authorized and will be reserved for issuance upon exercise of the Common Warrants or any Pre-Funded Warrants originally issued upon exercise of Common Warrants, as applicable, in a number sufficient to meet the current exercise requirements. The Warrant Shares, when issued and delivered upon exercise of the Common Warrants or any Pre-Funded Warrants originally issued upon exercise of Common Warrants, as applicable, in accordance therewith, will be validly issued, fully paid and nonassessable, and the issuance of the Warrant Shares is not subject to any preemptive or similar rights not otherwise validly waived or satisfied.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             Neither the Company nor any of its subsidiaries is (i) in violation of any provision of its own certificate of incorporation or by-laws, (ii) in default, and, to the knowledge of the Company, no event has occurred that, with notice or lapse of time or both, would constitute such a default, in the due performance or observance of any term, covenant or condition contained in any agreement or other instrument binding upon the Company or any of its subsidiaries, in either case to the extent that such default has had or would reasonably be expected to have a material adverse effect on the Company and its subsidiaries, taken as a whole, or (iii) in violation of any applicable law or statute or any judgment, order or decree of any governmental body, agency or court having jurisdiction over the Company or any subsidiary.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The execution and delivery by the Company of, and the performance by the Company of its obligations under, this Agreement will not contravene any provision of the certificate of incorporation or by-laws of the Company, as amended, or any agreement or other instrument binding upon the Company or any of its subsidiaries that is material to the Company and its subsidiaries, taken as a whole, or any applicable law or statute or any judgment, order or decree of any governmental body, agency or court having jurisdiction over the Company or any subsidiary, and no consent, approval, authorization or order of, or qualification with, any governmental body or agency is required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Inc. (“FINRA”) in connection with the offer and sale of the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There has not occurred any material adverse change, or any development that would reasonably be expected to result in a material adverse change, in the condition, financial or otherwise, or in the earnings, business or operations of the Company and its subsidiaries, taken as a whole, from that set forth in the Time of Sale Prospectus.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Each preliminary prospectus filed as part of the Registration Statement pursuant to Rule 424 under the Securities Act, complied when so filed in all material respects with the Securities Act and the applicable rules and regulations of the Commission thereunder.</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(p)            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(q)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 on the Company and its subsidiaries, taken as a whole.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            (i) The feasibility, pre-clinical or clinical trials and other studies or tests (x) conducted by or on behalf of or sponsored by the Company or any of its subsidiaries, or (y) in which the Company or any of its subsidiaries has participated, that are described in the Time of Sale Prospectus, or the results of which are referred to in the Time of Sale Prospectus, as applicable, were, and if still pending, are being conducted in all material respects in accordance with standard medical and scientific research standards and procedures for products or product candidates comparable to those being developed by the Company or any of its subsidiaries and all applicable statutes and all applicable rules, regulations and guidance documents of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comparable regulatory agencies outside of the United States to which they are subject (collectively, the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Authorities</w:t>
      </w:r>
      <w:r>
        <w:rPr>
          <w:rFonts w:ascii="Times New Roman" w:cs="Times New Roman" w:eastAsia="Times New Roman" w:hAnsi="Times New Roman"/>
          <w:sz w:val="18"/>
          <w:szCs w:val="18"/>
          <w:color w:val="auto"/>
        </w:rPr>
        <w:t>”) and current Good Clinical Practices and Good Laboratory Practices; (ii) the descriptions in the Time of Sale Prospectus of the results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trials, studies and tests are, in all material respects, accurate and complete descriptions and fairly present the material data derived therefrom; (iii) the Company has no knowledge of any other trials, studies or tests (x) conducted by or on behalf of or sponsored by the Company or any of its subsidiaries, or</w:t>
      </w:r>
    </w:p>
    <w:p>
      <w:pPr>
        <w:spacing w:after="0" w:line="6" w:lineRule="exact"/>
        <w:rPr>
          <w:sz w:val="20"/>
          <w:szCs w:val="20"/>
          <w:color w:val="auto"/>
        </w:rPr>
      </w:pPr>
    </w:p>
    <w:p>
      <w:pPr>
        <w:jc w:val="both"/>
        <w:ind w:firstLine="8"/>
        <w:spacing w:after="0" w:line="251"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the Company or any of its subsidiaries has participated, not described in the Time of Sale Prospectus, the results of which are materially inconsistent with or raise questions concerning the validity of the results described or referred to in the Time of Sale Prospectus; (iv) the Company and its subsidiaries have operated at all times and are currently in compliance in all material respects with all applicable statutes, rules, regulations, standards, guidelines and orders administered or issued by any Regulatory Authority; and (v) neither the Company nor any of its subsidiaries has received any written notices, correspondence or other communications from the Regulatory Authorities or any court or arbitrator or other governmental or regulatory body, agency or authority requiring or threatening the termination, modification or suspension of any feasibility, clinical or pre-clinical trials or other studies or tests that are described in the Time of Sale Prospectus or the results of which are referred to in the Time of Sale Prospectus, other than ordinary course communications with respect to modifications in connection with the design and implementation of such trials and tests, and there are no reasonable grounds for the same.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            Neither the Company nor any of its subsidiaries has failed to file with the Regulatory Authorities any required filing, declaration, listing, registration, report or submission with respect to the Company’s or any subsidiary’s product candidates or feasibility, pre-clinical or clinical trials or other studies or tests that are described or referred to in the Time of Sale Prospectus; all such filings, declarations, listings, registrations, reports or submissions were in compliance in all material respects with applicable laws when filed; and no deficiencies regarding material compliance with applicable law have been asserted by any applicable Regulatory Authority with respect to any such filings, declarations, listings, registrations, reports or submissions.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Time of Sale Prospectus, and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 The Company and its subsidiaries (i) are, and at all times have been, in compliance in all material respects with all statutes, rules, regulations, standards, guidelines and orders administered or issued by any Regulatory Authority or applicable to the ownership, testing, development, manufacture, packaging, processing, use, distribution, storage, import, export or disposal of any product manufactured or distributed by the Company or any of its subsidiaries (collectively,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and (ii) have not received any FDA Form 483, written notice of adverse finding, warning letter, untitled letter or other correspondence or written notice from any court or arbitrator or governmental or regulatory body, agency or authority alleging or asserting non-compliance with (x) any Applicable Laws or (y) any licenses, exemptions, certificates, approvals, clearances, authorizations, permits and supplements or amendments thereto required by any such Applicable Laws. Neither the Company nor any of its subsidiaries has received written notice of any claim, action, suit, proceeding, hearing, enforcement, investigation, arbitration or other action from any court or arbitrator or governmental or regulatory body, agency or authority or third party alleging that any operation or activity is in material violation of any Applicable Laws, and, to the knowledge of the Company, no such notice of any claim, action, suit, proceeding, hearing, enforcement, investigation, arbitration or other action is threatened. Neither the Company nor any of its subsidiaries is a party to any corporate integrity agreements, monitoring agreements, consent decrees, settlement orders, or similar agreements with or imposed by any governmental or regulatory body, agency or authority. Additionally, to the Company’s knowledge, none of the employees, officers or directors of the Company or any of its subsidiaries has been excluded, suspended or debarred from participation in any U.S. federal health care program, clinical or pre-clinical research or comparable foreign program or is subject to a governmental inquiry, investigation, proceeding, or other similar action that could reasonably be expected to result in debarment, suspension, or exclusion.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Neither the Company nor any of its subsidiaries has sent or received any communication regarding termination of, or intent not to renew, any of the contracts or agreements referred to or described in the Time of Sale Prospectus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other than any such rights that are described in the Time of Sale Prospectus and have been validly waived in connection with the filing of the Registration Statement and the sale of the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            (i) Neither the Company nor any of its subsidiaries, nor any director or officer thereof, nor, to the Company’s knowledge, any employee or affiliate of the Company or any of its subsidiaries or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in violation of any applicable anti-corruption laws; (ii) the Company and its subsidiaries and, to the Company’s knowledge, their respective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(z)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Cuba, Iran, North Korea, the Crimea Region and the non-government controlled areas of the Zaporizhzhia and Kherson Regions of Ukraine, the so-called Donetsk People’s Republic, the so-called Luhansk People’s Republic and any other Covered Region of Ukraine identified pursuant to Executive Order 14065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incorporation,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96" w:lineRule="exact"/>
        <w:rPr>
          <w:sz w:val="20"/>
          <w:szCs w:val="20"/>
          <w:color w:val="auto"/>
        </w:rPr>
      </w:pPr>
    </w:p>
    <w:p>
      <w:pPr>
        <w:jc w:val="both"/>
        <w:ind w:firstLine="656"/>
        <w:spacing w:after="0" w:line="254" w:lineRule="auto"/>
        <w:tabs>
          <w:tab w:leader="none" w:pos="98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Subsequent to the date as of which information is given in the Time of Sale Prospectus, (i) the Company and its subsidiaries have not incurred any material liability or obligation, direct or contingent, nor entered into any material transaction; (ii) the Company has not purchased any of its outstanding capital stock other than purchases of restricted common stock of the Company, which are individually and in the aggregate immaterial to the Company, pursuant to contractual rights of the Company in connection with the termination of the employment with the Company of the holders thereof, nor declared, paid or otherwise made any dividend or distribution of any kind on its capital stock other than ordinary and customary dividends; and</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capital stock, short-term debt or long-term debt of the Company and its subsidiaries, except in each case as described in the Time of Sale Prospectus.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56"/>
        <w:spacing w:after="0" w:line="255" w:lineRule="auto"/>
        <w:tabs>
          <w:tab w:leader="none" w:pos="9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and its subsidiaries do not own any real property. The Company and its subsidiaries have good and marketable title to all personal property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as described in the Time of Sale Prospectus, the Company and its subsidiaries own or possess, or believe they can acquire on commercially reasonable terms, adequate rights to use all patents, patent rights, licenses, copyrights, know-how (including trade secrets and other unpatented and/or unpatentable proprietary or confidential information, systems or procedures), trademarks, service marks, trade names, domain names and other similar intellectual property or proprietary rights (including all registrations and applications for registration of, and all goodwill associated with, the foregoing)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in each case necessary for the conduct of the business of the Company and its subsidiaries in all material respects as currently conducted and as proposed to be conducted as described in the Time of Sale Prospectus. Except as described in the Time of Sale Prospectus and to the knowledge of the Company, neither the Company nor any of its subsidiaries has infringed, misappropriated or otherwise violated any Intellectual Property of any third party except as would not reasonably be expected to result in a material adverse effect on the Company and its subsidiaries, taken as a whole. Except as described in the Time of Sale Prospectus, neither the Company nor any of its subsidiaries has received any written notice of infringement, misappropriation or other violation of, or conflict with, any Intellectual Property of any third party, or any written notice challenging the validity, enforceability or scope of any Intellectual Property owned by, or exclusively licensed to, the Company or any of its subsidiaries, in each case, which, individually or in the aggregate, if the subject of an unfavorable decision, ruling or finding, would have a material adverse effect on the Company and its subsidiaries, taken as a whole. Except as described in the Time of Sale Prospectus, to the knowledge of the Company, all material Intellectual Property owned by, or exclusively licensed to, the Company and its subsidiaries is valid and enforceable.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68" w:lineRule="auto"/>
        <w:tabs>
          <w:tab w:leader="none" w:pos="993"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(i)(x) To the knowledge of the Company, there has been no (A) security breach, (B) unauthorized destruction, loss, distribution, use, access, disablement or modification, or (C) misappropriation or other compromise or misuse (each of the foregoing subsections (A)-(C), a “</w:t>
      </w:r>
      <w:r>
        <w:rPr>
          <w:rFonts w:ascii="Times New Roman" w:cs="Times New Roman" w:eastAsia="Times New Roman" w:hAnsi="Times New Roman"/>
          <w:sz w:val="17"/>
          <w:szCs w:val="17"/>
          <w:b w:val="1"/>
          <w:bCs w:val="1"/>
          <w:color w:val="auto"/>
        </w:rPr>
        <w:t>Breach</w:t>
      </w:r>
      <w:r>
        <w:rPr>
          <w:rFonts w:ascii="Times New Roman" w:cs="Times New Roman" w:eastAsia="Times New Roman" w:hAnsi="Times New Roman"/>
          <w:sz w:val="17"/>
          <w:szCs w:val="17"/>
          <w:color w:val="auto"/>
        </w:rPr>
        <w:t>”) of or relating to any of the Company’s or its subsidiaries’ respective information technology or computer systems, networks, hardware, software, data (including Personal Data (as defined below) and the data of its customers, employees, suppliers, vendors and any third party data maintained by or on behalf of the Company or any of its subsidiaries), equipment or technology (collectively, the “</w:t>
      </w:r>
      <w:r>
        <w:rPr>
          <w:rFonts w:ascii="Times New Roman" w:cs="Times New Roman" w:eastAsia="Times New Roman" w:hAnsi="Times New Roman"/>
          <w:sz w:val="17"/>
          <w:szCs w:val="17"/>
          <w:b w:val="1"/>
          <w:bCs w:val="1"/>
          <w:color w:val="auto"/>
        </w:rPr>
        <w:t>IT Systems and Data</w:t>
      </w:r>
      <w:r>
        <w:rPr>
          <w:rFonts w:ascii="Times New Roman" w:cs="Times New Roman" w:eastAsia="Times New Roman" w:hAnsi="Times New Roman"/>
          <w:sz w:val="17"/>
          <w:szCs w:val="17"/>
          <w:color w:val="auto"/>
        </w:rPr>
        <w:t>”) and (y) neither the Company nor any of its subsidiaries has been notified of, or has any knowledge of, any event or condition that would reasonably be expected to result in, any Breach of the IT Systems and Data, except as would not, in the case of this clause (i), individually or in the aggregate, have a material adverse effect; (ii) the Company and each of its subsidiaries has complied, and is presently in compliance, with all (A) applicable laws and statutes and all judgments, orders, rules and regulations of any court or arbitrator or governmental or regulatory authority and (B) internal and external-facing policies and (C) contractual obligations, in each case relating to (x) the collection, use, transfer, import, export, storage, protection, disposal and/or disclosure of personally identifiable, household, confidential or regulated data or information (“</w:t>
      </w:r>
      <w:r>
        <w:rPr>
          <w:rFonts w:ascii="Times New Roman" w:cs="Times New Roman" w:eastAsia="Times New Roman" w:hAnsi="Times New Roman"/>
          <w:sz w:val="17"/>
          <w:szCs w:val="17"/>
          <w:b w:val="1"/>
          <w:bCs w:val="1"/>
          <w:color w:val="auto"/>
        </w:rPr>
        <w:t>Data Security Obligations</w:t>
      </w:r>
      <w:r>
        <w:rPr>
          <w:rFonts w:ascii="Times New Roman" w:cs="Times New Roman" w:eastAsia="Times New Roman" w:hAnsi="Times New Roman"/>
          <w:sz w:val="17"/>
          <w:szCs w:val="17"/>
          <w:color w:val="auto"/>
        </w:rPr>
        <w:t>”, and such data and information, “</w:t>
      </w:r>
      <w:r>
        <w:rPr>
          <w:rFonts w:ascii="Times New Roman" w:cs="Times New Roman" w:eastAsia="Times New Roman" w:hAnsi="Times New Roman"/>
          <w:sz w:val="17"/>
          <w:szCs w:val="17"/>
          <w:b w:val="1"/>
          <w:bCs w:val="1"/>
          <w:color w:val="auto"/>
        </w:rPr>
        <w:t>Personal Data</w:t>
      </w:r>
      <w:r>
        <w:rPr>
          <w:rFonts w:ascii="Times New Roman" w:cs="Times New Roman" w:eastAsia="Times New Roman" w:hAnsi="Times New Roman"/>
          <w:sz w:val="17"/>
          <w:szCs w:val="17"/>
          <w:color w:val="auto"/>
        </w:rPr>
        <w:t>”), (y) the privacy and security of the IT Systems and Data or (z) the protection of the IT Systems and Data from any Breach, except as would not, in the case of this clause (ii), individually or in the aggregate, have a material adverse effect; (iii) the Company and each of its subsidiaries has taken commercially reasonable steps to protect the IT Systems and Data, including by establishing, maintaining, implementing and complying with reasonable information technology, information security, cyber security and data protection controls, policies and procedures and technology, including oversight, access controls, encryption, technological and physical safeguards and business continuity/disaster recovery and security plans, that the Company reasonably believes are consistent with industry standards and practices and are designed to protect against and prevent any Breach of the IT Systems and Data; (iv) neither the Company nor any of its subsidiaries has received any complaint regarding any non-compliance with any Data Security Obligation by the Company or any of its subsidiaries; and</w:t>
      </w:r>
    </w:p>
    <w:p>
      <w:pPr>
        <w:spacing w:after="0" w:line="195" w:lineRule="exact"/>
        <w:rPr>
          <w:rFonts w:ascii="Times New Roman" w:cs="Times New Roman" w:eastAsia="Times New Roman" w:hAnsi="Times New Roman"/>
          <w:sz w:val="17"/>
          <w:szCs w:val="17"/>
          <w:color w:val="auto"/>
        </w:rPr>
      </w:pPr>
    </w:p>
    <w:p>
      <w:pPr>
        <w:ind w:firstLine="8"/>
        <w:spacing w:after="0" w:line="260"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or proceeding by or before any court or governmental agency, authority or body pending or, to the knowledge of the Company, threatened alleging non-compliance with any Data Security Obligation by the Company or any of its subsidiaries.</w:t>
      </w:r>
    </w:p>
    <w:p>
      <w:pPr>
        <w:spacing w:after="0" w:line="181" w:lineRule="exact"/>
        <w:rPr>
          <w:rFonts w:ascii="Times New Roman" w:cs="Times New Roman" w:eastAsia="Times New Roman" w:hAnsi="Times New Roman"/>
          <w:sz w:val="18"/>
          <w:szCs w:val="18"/>
          <w:color w:val="auto"/>
        </w:rPr>
      </w:pPr>
    </w:p>
    <w:p>
      <w:pPr>
        <w:jc w:val="both"/>
        <w:ind w:firstLine="656"/>
        <w:spacing w:after="0" w:line="261" w:lineRule="auto"/>
        <w:tabs>
          <w:tab w:leader="none" w:pos="9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would reasonably be likely to have a material adverse effect on the Company and its subsidiaries, taken as a whole.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and each of its subsidiaries is insured by insurers of recognized financial responsibility against such losses and risks and in such amounts as are, in the reasonable judgment of the Company, prudent and customary in the business in which it is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000" w:hanging="344"/>
        <w:spacing w:after="0"/>
        <w:tabs>
          <w:tab w:leader="none" w:pos="10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Company and each of its subsidiaries maintains a system of internal accounting controls sufficient to provide reasonable assurance that</w:t>
      </w:r>
    </w:p>
    <w:p>
      <w:pPr>
        <w:spacing w:after="0" w:line="38" w:lineRule="exact"/>
        <w:rPr>
          <w:rFonts w:ascii="Times New Roman" w:cs="Times New Roman" w:eastAsia="Times New Roman" w:hAnsi="Times New Roman"/>
          <w:sz w:val="17"/>
          <w:szCs w:val="17"/>
          <w:color w:val="auto"/>
        </w:rPr>
      </w:pPr>
    </w:p>
    <w:p>
      <w:pPr>
        <w:jc w:val="both"/>
        <w:ind w:firstLine="8"/>
        <w:spacing w:after="0" w:line="251"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United States generally accepted accounting principles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9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             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 or in satisfaction of payments due under existing license agreements.</w:t>
      </w:r>
    </w:p>
    <w:p>
      <w:pPr>
        <w:spacing w:after="0" w:line="180" w:lineRule="exact"/>
        <w:rPr>
          <w:sz w:val="20"/>
          <w:szCs w:val="20"/>
          <w:color w:val="auto"/>
        </w:rPr>
      </w:pPr>
    </w:p>
    <w:p>
      <w:pPr>
        <w:jc w:val="both"/>
        <w:ind w:firstLine="656"/>
        <w:spacing w:after="0" w:line="254"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and each of its subsidiaries has filed all federal, state, local and foreign tax returns required to be filed through the date of this Agreement or has requested extensions thereof (except where the failure to file would not, individually or in the aggregate, have a material adverse effect on the Company and its subsidiaries, taken as a whole) and has paid all taxes required to be paid thereon (except for cases in which the failure to file or pay would not, individually or in the aggregate,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or any of its subsidiaries have any notice or knowledge of any tax deficiency which could reasonably be expected to be determined adversely to the Company or its subsidiaries and which would reasonably be expected to have), individually or in the aggregate, a material adverse effect on the Company and its subsidiaries, taken as a whole.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right="20" w:firstLine="656"/>
        <w:spacing w:after="0" w:line="266" w:lineRule="auto"/>
        <w:tabs>
          <w:tab w:leader="none" w:pos="10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of Ernst &amp; Young LLP, who have certified certain financial statements of the Company, and PricewaterhouseCoopers LLP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(i) has not alone engaged in any Testing-the-Waters Communication other than Testing-the-Waters Communications with the knowledge or consent of the Representatives with entities that are qualified institutional buyers within the meaning of Rule 144A under the Securities Act or institutions that are accredited investors within the meaning of Rule 501 under the Securities Act, (ii) has not authorized anyone other than the Representatives to engage in Testing-the-Waters Communications and (iii) has authorized the Representatives to act on its behalf in engaging in Testing-the-Waters Communications.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Rule 163B under the Securities Act. The Company has not distributed any Written Testing-the-Waters Communications other than those that have been disclosed to the Representatives.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1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As of the time of each sale of the Securities in connection with the offering when the Prospectus is not yet available to prospective purchasers, no issuer free writing prospectus, when considered together with the Time of Sale Prospectus, nor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any such issuer free writing prospectus or Written Testing-the-Waters Communication in reliance upon and in conformity with written information furnished to the Company in writing by the Representatives expressly for use therein.</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0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third-party statistical and market-related data included or incorporated by reference in the Registration Statement or Prospectus are based on or derived from sources that the Company believes to be reliable and accurate.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xml:space="preserve"> The Company hereby agrees to sell to the several Underwriters, and each Underwriter, upon the basis of the representations and warranties herein contained, but subject to the terms and conditions hereinafter stated, agrees, severally and not jointly, to purchase from the Company the respective numbers of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its name. The combined purchase price for one Share and one Common Warrant to be paid by the several Underwriters to the Company shall be $2.115 (the “</w:t>
      </w:r>
      <w:r>
        <w:rPr>
          <w:rFonts w:ascii="Times New Roman" w:cs="Times New Roman" w:eastAsia="Times New Roman" w:hAnsi="Times New Roman"/>
          <w:sz w:val="18"/>
          <w:szCs w:val="18"/>
          <w:b w:val="1"/>
          <w:bCs w:val="1"/>
          <w:color w:val="auto"/>
        </w:rPr>
        <w:t>Unit Purchase Price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no later than five business days following the end of each calendar quarter during which any Common Warrants remain outstanding, the Company shall (i) deliver to the Representatives a report detailing exercises of Common Warrants and the aggregate amount of consideration received by or payable to the Company with respect to such exercises and (ii) pay to the Underwriters a fee equal to 1.0% of such consideration.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 respective portions of the Securities as soon after the Registration Statement and this Agreement have become effective as in the judgment of the Representatives is advisable. The Company is further advised by the Representatives that the combined purchase price to the public for each Share and accompanying Common Warrant shall initially be $2.25 (the “</w:t>
      </w:r>
      <w:r>
        <w:rPr>
          <w:rFonts w:ascii="Times New Roman" w:cs="Times New Roman" w:eastAsia="Times New Roman" w:hAnsi="Times New Roman"/>
          <w:sz w:val="18"/>
          <w:szCs w:val="18"/>
          <w:b w:val="1"/>
          <w:bCs w:val="1"/>
          <w:color w:val="auto"/>
        </w:rPr>
        <w:t>Public Offering Price per Unit</w:t>
      </w:r>
      <w:r>
        <w:rPr>
          <w:rFonts w:ascii="Times New Roman" w:cs="Times New Roman" w:eastAsia="Times New Roman" w:hAnsi="Times New Roman"/>
          <w:sz w:val="18"/>
          <w:szCs w:val="18"/>
          <w:color w:val="auto"/>
        </w:rPr>
        <w:t>”) and to certain dealers selected by the Representatives at a price that represents a concession not in excess of $0.0810 for each Share and accompanying Common Warrant under the Public Offering Price per Unit.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xml:space="preserve"> Payment for the Securities shall be made to the Company in Federal or other funds immediately available in New York City against delivery of such Securities for the respective accounts of the several Underwriters at 10:00 a.m., New York City time, on May 27, 2026, or at such other time on the same or such other date, not later than June 3, 2026,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shall be registered in such names and in such denominations as the Representatives shall request in writing not later than one full business day prior to the Closing Date. The Company shall (i) deliver, or cause to be delivered to the Representatives for the accounts of the several Underwriters the Shares at the Closing Date, and (ii) deliver, or cause to be delivered, to the Representatives or to the purchasers thereof the Common Warrants in definitive form, in accordance with the Underwriters’ instruction, on the Closing Date, in each case, against payment of the Unit Purchase Price therefor. The Common Warrants will be made available for inspection by the Representative on the business day prior to the Closing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several obligations of the Underwriters are subject to the following conditions: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Subsequent to the execution and delivery of this Agreement and prior to the Closing Date:</w:t>
      </w:r>
    </w:p>
    <w:p>
      <w:pPr>
        <w:spacing w:after="0" w:line="225" w:lineRule="exact"/>
        <w:rPr>
          <w:sz w:val="20"/>
          <w:szCs w:val="20"/>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by any “nationally recognized statistical rating organization,” as such term is defined in Section 3(a)(62) of the Exchange Act;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jc w:val="both"/>
        <w:ind w:left="1300" w:hanging="644"/>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judgment of the Representatives, is material and adverse and that makes it, in the judgment of the Representatives, impracticable to market the Securities on the terms and in the manner contemplated in the Time of Sale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Underwriters shall have received on the Closing Date a certificate, dated the Closing Date and signed by an executive officer of the Company on behalf of the Company, to the effect set forth in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Underwriters shall have received on the Closing Date an opinion of Wilmer Cutler Pickering Hale and Dorr LLP, outside counsel for the Company, dated the Closing Date, substantially in the form of Exhibit B hereto, including the negative assurance reflected therein. The opinion of Wilmer Cutler Pickering Hale and Dorr LLP shall be rendered to the Underwriters at the request of the Company and shall so state therein.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The Underwriters shall have received on the Closing Date an opinion of Choate Hall &amp; Stewart LLP, outside intellectual property counsel for the Company, dated the Closing Date, substantially in the form of Exhibit C hereto. The opinion of Choate Hall &amp; Stewart LLP shall be rendered to the Underwriters at the request of the Company and shall so state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The Underwriters shall have received on the Closing Date an opinion of Perkins Coie LLP, outside intellectual property counsel for the Company, dated the Closing Date, substantially in the form of Exhibit D hereto. The opinion of Perkins Coie LLP shall be rendered to the Underwriters at the request of the Company and shall so state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The Underwriters shall have received on the Closing Date an opinion of McCarter &amp; English, LLP, outside intellectual property counsel for the Company, dated the Closing Date, substantially in the form of Exhibit E hereto. The opinion of McCarter &amp; English, LLP shall be rendered to the Underwriters at the request of the Company and shall so state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Underwriters shall have received on the Closing Date an opinion and negative assurance letter of Davis Polk &amp; Wardwell LLP, counsel for the Underwriters, dated the Closing Date, in form and substance satisfactory to the Underwriters.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(h)            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included or incorporated by reference in any of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“comfort letters” to underwriters with respect to the financial statements and certain financial information included or incorporated by reference in any of the Registration Statement,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The “lock-up” agreements, each substantially in the form of Exhibit A hereto, between the Representatives and each of the shareholders, officers and directors of the Company listed in Schedule III hereto, relating to sales and certain other dispositions of shares of Common Stock or certain other securities, delivered to the Representatives on or before the date hereof, shall be in full force and effect on the Closing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The Underwriters shall have received, on each of the date hereof and the Closing Date, a certificate, dated the respective dates of delivery thereof and addressed to the Representatives, of the Company’s chief financial officer with respect to certain financial data contained in the Time of Sale Prospectus and the Prospectus, providing “management comfort” with respect to such information, in form and substance reasonably satisfactory to the Representatives.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Upon request of the Representatives, to furnish to the Representatives, without charge, five signed copies of the Registration Statement (including exhibits thereto and documents incorporated by reference therein)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6(f)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as many copies of the Time of Sale Prospectus, the Prospectus, any documents incorporated by reference therein and any supplements and amendments thereto or to the Registration Statement as the Representatives may reasonably request.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Before amending or supplementing the Registration Statement, the Time of Sale Prospectus or the Prospectus, during such period as in the opinion of counsel for the Underwriters the Prospectus (or in lieu thereof the notice referred to in Rule 173(a) of the Securities Act) is required by law to be delivered in connection with sales by an Underwriter or dealer (including in circumstances where such requirement may be satisfied pursuant to Rule 172 of the Securities Act)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If, during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To endeavor to qualify the Securities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the Company shall not be required to qualify as a foreign corporation or to file a general consent to service of process in any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incurred by the Company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reasonable expenses in connection with the qualification of the Securities for offer and sale under state securities laws as provided in Section 6(g)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hereof, including filing fees and the reasonably incurred fees and disbursements of counsel for the Underwriters in connection with such qualification and in connection with the Blue Sky or Legal Investment memorandum, (iv) all filing fees and the reasonably incurred fees and disbursements of counsel to the Underwriters incurred, if any, in connection with the review and qualification of the offering of the Securities by FINRA in an amount not to exceed $20,000, (v) all costs and expenses incident to listing the Securities on the Nasdaq Global Select Market, (vi) the cost of printing certificates, if any, representing the Securities, (vii) the costs and 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one-half the cost of any aircraft chartered in connection with the road show,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prior approval of each of the Company and the Representatives was obtained prior to the chartering of such aircraft,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entitled “Indemnity and Contribution” and the last paragraph of Section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If the third anniversary of the initial effective date of the Registration Statement occurs before all the Securities have been sold by the Underwriters, prior to the third anniversary to file a new shelf registration statement and to take any other action necessary to permit the public offering of the Securities to continue without interruption; references herein to the Registration Statement shall include the new registration statement declared effective by the Commission.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             The Company also covenants with each Underwriter that, without the prior written consent of the Representatives, it will not, during the period ending 90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sales of shares of Common Stock pursuant to the sales agreement between the Company and TD Securities (USA) LLC (as successor to Cowen and Company, LLC), dated May 14, 2021, as amended on February 28, 2024 and March 5, 2025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(3) file any registration statement with the Commission relating to the offering of any shares of Common Stock or any securities convertible into or exercisable or exchangeable for Common Stock or (4) publicly disclose the intention to make any such offer, pledge, sale, contract, purchase, grant, loan, transfer or disposition, enter into any such swap or other arrangement, or make any such filing.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restrictions contained in the preceding paragraph shall not apply to (a) the Securities to be sold hereunder, the issuance by the Company of shares of Common Stock upon the exercise of the Common Warrants (including any shares of Common Stock issuable upon exercise of Pre-Funded Warrants originally issued upon exercise of Common Warrants) or the issuance of Pre-Funded Warrants upon the exercise of Common Stock Warrants,</w:t>
      </w:r>
    </w:p>
    <w:p>
      <w:pPr>
        <w:spacing w:after="0" w:line="1" w:lineRule="exact"/>
        <w:rPr>
          <w:sz w:val="20"/>
          <w:szCs w:val="20"/>
          <w:color w:val="auto"/>
        </w:rPr>
      </w:pPr>
    </w:p>
    <w:p>
      <w:pPr>
        <w:jc w:val="both"/>
        <w:ind w:firstLine="8"/>
        <w:spacing w:after="0" w:line="250" w:lineRule="auto"/>
        <w:tabs>
          <w:tab w:leader="none" w:pos="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by the Company of shares of Common Stock upon the exercise of an option or warrant or the vesting of a restricted stock unit or the conversion of a security outstanding on the date hereof and described in the Time of Sale Prospectus and the Prospectus or of which the Underwriters have been advised in writing, (c) any options and other awards granted under a stock incentive plan or stock purchase plan described in the Time of Sale Prospectus and the Prospectus (and the issuance by the Company of shares of Common Stock upon the exercise thereof) or pursuant to Nasdaq Stock Market Rule 5635(c)(4), (d) the filing by the Company of any registration statement on Form S-8 or a successor form thereto relating to the shares of Common Stock granted pursuant to or reserved for issuance under a stock incentive plan or stock purchase plan described in the Prospectus or inducement awards pursuant to Nasdaq Stock Market Rule 5635(c)(4), (e) the filing by the Company of a resale registration statement on Form S-3 relating to the shares of Common Stock issuable upon settlement of the promissory notes described in clause (f), (f) the issuance by the Company of shares of Common Stock issued in satisfaction of payment obligations under licensing agreements where the Company’s obligations may be satisfied by the issuance of promissory notes that may be settled in shares of Common Stock or in shares of common stock, pursuant to licensing agreements described in the Time of Sale Prospectus, (g) shares of Common Stock or other securities issued in connection with any (i) mergers, (ii) acquisition of securities, businesses, property or other assets, (iii) joint ventures, (iv) strategic alliances, (v) partnerships with experts or other talent to develop or provide content, (vi) equipment leasing arrangements or (vii) debt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aggregate number of shares of Common Stock or other securities issued pursuant to clauses (f) and (g) in the aggregate shall not exceed 10.0% of the total number of shares of Common Stock then outstanding at the first such issuance (determined, in the case of any such other securities, based on the maximum number of shares of Common Stock issuable upon conversion, exercise or exchange of such other securities, whether or not such other securities are then convertible into or exercisable or exchangeable for shares of Common Stock) and (y) each recipient of any such shares of Common Stock or other securities issued pursuant to clause (g) shall execute and deliver to the Representatives an agreement substantially in the form of Exhibit A hereto, (h) the establishment of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(i) the sale of shares of Common Stock on behalf of employees for the purpose of satisfying any withholding taxes (including estimated taxes) due as a result of the vesting of any restricted stock unit of the Company described in the Time of Sale Prospectus or issued pursuant to an employee incentive program described in the Time of Sale Prospectus or (j) sales of shares of Common Stock pursuant to the Sales Agreement that occur more than 45 days after the date of the Prospectus.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67"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or the Prospectus or any amendment or supplement thereto, or any Written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upon that, for all purposes under this Agreement, the only such information furnished by any Underwriter consists of the following information furnished on behalf of each Underwriter: (i) the name and corresponding share amounts set forth in the first paragraph of text under the caption “Underwriting” in the Prospectus; (ii) the third paragraph of text under the caption “Underwriting” in the Prospectus concerning the terms of the offering by the Underwriters; and (iii) the thirteenth through sixteenth paragraphs of text under the caption “Underwriting” in the Prospectus concerning stabilization.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In case any proceeding (including any governmental investigation) shall be instituted involving any person in respect of which indemnity may be sought pursuant to Section 8(a)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8(b),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reasonably incurred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by the Company, in the case of parties indemnified pursuant to Section 8(b)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(A) more than 60 days after receipt by the indemnifying party of such request and (B) more than 30 days after receipt by such indemnifying party of the proposed terms of such settlement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To the extent the indemnification provided for in Section 8(a)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8(b)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offering of the Securities or (ii) if the allocation provided by clause 8(d)(i)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is not permitted by applicable law, in such proportion as is appropriate to reflect not only the relative benefits referred to in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in each case as set forth in the table on the cover of the Prospectus, bear to the aggregate Public Offering Price per Unit.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 are several in proportion to the respective number of Securities they have purchased hereunder, and not joint.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The Company and the Underwriters agree that it would not be just or equitable if contribution pursuant to this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were determined by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allocation (even if the Underwriters were treated as one entity for such purpose) or by any other method of allocation that does not take account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equitable considerations referred to in Section 8(d)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amount paid or payable by an indemnified party as a result of the losses, claims, damages and liabilities referred to in Section 8(d)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(f)            The indemnity and contribution provisions contained in this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 delivery of this Agreement and prior to the closing of the sale to the Underwriters of the Securities, (i) trading generally shall have been suspended or materially limited on, or by, as the case may be, any of the New York Stock Exchange, the NYSE MKT, the Nasdaq Global Select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makes it, in the judgment of the Representatives, impracticable or inadvisable to proceed with the offer, sale or delivery of the Securities on the terms and in the manner contemplated in the Time of Sale Prospectus or the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Securities set forth opposite their respective names in Schedule I bears to the aggregate number of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Securities and the aggregate number of Securities with respect to which such default occurs is more than one-tenth of the aggregate number of Securities to be purchased on such date, and arrangements satisfactory to the Representatives and the Company for the purchase of such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 signatures thereto and hereto were upon the same instrument. Delivery of a signature page hereto by facsimile transmission or by other electronic transmission (including a “.pdf” or “.tif” file) shall be as effective as delivery of a manually executed counterpart 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 of this Agreement.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and confirmed by any standard form of telecommunication. Notices to the Underwriters shall be given to the Representatives in care of Cantor Fitzgerald &amp; Co., 110 E. 59th St., 6th Floor, New York, New York 10022, Attention: Global Head of Investment Banking (email: notices-IBD@cantor.com) and General Counsel (email: legal-IBD@cantor.com); and Wells Fargo Securities, LLC, 500 West 33rd Street, New York, New York 10001, Attention: Equity Syndicate Department (fax no: (212) 214-5918). Notices to the Company shall be sent to 11 Hurley Street, Cambridge, MA, 02141, Attention: Secretary (email: legal@editasmed.com).</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parties hereto hereby waives any right to trial by jury in any suit or proceeding arising out of or relating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EDITAS MEDICINE,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Gilmore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Gilmore O’Neill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Jason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Jason Fenton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Global Co-Head of ECM</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Haney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Ryan Haney</w:t>
      </w:r>
    </w:p>
    <w:p>
      <w:pPr>
        <w:spacing w:after="0" w:line="23" w:lineRule="exact"/>
        <w:rPr>
          <w:sz w:val="20"/>
          <w:szCs w:val="20"/>
          <w:color w:val="auto"/>
        </w:rPr>
      </w:pPr>
    </w:p>
    <w:p>
      <w:pPr>
        <w:ind w:left="320"/>
        <w:spacing w:after="0"/>
        <w:tabs>
          <w:tab w:leader="none" w:pos="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Number of Shares To</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 Common Warrants</w:t>
            </w:r>
          </w:p>
        </w:tc>
      </w:tr>
      <w:tr>
        <w:trPr>
          <w:trHeight w:val="238"/>
        </w:trPr>
        <w:tc>
          <w:tcPr>
            <w:tcW w:w="39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64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Be Purchased</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Accompanying Shares</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33,333,334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6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22,222,222</w:t>
            </w:r>
          </w:p>
        </w:tc>
        <w:tc>
          <w:tcPr>
            <w:tcW w:w="3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22,222,222</w:t>
            </w:r>
          </w:p>
        </w:tc>
      </w:tr>
      <w:tr>
        <w:trPr>
          <w:trHeight w:val="209"/>
        </w:trPr>
        <w:tc>
          <w:tcPr>
            <w:tcW w:w="394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55,555,556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I-1</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2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supplement dated May 26, 2026 relating to the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is selling 55,555,556 Shares and 55,555,556 accompanying Common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price to the public per share of Common Stock and accompanying Common Warrant is $2.25.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exercise price per Common Warrant shall be $3.50 per share (or $3.4999 per share if exercised for Pre-Funded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exercise price per Pre-Funded Warrant shall be $0.0001.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Underwriting Discounts and Commissions: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$0.1350 per share of Common Stock and accompanying Common Warrant.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Estimated net proceeds to the Company (after underwriting discounts and commissions, but before transaction expenses, and assuming no exercise of Common Warrants): $117.5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Lock-up Parties</w:t>
      </w:r>
    </w:p>
    <w:p>
      <w:pPr>
        <w:spacing w:after="0" w:line="200" w:lineRule="exact"/>
        <w:rPr>
          <w:sz w:val="20"/>
          <w:szCs w:val="20"/>
          <w:color w:val="auto"/>
        </w:rPr>
      </w:pPr>
    </w:p>
    <w:p>
      <w:pPr>
        <w:spacing w:after="0" w:line="2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499 Park Avenue,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Cantor Fitzgerald &amp; Co. and Wells Fargo Securities, LLC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Editas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(i) shares of its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(ii)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60" w:lineRule="auto"/>
        <w:tabs>
          <w:tab w:leader="none" w:pos="3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in lieu of shares of Common Stock, Pre-Funded Warrants) subject to conditions stated therein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the Representatives, it will not, during the period commencing on the date hereof and ending 90 days after the date of the final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publicly disclose the intention to make any such offer, pledge, sale, contract, purchase, grant, loan, transfer or disposition, or enter into any such swap or other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foregoing sentence shall not apply to (a) 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Common Stock or other securities acquired in the Public Offering or such open market transactions, (b) transfers of shares of Common Stock or any security convertible into Common Stock as a bona fide gift, (c) transfers or dispositions of shares of Common Stock or such other securities to any trust for the direct or indirect benefit of the undersigned or the immediate family of the undersigned in a transaction not involving a disposition for value, (d) transfers or dispositions of shares of Common Stock or such other securities to any corporation, partnership, limited liability company or other entity all of the beneficial ownership interests of which are held by the undersigned or the immediate family of the undersigned in a transaction not involving a disposition for value, (e) transfers or dispositions of shares of Common Stock or such other securities by will, other testamentary document or intestate succession to the legal representatives, heir, beneficiary or a member of the immediate family of the undersigned, or (f) distributions of shares of Common Stock or any security convertible into Common Stock to limited partners, members or stockholders of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disposition or distribution pursuant to clause (b), (c), (d), (e) or (f), (i) each transferee, donee or distributee shall sign and 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in the case of a transfer or other disposition pursuant to clause (b) or (e) above, any Form 4 or Form 5 required to be filed under the Exchange Act if the undersigned is subject to Section 16 reporting with respect to the Company under the Exchange Act and indicating by footnote disclosure or otherwise the nature of the transfer or disposition), (g) transfers or dispositions of Common Stock or any security convertible into or exercisable or exchangeable for Common Stock to the Company pursuant to any contractual arrangement in effect on the date of this agreement described in the Time of Sale Prospectus and the Prospectus that provides for the repurchase of the undersigned’s Common Stock or such other securities by the Company or in connection with the termination of the undersigned’s employment with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Restricted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 (h) the establishment of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plan does not provide for the transfer of Common Stock during the Restricted Period and (B)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(i) transfers or dispositions of Common Stock under a trading plan established prior to the date hereof pursuant to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Restricted Period in connection with any such transfers or dispositions (other than any Form 4 or Form 5 required to be filed under the Exchange Act if the undersigned is subject to Section 16 reporting with respect to the Company under the Exchange Act and indicating by footnote disclosure or otherwise the nature of the transfer or disposition) or (j) sales or other dispositions of Common Stock for the purpose of satisfying any withholding taxes (including estimated taxes) due as a result of the vesting of any restricted stock unit of the Company held by the undersigned pursuant to an employee incentive program described in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during the Restricted Period in connection with any such sales or dispositions (other than any Form 4 or Form 5 required to be filed under the Exchange Act if the undersigned is subject to Section 16 reporting with respect to the Company under the Exchange Act and indicating by footnote disclosure or otherwise the nature of the sale or disposition). For purposes of this agreement, “immediate family” shall mean any relationship by blood, marriage or adoption, not more remote than first cousin. 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(i) if the Representatives, on the one hand, or the Company, on the other hand, informs the other in writing, prior to the execution of the Underwriting Agreement, that it has determined not to proceed with the Public Offering, (ii) if the Underwriting Agreement (other than the provisions thereof which survive termination) shall terminate or be terminated prior to payment for and delivery of the securities to be sold thereunder, (iii) if the registration statement related to the Public Offering has been withdrawn prior to the execution of the Underwriting Agreement or</w:t>
      </w:r>
    </w:p>
    <w:p>
      <w:pPr>
        <w:spacing w:after="0" w:line="3" w:lineRule="exact"/>
        <w:rPr>
          <w:sz w:val="20"/>
          <w:szCs w:val="20"/>
          <w:color w:val="auto"/>
        </w:rPr>
      </w:pPr>
    </w:p>
    <w:p>
      <w:pPr>
        <w:ind w:firstLine="8"/>
        <w:spacing w:after="0" w:line="260" w:lineRule="auto"/>
        <w:tabs>
          <w:tab w:leader="none" w:pos="3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is not executed on or before June 30, 2026, the undersigned shall be automatically released from all obligations under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OF OPINION OF</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FORM OF OPINION OF CHOATE HALL &amp; STEWART LLP</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FORM OF OPINION OF PERKINS COIE LLP</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FORM OF OPINION OF MCCARTER &amp; ENGLISH, LLP</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 w:name="page46"/>
    <w:bookmarkEnd w:id="45"/>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TO PURCHASE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PRE-FUNDED WARRANTS</w:t>
      </w:r>
    </w:p>
    <w:p>
      <w:pPr>
        <w:spacing w:after="0" w:line="229"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color w:val="auto"/>
        </w:rPr>
        <w:t>Number of Shares: [·]</w:t>
      </w:r>
    </w:p>
    <w:p>
      <w:pPr>
        <w:spacing w:after="0" w:line="3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218"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18"/>
          <w:szCs w:val="18"/>
          <w:color w:val="auto"/>
        </w:rPr>
        <w:t>Warrant No. [·]</w:t>
      </w:r>
      <w:r>
        <w:rPr>
          <w:sz w:val="20"/>
          <w:szCs w:val="20"/>
          <w:color w:val="auto"/>
        </w:rPr>
        <w:tab/>
      </w:r>
      <w:r>
        <w:rPr>
          <w:rFonts w:ascii="Times New Roman" w:cs="Times New Roman" w:eastAsia="Times New Roman" w:hAnsi="Times New Roman"/>
          <w:sz w:val="17"/>
          <w:szCs w:val="17"/>
          <w:color w:val="auto"/>
        </w:rPr>
        <w:t>Original Issue Date: May [·], 2026</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Editas Medicine,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per share equal to $3.50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in each case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upon surrender of this Warrant to Purchase Common Stock or Pre-Funded Warrants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Initial Exercise Date</w:t>
      </w:r>
      <w:r>
        <w:rPr>
          <w:rFonts w:ascii="Times New Roman" w:cs="Times New Roman" w:eastAsia="Times New Roman" w:hAnsi="Times New Roman"/>
          <w:sz w:val="18"/>
          <w:szCs w:val="18"/>
          <w:color w:val="auto"/>
        </w:rPr>
        <w:t>”) and on or prior to 5:00 p.m. (New York City time) on the Termination Date but not thereafter.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Definitions</w:t>
      </w:r>
      <w:r>
        <w:rPr>
          <w:rFonts w:ascii="Times New Roman" w:cs="Times New Roman" w:eastAsia="Times New Roman" w:hAnsi="Times New Roman"/>
          <w:sz w:val="18"/>
          <w:szCs w:val="18"/>
          <w:color w:val="auto"/>
        </w:rPr>
        <w:t>. For purposes of this Warrant, the following terms shall have the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meanings: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(or a duly authorized committee thereof) shall use its good faith judgment to determine the fair market value. The Board of Directors’ (or such duly authorized committee’s)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333-277471), as amended, that was most recently declared effective on March 21,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means the earlier of (i) the date that is thirty (30) days following the first public announcement by the Company of Phase 1 clinical data for the Company’s product candidate, EDIT-401, that discloses at least three patients in the trial that each demonstrated greater than 80% reduction in LDL-cholesterol as compared to baseline with at least one (1) month of follow-up (the “</w:t>
      </w:r>
      <w:r>
        <w:rPr>
          <w:rFonts w:ascii="Times New Roman" w:cs="Times New Roman" w:eastAsia="Times New Roman" w:hAnsi="Times New Roman"/>
          <w:sz w:val="18"/>
          <w:szCs w:val="18"/>
          <w:b w:val="1"/>
          <w:bCs w:val="1"/>
          <w:color w:val="auto"/>
        </w:rPr>
        <w:t>Data Announcement</w:t>
      </w:r>
      <w:r>
        <w:rPr>
          <w:rFonts w:ascii="Times New Roman" w:cs="Times New Roman" w:eastAsia="Times New Roman" w:hAnsi="Times New Roman"/>
          <w:sz w:val="18"/>
          <w:szCs w:val="18"/>
          <w:color w:val="auto"/>
        </w:rPr>
        <w:t>”) and (ii) May 27, 2029.</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as of the Original Issue Date.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Registration of Transfers</w:t>
      </w:r>
      <w:r>
        <w:rPr>
          <w:rFonts w:ascii="Times New Roman" w:cs="Times New Roman" w:eastAsia="Times New Roman" w:hAnsi="Times New Roman"/>
          <w:sz w:val="18"/>
          <w:szCs w:val="18"/>
          <w:color w:val="auto"/>
        </w:rPr>
        <w:t>. This Warrant and all rights hereunder are transferable, in whole or in part, upon surrender of this Warrant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office of the Company or its designated agent, together with a written assignment of this Warrant substantially in the form attached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All or any part of this Warrant shall be exercisable by the registered Holder in any manner permitted by this Warrant at any time and from time to time on or after the Initial Exercise Date and on or before the Termination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by an authorized officer of the Holder, of the Holder’s election to exercise this Warrant for, at the Holder’s sole discretion, either (A) Warrant Shares or (B) Pre-Funded Warrants to purchase a number of shares of Common Stock equal to the number of Warrant Shares as to which this Warrant is being exercised in substantially the same form of Pre-Funded Warrant attached as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with an exercise price of $0.0001 per share of Common Stock and (ii) payment of the Exercise Price for the number of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as to which this Warrant is being exercised, or, if this Warrant is being exercised for Pre-Funded Warrants, the aggregate Exercise Price, less $0.0001, multiplied by the number of Warrant Shares as to which this Warrant is being exercised,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Holder and the Company shall maintain records showing the number of Warrant Shares purchased and the date of such purchases. The Company shall deliver any objection to any Exercise Notice within one (1) Trading Day of receipt of such notice.</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Holder and any assignee, by acceptance of this Warrant, acknowledge and agree that, by reason of the provisions of this section, following the purchase of a portion of the Warrant Shares or Pre-Funded Warrants hereunder, the number of Warrant Shares or Pre-Funded Warrants available for purchase hereunder at any given time may be less than the amount stated on the face 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Delivery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If this Warrant is being exercised for Warrant Shares,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 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 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If this Warrant is being exercised for Pre-Funded Warrants, the Company shall issue and dispatch by overnight courier to the address specified in the Exercise Notice, Pre-Funded Warrants to purchase a number of shares of Common Stock equal to the number of Warrant Shares with respect to which this Warrant is being exercised. The Holder, or any Person so designated by the Holder to receive Warrant Shares or Pre-Funded Warrants, shall be deemed to have become the holder of record of such Warrant Shares or Pre-Funded Warrants as of the Exercise Date, irrespective of the date such Warrant Shares or Pre-Funded Warrants are credited to the Holder’s DTC account, the date of the book entry positions or the date of delivery of the certificates evidencing such Exercise Shares or Pre-Funded Warrants, as the case may be.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In addition to any other rights available to the Holder, if this Warrant is being exercised for Warrant Shares and if the Company fails to deliver, or cause the Transfer Agent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or Pre-Funded Warrants, as the case may be,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or Pre-Funded Warrants.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or Pre-Funded Warrants for which such exercise was not timely honored and (ii) receive the number of shares of Common Stock that would have been issued if the Company had timely complied with its delivery requirements under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Charges, Taxes and Expenses</w:t>
      </w:r>
      <w:r>
        <w:rPr>
          <w:rFonts w:ascii="Times New Roman" w:cs="Times New Roman" w:eastAsia="Times New Roman" w:hAnsi="Times New Roman"/>
          <w:sz w:val="18"/>
          <w:szCs w:val="18"/>
          <w:color w:val="auto"/>
        </w:rPr>
        <w:t>. Issuance and delivery of Exercise Shares shall be made without charge to the Holder for any issue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Pre-Funded Warrants or the Warrants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 subject to adjustment from time to time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as of the time of actual payment of such dividends. Any adjustment pursuant to clause (ii), (iii) or (iv) of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shall become effective immediately after the effective date of such subdivision, combination or issuance.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Pro Rata Distributions</w:t>
      </w:r>
      <w:r>
        <w:rPr>
          <w:rFonts w:ascii="Times New Roman" w:cs="Times New Roman" w:eastAsia="Times New Roman" w:hAnsi="Times New Roman"/>
          <w:sz w:val="18"/>
          <w:szCs w:val="18"/>
          <w:color w:val="auto"/>
        </w:rPr>
        <w:t xml:space="preserve">. If, at any time while this Warrant is outstanding,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If at any time while this Warrant is outstanding,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3" w:lineRule="exact"/>
        <w:rPr>
          <w:sz w:val="20"/>
          <w:szCs w:val="20"/>
          <w:color w:val="auto"/>
        </w:rPr>
      </w:pPr>
    </w:p>
    <w:p>
      <w:pPr>
        <w:jc w:val="both"/>
        <w:ind w:firstLine="8"/>
        <w:spacing w:after="0" w:line="250"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w:t>
      </w:r>
    </w:p>
    <w:p>
      <w:pPr>
        <w:jc w:val="both"/>
        <w:ind w:firstLine="8"/>
        <w:spacing w:after="0" w:line="251" w:lineRule="auto"/>
        <w:tabs>
          <w:tab w:leader="none" w:pos="3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above)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(A) the Alternate Consideration is solely cash and the Company provides for the simultaneous “cashless exercise” of this Warrant as set forth in the paragraph below or (B)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shall similarly apply to subsequent transactions analogous to a Fundamental Transaction type.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contained herein to the contrary, solely in connection with the circumstances described in subclause (A) above,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 as of the Trading Day on the date immediately preceding the Exercise Date;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 Fractional Shares), in no event will the exercise of this Warrant be settled in cash.</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Number of Warrant Shares</w:t>
      </w:r>
      <w:r>
        <w:rPr>
          <w:rFonts w:ascii="Times New Roman" w:cs="Times New Roman" w:eastAsia="Times New Roman" w:hAnsi="Times New Roman"/>
          <w:sz w:val="18"/>
          <w:szCs w:val="18"/>
          <w:color w:val="auto"/>
        </w:rPr>
        <w:t xml:space="preserve">. Simultaneously with any adjustment to the Number of Warrant Shares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(g)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(h)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(i)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Notice of Data Announcement</w:t>
      </w:r>
      <w:r>
        <w:rPr>
          <w:rFonts w:ascii="Times New Roman" w:cs="Times New Roman" w:eastAsia="Times New Roman" w:hAnsi="Times New Roman"/>
          <w:sz w:val="18"/>
          <w:szCs w:val="18"/>
          <w:color w:val="auto"/>
        </w:rPr>
        <w:t>. The Company shall provide the Holder with prompt written notice of the occurrence of the Data Announcement, which written notice shall in no event be delivered to the Holder more than two Trading Days following such Data Announcement.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(j)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xml:space="preserve"> Subject to the rules and regulations of the Principal Trading Market, the Company may at any time during the term of this Warrant, reduce the then-current Exercise Price to any amount and for any period of time deemed appropriate by the board of directors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Limitations on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Notwithstanding anything to the contrary contained herein, the Company shall not effect the exercise of any portion of this Warrant (other than for Pre-Funded Warrants), and the Holder of this Warrant shall not have the right to exercise any portion of the Warrant (other than for Pre-Funded Warrants),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if any.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to the extent necessary to correct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any portion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may not be waived and shall apply to a successor holder of this Warrant.</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No Fractional Shares or Pre-Funded Warrants</w:t>
      </w:r>
      <w:r>
        <w:rPr>
          <w:rFonts w:ascii="Times New Roman" w:cs="Times New Roman" w:eastAsia="Times New Roman" w:hAnsi="Times New Roman"/>
          <w:sz w:val="18"/>
          <w:szCs w:val="18"/>
          <w:color w:val="auto"/>
        </w:rPr>
        <w:t>. No fractional Warrant Shares or fractional Pre-Funded Warrants will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12.         </w:t>
      </w:r>
      <w:r>
        <w:rPr>
          <w:rFonts w:ascii="Times New Roman" w:cs="Times New Roman" w:eastAsia="Times New Roman" w:hAnsi="Times New Roman"/>
          <w:sz w:val="18"/>
          <w:szCs w:val="18"/>
          <w:b w:val="1"/>
          <w:bCs w:val="1"/>
          <w:u w:val="single" w:color="auto"/>
          <w:color w:val="auto"/>
        </w:rPr>
        <w:t>  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via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Notice to the Company shall be delivered, mailed or sent to Editas Medicine, Inc., 11 Hurley St., Cambridge, MA 02141, Attention: General Counsel, E-mail: legal@editasmed.com, with a copy (which shall not constitute notice) to: Wilmer Cutler Pickering Hale and Dorr LLP, 60 State Street, Boston, MA 02109, Attention: Stuart M. Falber, Email: stuart.falber@wilmerhale.com. Notice to the Holder shall be delivered, mailed or sent to such address or other contact information delivered by the Holder to the Company or as is on the books and records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         </w:t>
      </w:r>
      <w:r>
        <w:rPr>
          <w:rFonts w:ascii="Times New Roman" w:cs="Times New Roman" w:eastAsia="Times New Roman" w:hAnsi="Times New Roman"/>
          <w:sz w:val="18"/>
          <w:szCs w:val="18"/>
          <w:b w:val="1"/>
          <w:bCs w:val="1"/>
          <w:u w:val="single" w:color="auto"/>
          <w:color w:val="auto"/>
        </w:rPr>
        <w:t>  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u w:val="single" w:color="auto"/>
          <w:color w:val="auto"/>
        </w:rPr>
        <w:t>(b)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Further Assurances</w:t>
      </w:r>
      <w:r>
        <w:rPr>
          <w:rFonts w:ascii="Times New Roman" w:cs="Times New Roman" w:eastAsia="Times New Roman" w:hAnsi="Times New Roman"/>
          <w:sz w:val="17"/>
          <w:szCs w:val="17"/>
          <w:color w:val="auto"/>
        </w:rPr>
        <w:t>. Except as and to the extent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w:t>
      </w:r>
    </w:p>
    <w:p>
      <w:pPr>
        <w:spacing w:after="0" w:line="5" w:lineRule="exact"/>
        <w:rPr>
          <w:sz w:val="20"/>
          <w:szCs w:val="20"/>
          <w:color w:val="auto"/>
        </w:rPr>
      </w:pPr>
    </w:p>
    <w:p>
      <w:pPr>
        <w:jc w:val="both"/>
        <w:ind w:firstLine="8"/>
        <w:spacing w:after="0" w:line="252"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u w:val="single" w:color="auto"/>
          <w:color w:val="auto"/>
        </w:rPr>
        <w:t>(e)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  Acceptance</w:t>
      </w:r>
      <w:r>
        <w:rPr>
          <w:rFonts w:ascii="Times New Roman" w:cs="Times New Roman" w:eastAsia="Times New Roman" w:hAnsi="Times New Roman"/>
          <w:sz w:val="17"/>
          <w:szCs w:val="17"/>
          <w:color w:val="auto"/>
        </w:rPr>
        <w:t>. Receipt of this Warrant by the Holder shall constitute acceptance of and agreement to all of the terms and conditions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(g)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(h)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980" w:top="904" w:right="43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720" w:firstLine="8"/>
        <w:spacing w:after="0" w:line="286" w:lineRule="auto"/>
        <w:tabs>
          <w:tab w:leader="none" w:pos="2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is the Holder of Warrant No. __ (the “Warrant”) issued by </w:t>
      </w:r>
      <w:r>
        <w:rPr>
          <w:rFonts w:ascii="Times New Roman" w:cs="Times New Roman" w:eastAsia="Times New Roman" w:hAnsi="Times New Roman"/>
          <w:sz w:val="18"/>
          <w:szCs w:val="18"/>
          <w:b w:val="1"/>
          <w:bCs w:val="1"/>
          <w:color w:val="auto"/>
        </w:rPr>
        <w:t>Editas Medicine, Inc.</w:t>
      </w:r>
      <w:r>
        <w:rPr>
          <w:rFonts w:ascii="Times New Roman" w:cs="Times New Roman" w:eastAsia="Times New Roman" w:hAnsi="Times New Roman"/>
          <w:sz w:val="18"/>
          <w:szCs w:val="18"/>
          <w:color w:val="auto"/>
        </w:rPr>
        <w:t>, a Delaware corporation (the “Company”). Capitalized terms used herein and not otherwise defined herein have the respective meanings set forth in the Warrant.</w:t>
      </w:r>
    </w:p>
    <w:p>
      <w:pPr>
        <w:spacing w:after="0" w:line="158" w:lineRule="exact"/>
        <w:rPr>
          <w:rFonts w:ascii="Times New Roman" w:cs="Times New Roman" w:eastAsia="Times New Roman" w:hAnsi="Times New Roman"/>
          <w:sz w:val="18"/>
          <w:szCs w:val="18"/>
          <w:color w:val="auto"/>
        </w:rPr>
      </w:pPr>
    </w:p>
    <w:p>
      <w:pPr>
        <w:ind w:right="260" w:firstLine="8"/>
        <w:spacing w:after="0" w:line="282" w:lineRule="auto"/>
        <w:tabs>
          <w:tab w:leader="none" w:pos="2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(i) ____ Warrant Shares pursuant to the Warrant and (ii) ____ Pre-Funded Warrants in lieu of Warrant Shares pursuant to the Warrant.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pay the sum of $ _____ in immediately available funds to the Company in accordance with the terms of the Warrant.</w:t>
      </w:r>
    </w:p>
    <w:p>
      <w:pPr>
        <w:spacing w:after="0" w:line="225"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or Pre-Funded Warrants determined in accordance with the terms of the Warrant.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shall be delivered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4063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19" w:lineRule="exact"/>
        <w:rPr>
          <w:sz w:val="20"/>
          <w:szCs w:val="20"/>
          <w:color w:val="auto"/>
        </w:rPr>
      </w:pPr>
    </w:p>
    <w:p>
      <w:pPr>
        <w:ind w:firstLine="8"/>
        <w:spacing w:after="0" w:line="266"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of the Warrant to which this notice relates.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51346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51346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5134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22860</wp:posOffset>
            </wp:positionV>
            <wp:extent cx="5134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3461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-121920</wp:posOffset>
            </wp:positionV>
            <wp:extent cx="51346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1" w:name="page62"/>
    <w:bookmarkEnd w:id="61"/>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assign the foregoing Warrant, execute this form and supply required information. Do not use this form to exercise the Warrant to purchase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57003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(Please Print)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57003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57003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57003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57003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57003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57003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0"/>
          </w:cols>
          <w:pgMar w:left="320" w:top="900" w:right="7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22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178"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18"/>
          <w:szCs w:val="18"/>
          <w:color w:val="auto"/>
        </w:rPr>
        <w:t>Pre-Funded Warrant No. [·]</w:t>
      </w:r>
      <w:r>
        <w:rPr>
          <w:sz w:val="20"/>
          <w:szCs w:val="20"/>
          <w:color w:val="auto"/>
        </w:rPr>
        <w:tab/>
      </w:r>
      <w:r>
        <w:rPr>
          <w:rFonts w:ascii="Times New Roman" w:cs="Times New Roman" w:eastAsia="Times New Roman" w:hAnsi="Times New Roman"/>
          <w:sz w:val="17"/>
          <w:szCs w:val="17"/>
          <w:color w:val="auto"/>
        </w:rPr>
        <w:t>Original Issue Date: May [·], 2026</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Editas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at an exercise price per share equal to $0.0001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Definitions</w:t>
      </w:r>
      <w:r>
        <w:rPr>
          <w:rFonts w:ascii="Times New Roman" w:cs="Times New Roman" w:eastAsia="Times New Roman" w:hAnsi="Times New Roman"/>
          <w:sz w:val="18"/>
          <w:szCs w:val="18"/>
          <w:color w:val="auto"/>
        </w:rPr>
        <w:t>. For purposes of this Warrant, the following terms shall have the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meanings: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intermediates, controls, is controlled by or is under common control with such Person.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(or a duly authorized committee thereof) shall use its good faith judgment to determine the fair market value. The Board of Directors’ (or such duly authorized committee’s)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333-277471), as amended, that was most recently declared effective on March 21,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all of the rules and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as of the Original Issue Date.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Registration of Transfers</w:t>
      </w:r>
      <w:r>
        <w:rPr>
          <w:rFonts w:ascii="Times New Roman" w:cs="Times New Roman" w:eastAsia="Times New Roman" w:hAnsi="Times New Roman"/>
          <w:sz w:val="18"/>
          <w:szCs w:val="18"/>
          <w:color w:val="auto"/>
        </w:rPr>
        <w:t>. This Warrant and all rights hereunder are transferable, in whole or in part, upon surrender of this Warrant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office of the Company or its designated agent, together with a written assignment of this Warrant substantially in the form attached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duly executed by the Holder or its agent or attorney and funds sufficient to pay any transfer taxes payable upon the making of such transfer.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Exercise of Warrants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All or any part of this Warrant shall be exercisable by the registered Holder in any manner permitted by this Warrant (including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at any time and from time to time on or after the Original Issue Date, and such rights shall not expire until exercised in full.</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by an authorized officer of the Holder,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Holder and the Company shall maintain records showing the number of Warrant Shares purchased and the date of such purchases. The Company shall deliver any objection to any Exercise Notice within one (1) Trading Day of receipt of such notice.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Delivery of Warrant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Upon exercise of this Warrant, the Company shall promptly (but in no event later than the number of Trading Days comprising the Standard Settlement Period following the Exercise Date),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in each case, so long as either</w:t>
      </w:r>
    </w:p>
    <w:p>
      <w:pPr>
        <w:spacing w:after="0" w:line="3" w:lineRule="exact"/>
        <w:rPr>
          <w:sz w:val="20"/>
          <w:szCs w:val="20"/>
          <w:color w:val="auto"/>
        </w:rPr>
      </w:pPr>
    </w:p>
    <w:p>
      <w:pPr>
        <w:jc w:val="both"/>
        <w:ind w:firstLine="8"/>
        <w:spacing w:after="0" w:line="251" w:lineRule="auto"/>
        <w:tabs>
          <w:tab w:leader="none" w:pos="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In addition to any other rights available to the Holder, if the Company fails to deliver, or cause the Transfer Agent to deliver to the Holder or its designee Exercise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within the Standard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but did not receive within the Standard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Charges, Taxes and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and delivery of Exercise Shares shall be made without charge to the Holder for any issue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Certain Adjustments</w:t>
      </w:r>
      <w:r>
        <w:rPr>
          <w:rFonts w:ascii="Times New Roman" w:cs="Times New Roman" w:eastAsia="Times New Roman" w:hAnsi="Times New Roman"/>
          <w:sz w:val="18"/>
          <w:szCs w:val="18"/>
          <w:color w:val="auto"/>
        </w:rPr>
        <w:t>. The Exercise Price and number of Warrant Shares issuable upon exercise of this Warrant (the “</w:t>
      </w:r>
      <w:r>
        <w:rPr>
          <w:rFonts w:ascii="Times New Roman" w:cs="Times New Roman" w:eastAsia="Times New Roman" w:hAnsi="Times New Roman"/>
          <w:sz w:val="18"/>
          <w:szCs w:val="18"/>
          <w:b w:val="1"/>
          <w:bCs w:val="1"/>
          <w:color w:val="auto"/>
        </w:rPr>
        <w:t>Number of Warrant Shares</w:t>
      </w:r>
      <w:r>
        <w:rPr>
          <w:rFonts w:ascii="Times New Roman" w:cs="Times New Roman" w:eastAsia="Times New Roman" w:hAnsi="Times New Roman"/>
          <w:sz w:val="18"/>
          <w:szCs w:val="18"/>
          <w:color w:val="auto"/>
        </w:rPr>
        <w:t>”) are subject to adjustment from time to time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Section 9(a)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as of the time of actual payment of such dividends. Any adjustment pursuant to clause (ii), (iii) or (iv) of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shall become effective immediately after the effective date of such subdivision, combination or issuance.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9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Fundamental Transactions</w:t>
      </w:r>
      <w:r>
        <w:rPr>
          <w:rFonts w:ascii="Times New Roman" w:cs="Times New Roman" w:eastAsia="Times New Roman" w:hAnsi="Times New Roman"/>
          <w:sz w:val="18"/>
          <w:szCs w:val="18"/>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3" w:lineRule="exact"/>
        <w:rPr>
          <w:sz w:val="20"/>
          <w:szCs w:val="20"/>
          <w:color w:val="auto"/>
        </w:rPr>
      </w:pPr>
    </w:p>
    <w:p>
      <w:pPr>
        <w:jc w:val="both"/>
        <w:ind w:firstLine="8"/>
        <w:spacing w:after="0" w:line="250"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w:t>
      </w:r>
    </w:p>
    <w:p>
      <w:pPr>
        <w:jc w:val="both"/>
        <w:ind w:firstLine="8"/>
        <w:spacing w:after="0" w:line="251" w:lineRule="auto"/>
        <w:tabs>
          <w:tab w:leader="none" w:pos="3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8"/>
          <w:szCs w:val="18"/>
          <w:u w:val="single" w:color="auto"/>
          <w:color w:val="auto"/>
        </w:rPr>
        <w:t>Sections 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9(c)</w:t>
      </w:r>
      <w:r>
        <w:rPr>
          <w:rFonts w:ascii="Times New Roman" w:cs="Times New Roman" w:eastAsia="Times New Roman" w:hAnsi="Times New Roman"/>
          <w:sz w:val="18"/>
          <w:szCs w:val="18"/>
          <w:color w:val="auto"/>
        </w:rPr>
        <w:t xml:space="preserve"> above)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shall similarly apply to subsequent transactions analogous to a Fundamental Transaction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Number of Warrant Shares</w:t>
      </w:r>
      <w:r>
        <w:rPr>
          <w:rFonts w:ascii="Times New Roman" w:cs="Times New Roman" w:eastAsia="Times New Roman" w:hAnsi="Times New Roman"/>
          <w:sz w:val="18"/>
          <w:szCs w:val="18"/>
          <w:color w:val="auto"/>
        </w:rPr>
        <w:t xml:space="preserve">. Simultaneously with any adjustment to the Number of Warrant Shares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of any such information.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Payment of Exercise Price</w:t>
      </w:r>
      <w:r>
        <w:rPr>
          <w:rFonts w:ascii="Times New Roman" w:cs="Times New Roman" w:eastAsia="Times New Roman" w:hAnsi="Times New Roman"/>
          <w:sz w:val="18"/>
          <w:szCs w:val="18"/>
          <w:color w:val="auto"/>
        </w:rPr>
        <w:t>. Notwithstanding anything contained herein to the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 Y [(A-B)/A]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 as of the Trading Day on the date immediately preceding the Exercise Date;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 Fractional Shares),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Limitations on Exercise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(a)            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w:t>
      </w:r>
    </w:p>
    <w:p>
      <w:pPr>
        <w:spacing w:after="0" w:line="200" w:lineRule="exact"/>
        <w:rPr>
          <w:sz w:val="20"/>
          <w:szCs w:val="20"/>
          <w:color w:val="auto"/>
        </w:rPr>
      </w:pPr>
    </w:p>
    <w:p>
      <w:pPr>
        <w:jc w:val="both"/>
        <w:ind w:firstLine="8"/>
        <w:spacing w:after="0" w:line="251" w:lineRule="auto"/>
        <w:tabs>
          <w:tab w:leader="none" w:pos="2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deemed null and void and shall be cancelled ab initio, and the Holder and/or the Attribution Parties shall not have the power to vote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the Excess Shares. As soon as reasonably practicable after the issuance of the Excess Shares has been deemed null and void, the Company shall return to the Holder the exercise price paid by the Holder for the Excess Shares, if any. By written notice to the Company, a Holder of this Warrant may from time to time increase or decrease the Maximum Percentage to any other percentage not in excess of 19.99% specified in such notice; provided that any increase in the Maximum Percentage will not be effective until the 61st day after such notice is delivered to the Company and shall not negatively affect any partial exercise effected prior to such change.</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have any effect on the applicability of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with respect to any subsequent determination of exercisability.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necessary to correct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any portion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12.          </w:t>
      </w:r>
      <w:r>
        <w:rPr>
          <w:rFonts w:ascii="Times New Roman" w:cs="Times New Roman" w:eastAsia="Times New Roman" w:hAnsi="Times New Roman"/>
          <w:sz w:val="18"/>
          <w:szCs w:val="18"/>
          <w:b w:val="1"/>
          <w:bCs w:val="1"/>
          <w:u w:val="single" w:color="auto"/>
          <w:color w:val="auto"/>
        </w:rPr>
        <w:t>  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given and effective on the earliest of (i) the date of transmission, if such notice or communication is delivered via confirmed e-mail at the e-mail address specified by the Company prior to 5:30 P.M., New York City time, on a Trading Day, (ii) the next Trading Day after the date of transmission, if such notice or communication is delivered via confirmed e-mail at the e-mail address specified by the Company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Notice to the Company shall be delivered, mailed or sent to Editas Medicine, Inc., 11 Hurley St., Cambridge, MA 02141, Attention: General Counsel, E-mail: legal@editasmed.com, with a copy (which shall not constitute notice) to: Wilmer Cutler Pickering Hale and Dorr LLP, 60 State Street, Boston, MA 02109, Attention: Stuart M. Falber, Email: stuart.falber@wilmerhale.com. Notice to the Holder shall be delivered, mailed or sent to such address or other contact information delivered by the Holder to the Company or as is on the books and records of the Company.</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14.          </w:t>
      </w:r>
      <w:r>
        <w:rPr>
          <w:rFonts w:ascii="Times New Roman" w:cs="Times New Roman" w:eastAsia="Times New Roman" w:hAnsi="Times New Roman"/>
          <w:sz w:val="18"/>
          <w:szCs w:val="18"/>
          <w:b w:val="1"/>
          <w:bCs w:val="1"/>
          <w:u w:val="single" w:color="auto"/>
          <w:color w:val="auto"/>
        </w:rPr>
        <w:t>  Warrant Agent</w:t>
      </w:r>
      <w:r>
        <w:rPr>
          <w:rFonts w:ascii="Times New Roman" w:cs="Times New Roman" w:eastAsia="Times New Roman" w:hAnsi="Times New Roman"/>
          <w:sz w:val="18"/>
          <w:szCs w:val="18"/>
          <w:color w:val="auto"/>
        </w:rPr>
        <w:t>. The Company shall initially serve as warrant agent under this Warrant. Upon 30 days’ notice to the Holder,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w:t>
      </w:r>
      <w:r>
        <w:rPr>
          <w:rFonts w:ascii="Times New Roman" w:cs="Times New Roman" w:eastAsia="Times New Roman" w:hAnsi="Times New Roman"/>
          <w:sz w:val="18"/>
          <w:szCs w:val="18"/>
          <w:b w:val="1"/>
          <w:bCs w:val="1"/>
          <w:u w:val="single" w:color="auto"/>
          <w:color w:val="auto"/>
        </w:rPr>
        <w:t>  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Further Assurances</w:t>
      </w:r>
      <w:r>
        <w:rPr>
          <w:rFonts w:ascii="Times New Roman" w:cs="Times New Roman" w:eastAsia="Times New Roman" w:hAnsi="Times New Roman"/>
          <w:sz w:val="17"/>
          <w:szCs w:val="17"/>
          <w:color w:val="auto"/>
        </w:rPr>
        <w:t>. Except as and to the extent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w:t>
      </w:r>
    </w:p>
    <w:p>
      <w:pPr>
        <w:spacing w:after="0" w:line="5" w:lineRule="exact"/>
        <w:rPr>
          <w:sz w:val="20"/>
          <w:szCs w:val="20"/>
          <w:color w:val="auto"/>
        </w:rPr>
      </w:pPr>
    </w:p>
    <w:p>
      <w:pPr>
        <w:jc w:val="both"/>
        <w:ind w:firstLine="8"/>
        <w:spacing w:after="0" w:line="252" w:lineRule="auto"/>
        <w:tabs>
          <w:tab w:leader="none" w:pos="2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Acceptance</w:t>
      </w:r>
      <w:r>
        <w:rPr>
          <w:rFonts w:ascii="Times New Roman" w:cs="Times New Roman" w:eastAsia="Times New Roman" w:hAnsi="Times New Roman"/>
          <w:sz w:val="17"/>
          <w:szCs w:val="17"/>
          <w:color w:val="auto"/>
        </w:rPr>
        <w:t>. Receipt of this Warrant by the Holder shall constitute acceptance of and agreement to all of the terms and conditions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2" w:lineRule="exact"/>
        <w:rPr>
          <w:sz w:val="20"/>
          <w:szCs w:val="20"/>
          <w:color w:val="auto"/>
        </w:rPr>
      </w:pPr>
    </w:p>
    <w:p>
      <w:pPr>
        <w:ind w:firstLine="1304"/>
        <w:spacing w:after="0" w:line="261" w:lineRule="auto"/>
        <w:tabs>
          <w:tab w:leader="none" w:pos="15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EDITAS MEDICINE, INC.</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980" w:top="904" w:right="4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ind w:firstLine="8"/>
        <w:spacing w:after="0" w:line="282" w:lineRule="auto"/>
        <w:tabs>
          <w:tab w:leader="none" w:pos="2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“Warrant”) issued by Editas Medicine, Inc., a Delaware corporation (the “Company”). Capitalized terms used herein and not otherwise defined herein have the respective meanings set forth in the Warrant.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 Warrant Shares pursuant to the Warrant.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660" w:hanging="324"/>
        <w:spacing w:after="0"/>
        <w:tabs>
          <w:tab w:leader="none" w:pos="66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225" w:lineRule="exact"/>
        <w:rPr>
          <w:rFonts w:ascii="MS PGothic" w:cs="MS PGothic" w:eastAsia="MS PGothic" w:hAnsi="MS PGothic"/>
          <w:sz w:val="18"/>
          <w:szCs w:val="18"/>
          <w:color w:val="auto"/>
        </w:rPr>
      </w:pPr>
    </w:p>
    <w:p>
      <w:pPr>
        <w:ind w:right="160" w:firstLine="8"/>
        <w:spacing w:after="0" w:line="282"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(check one):</w:t>
      </w:r>
    </w:p>
    <w:p>
      <w:pPr>
        <w:spacing w:after="0" w:line="16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the following DWAC Account Number: _______________________________</w:t>
      </w:r>
    </w:p>
    <w:p>
      <w:pPr>
        <w:spacing w:after="0" w:line="29" w:lineRule="exact"/>
        <w:rPr>
          <w:rFonts w:ascii="MS PGothic" w:cs="MS PGothic" w:eastAsia="MS PGothic" w:hAnsi="MS PGothic"/>
          <w:sz w:val="18"/>
          <w:szCs w:val="18"/>
          <w:color w:val="auto"/>
        </w:rPr>
      </w:pPr>
    </w:p>
    <w:p>
      <w:pPr>
        <w:ind w:left="660" w:hanging="324"/>
        <w:spacing w:after="0"/>
        <w:tabs>
          <w:tab w:leader="none" w:pos="66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book-entry form via a direct registration system</w:t>
      </w:r>
    </w:p>
    <w:p>
      <w:pPr>
        <w:spacing w:after="0" w:line="9" w:lineRule="exact"/>
        <w:rPr>
          <w:rFonts w:ascii="MS PGothic" w:cs="MS PGothic" w:eastAsia="MS PGothic" w:hAnsi="MS PGothic"/>
          <w:sz w:val="18"/>
          <w:szCs w:val="18"/>
          <w:color w:val="auto"/>
        </w:rPr>
      </w:pPr>
    </w:p>
    <w:p>
      <w:pPr>
        <w:ind w:left="660" w:hanging="324"/>
        <w:spacing w:after="0"/>
        <w:tabs>
          <w:tab w:leader="none" w:pos="66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physical delivery of a certificate to: ______________________________________________________</w:t>
      </w:r>
    </w:p>
    <w:p>
      <w:pPr>
        <w:spacing w:after="0" w:line="9" w:lineRule="exact"/>
        <w:rPr>
          <w:rFonts w:ascii="MS PGothic" w:cs="MS PGothic" w:eastAsia="MS PGothic" w:hAnsi="MS PGothic"/>
          <w:sz w:val="18"/>
          <w:szCs w:val="18"/>
          <w:color w:val="auto"/>
        </w:rPr>
      </w:pPr>
    </w:p>
    <w:p>
      <w:pPr>
        <w:ind w:left="6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_______________________________________________________</w:t>
      </w:r>
    </w:p>
    <w:p>
      <w:pPr>
        <w:spacing w:after="0" w:line="7" w:lineRule="exact"/>
        <w:rPr>
          <w:rFonts w:ascii="MS PGothic" w:cs="MS PGothic" w:eastAsia="MS PGothic" w:hAnsi="MS PGothic"/>
          <w:sz w:val="18"/>
          <w:szCs w:val="18"/>
          <w:color w:val="auto"/>
        </w:rPr>
      </w:pPr>
    </w:p>
    <w:p>
      <w:pPr>
        <w:ind w:left="660" w:hanging="324"/>
        <w:spacing w:after="0"/>
        <w:tabs>
          <w:tab w:leader="none" w:pos="66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restricted book-entry form in the Company’s share register</w:t>
      </w:r>
    </w:p>
    <w:p>
      <w:pPr>
        <w:spacing w:after="0" w:line="206" w:lineRule="exact"/>
        <w:rPr>
          <w:rFonts w:ascii="MS PGothic" w:cs="MS PGothic" w:eastAsia="MS PGothic" w:hAnsi="MS PGothic"/>
          <w:sz w:val="18"/>
          <w:szCs w:val="18"/>
          <w:color w:val="auto"/>
        </w:rPr>
      </w:pPr>
    </w:p>
    <w:p>
      <w:pPr>
        <w:ind w:right="60" w:firstLine="8"/>
        <w:spacing w:after="0" w:line="26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63436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63436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27774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-121920</wp:posOffset>
            </wp:positionV>
            <wp:extent cx="27774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-127635</wp:posOffset>
            </wp:positionV>
            <wp:extent cx="27774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assign the foregoing Warrant, execute this form and supply required information. Do not use this form to exercise the Warrant to purchase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6060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(Please Print)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60604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60604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6060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604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6060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6060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60604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0" w:right="7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167640</wp:posOffset>
            </wp:positionV>
            <wp:extent cx="105410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54100" cy="13716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493395</wp:posOffset>
            </wp:positionV>
            <wp:extent cx="694055"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40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Editas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Hurley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Editas Medicine,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This opinion is being furnished to you in connection with (i) the Registration Statement on Form S-3 (File No. 333-277471) originally filed by Editas Medicine, Inc., a Delaware corporation (the “Company”), on February 28, 2024 with the Securities and Exchange Commission (the “Commission”) under the Securities Act of 1933, as amended (the “Securities Act”), as amended by Post-Effective Amendment No. 1 and Post-Effective Amendment No. 2, both filed with the Commission on March 5, 2025, for the registration of, among other things, shares of the Company’s common stock, $0.0001 par value per share (the “Common Stock”) and warrants to purchase shares of Common Stock, which may be issued from time to time on a delayed or continuous basis pursuant to Rule 415 under the Securities Act at an aggregate initial offering price not to exceed $350,000,000, as set forth in the Registration Statement and the prospectus contained therein (the “Base Prospectus”), together with a related Registration Statement on Form S-3 (File No. 333-296213) filed by the Company with the Commission on May 26, 2026 pursuant to Rule 462(b) under the Securities Act, which became effective upon filing (collectively, the “Registration Statement”); and (ii) the prospectus supplement, dated May 26, 2026 (the “Prospectus Supplement” and together with the Base Prospectus, the “Prospectuses”), relating to the issuance and sale pursuant to the Registration Statement of 55,555,556 shares of Common Stock (the “Shares”) and accompanying common stock warrants (the “Common Stock Warrants”) to purchase up to 55,555,556 shares of Common Stock (or pre-funded warrants to purchase shares of Common Stock (the “Pre-Funded Warrants” and together with the Common Stock Warrants, the “Warrants”) in lieu thereof). The Shares and the Common Stock Warrants are collectively referred to herein as the “Securities”. The shares of Common Stock issuable upon exercise of the Common Stock Warrants (including any shares of Common Stock issuable upon exercise of Pre-Funded Warrants originally issued upon exercise of Common Stock Warrants) are herein referred to as the “Warrant Shares.”</w:t>
      </w:r>
    </w:p>
    <w:p>
      <w:pPr>
        <w:spacing w:after="0" w:line="19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Securities are to be offered and sold by the Company pursuant to an underwriting agreement, dated May 26, 2026 (the “Underwriting Agreement”), by and among the Company and Cantor Fitzgerald &amp; Co. and Wells Fargo Securities, LLC, as representatives of the underwriters named therein, which is being filed with the Commission as Exhibit 1.1 to the Company’s Current Report on Form 8-K, filed on the date hereof.</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issue and sale by the Company of the Securities. We have examined and relied upon a signed copy of the Registration Statement and copies of the Prospectuses, each as filed with the Commission. We have also examined and relied upon the Underwriting Agreement, the forms of Warrants, minutes of meetings and actions of the stockholders and the Board of Directors of the Company, including the committees thereof, as provided to us by the Company, the Certificate of Incorporation and By-Laws of the Company, each as restated and/or amended to date, and such other documents, instruments and certificates as we have deemed necessary for the purposes of rendering the opinions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130810</wp:posOffset>
            </wp:positionV>
            <wp:extent cx="5332095"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32095" cy="22288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Editas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opinions set forth below are qualified to the extent that they may be subject to or affected by (i) applicable bankruptcy, insolvency, reorganization, receivership, moratorium, fraudulent transfer, fraudulent conveyance or similar laws relating to or affecting the rights or remedies of creditors generally, (ii) statutory or decisional law concerning recourse by creditors to security in the absence of notice or hearing, (iii) duties and standards imposed on creditors and parties to contracts, including, without limitation, requirements of good faith, reasonableness and fair dealing, and (iv) general equitable principles.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 may be subject to the discretion of a court.</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also express no opinion herein as to any provision of any agreement (a) which may be deemed to or construed to waive any right of the Company, (b) to the effect that rights and remedies are not exclusive, that every right or remedy is cumulative and may be exercised in addition to or with any other right or remedy and does not preclude recourse to one or more other rights or remedies, (c) relating to the effect of invalidity or unenforceability of any provision of such agreement on the validity or enforceability of any other provision thereof, (d) which is in violation of public policy, including, without limitation, any provision relating to indemnification and contribution with respect to securities law matters, (e) which provides that the terms of such agreement may not be waived or modified except in writing, (f) relating to choice of law or consent to jurisdiction, (g) requiring the payment of penalties, consequential damages or liquidated damages or (h) with respect to any matters which require the performance of a mathematical calculation or the making of a financial or accounting determination.</w:t>
      </w:r>
    </w:p>
    <w:p>
      <w:pPr>
        <w:spacing w:after="0" w:line="1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also express no opinion herein as to the laws of any state or jurisdiction other than the state laws of the State of New York and the General Corporation Law of the State of Delaware.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foregoing, we are of the opinion that:</w:t>
      </w:r>
    </w:p>
    <w:p>
      <w:pPr>
        <w:spacing w:after="0" w:line="225" w:lineRule="exact"/>
        <w:rPr>
          <w:sz w:val="20"/>
          <w:szCs w:val="20"/>
          <w:color w:val="auto"/>
        </w:rPr>
      </w:pPr>
    </w:p>
    <w:p>
      <w:pPr>
        <w:ind w:left="1300" w:right="56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for issuance and, when the Shares are issued and paid for in accordance with the terms and conditions of the Underwriting Agreement,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Editas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1300" w:right="200" w:hanging="320"/>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Warrants have been duly authorized by the Company and, when the Common Stock Warrants are executed by the Company and delivered and paid for in accordance with the terms and conditions of the Underwriting Agreement, will constitute valid and legally binding obligations of the Company.</w:t>
      </w:r>
    </w:p>
    <w:p>
      <w:pPr>
        <w:spacing w:after="0" w:line="175" w:lineRule="exact"/>
        <w:rPr>
          <w:rFonts w:ascii="Times New Roman" w:cs="Times New Roman" w:eastAsia="Times New Roman" w:hAnsi="Times New Roman"/>
          <w:sz w:val="18"/>
          <w:szCs w:val="18"/>
          <w:color w:val="auto"/>
        </w:rPr>
      </w:pPr>
    </w:p>
    <w:p>
      <w:pPr>
        <w:jc w:val="both"/>
        <w:ind w:left="1300" w:right="140" w:hanging="320"/>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by the Company and, when the Pre-Funded Warrants are issued and paid for upon exercise of the Common Stock Warrants in accordance with the terms of the Common Stock Warrants, will constitute valid and legally binding obligations of the Company.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reserved for issuance and, when issued and paid for upon exercise in accordance with the terms of the applicable Warrant, will be validly issued, fully paid and nonassessable.</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accordance with the requirements of Item 601(b)(5) of Regulation S-K under the Securities Act, as an exhibit to the Current Report on Form 8-K to be filed by the Company on the date hereof in connection with the issuance and sale of the Securities and to the use of our name therein and in the Prospectuses under the caption “Legal Matters.” In giving such consent, we do not hereby admit that we are in the category of persons whose consent is required under Section 7 of the Securities Act or the rules and regulations of the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217295" cy="539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1729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Editas Medicine Announces Pricing of Up to $319.4 Million Public Offering</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CAMBRIDGE, Mass., May 26, 2026 </w:t>
      </w:r>
      <w:r>
        <w:rPr>
          <w:rFonts w:ascii="Times New Roman" w:cs="Times New Roman" w:eastAsia="Times New Roman" w:hAnsi="Times New Roman"/>
          <w:sz w:val="18"/>
          <w:szCs w:val="18"/>
          <w:color w:val="auto"/>
        </w:rPr>
        <w:t>– Editas Medicine, Inc. (Nasdaq: EDIT), a pioneering gene editing company developing transformative medicines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serious diseases, today announced the pricing of an underwritten public offering of 55,555,556 shares of its common stock and accompanying common stock warrants to purchase an aggregate of 55,555,556 shares of common stock (or pre-funded warrants in lieu thereof). Each share of common stock and accompanying common stock warrant are being sold together at a combined public offering price of $2.25. The aggregate gross proceeds from the offering are expected to be approximately $125.0 million (assuming no exercise of the common stock warrants), before deducting underwriting discounts and commissions and offering expenses. If all of the common stock warrants are exercised at their exercise price, the Company would receive additional gross proceeds from the offering of approximately $194.4 million before deducting underwriting discounts and commissions and offering expenses.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Each common stock warrant will be exercisable for shares of common stock (or pre-funded warrants in lieu thereof), will have an exercise price of $3.50 per share (or $3.4999 per share if exercised for pre-funded warrants), will be exercisable immediately and will expire on the earlier of (i) the date that is thirty (30) days following the first public announcement by the Company of Phase 1 clinical data for the Company’s product candidate, EDIT-401, that discloses at least three patients in the trial that each demonstrated greater than 80% reduction in LDL-cholesterol as compared to baseline with at least one</w:t>
      </w:r>
    </w:p>
    <w:p>
      <w:pPr>
        <w:spacing w:after="0" w:line="3" w:lineRule="exact"/>
        <w:rPr>
          <w:sz w:val="20"/>
          <w:szCs w:val="20"/>
          <w:color w:val="auto"/>
        </w:rPr>
      </w:pPr>
    </w:p>
    <w:p>
      <w:pPr>
        <w:ind w:right="340" w:firstLine="8"/>
        <w:spacing w:after="0" w:line="255"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of follow-up and (ii) three years from the date of issuance. Any pre-funded warrants issued upon the exercise of common stock warrants will have an exercise price of $0.0001 per share of common stock, will be immediately exercisable and will expire on the date the pre-funded warrant is exercised in full.</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of the securities in the offering are being sold by Editas Medicine. The offering is expected to close on or about May 27, 2026, subject to satisfaction of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and Wells Fargo Securities are acting as joint book-running managers for the offering.</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securities are being offered pursuant to an effective shelf registration statement on Form S-3 (File No. 333-277471) that was filed with the Securities and Exchange Commission (SEC) on February 28, 2024, as amended by Post-Effective Amendment No. 1 to Form S-3 Registration Statement and Post-Effective Amendment No. 2 to Form S-3 Registration Statement, each filed with the SEC on March 5, 2025, and declared effective on March 21, 2025. The offering is being made only by means of a prospectus supplement and accompanying prospectus that form a part of the registration statement. A preliminary prospectus supplement and accompanying prospectus relating to and describing the terms of the offering have been filed with the SEC and are available at www.sec.gov. A final prospectus supplement relating to the offering will be filed with the SEC and will be available for free on the SEC’s website at www.sec.gov. Copies of the final prospectus supplement may be obtained, when available, by contacting Cantor Fitzgerald &amp; Co., Attention: Capital Markets, 110 East 59th Street, 6th Floor New York, New York 10022, Email: prospectus@cantor.com; or Wells Fargo Securities, LLC, Attention: Equity Syndicate Department, 90 South 7th Street, 5th Floor, Minneapolis, Minnesota 55402, at (800) 645-3751 (option #5) or email a request to WFScustomerservice@wellsfargo.com.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3" w:name="page84"/>
    <w:bookmarkEnd w:id="83"/>
    <w:p>
      <w:pPr>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Editas Medicine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pioneering gene editing company, Editas Medicine is focused on translating the power and potential of CRISPR genome editing systems into a robust pipeline of transformative in vivo medicines for people living with serious diseases around the world. Editas Medicine aims to discover, develop, manufacture, and commercialize durable, precision in vivo gene editing medicines for a broad class of diseases. Editas Medicine is the exclusive licensee of Broad Institute’s Cas12a patent estate and Broad Institute and Harvard University’s Cas9 patent estates for human medicines.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including statements about the anticipated closing of the offering. The words “anticipate,” “believe,” “estimate,” “expect,” “intend,” “may,” “plan,” “predict,” “project,”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the satisfaction of customary closing conditions related to the public offering and the impact of general economic, industry or political conditions in the United States or internationally. These and other risks are described in greater detail under the captions “Risk Factor Summary” and “Risk Factors” included in the Company’s Annual Report on Form 10-K for the fiscal year ended December 31, 2025 filed with the SEC on March 9, 2026 and in the Company’s subsequent filings with the SEC, the Company’s preliminary prospectus supplement filed with the SEC on May 26, 2026, and other filings the Company may make with the SEC in the future. Any forward-looking statements contained in this press release speak only as of the date hereof, and the Company expressly disclaims any obligation to update any forward-looking statements, whether as a result of new information, future events or otherwise.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ir@editasmed.com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media@editasmed.com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25"/>
    </w:lvl>
  </w:abstractNum>
  <w:abstractNum w:abstractNumId="2">
    <w:nsid w:val="4E6AFB66"/>
    <w:multiLevelType w:val="hybridMultilevel"/>
    <w:lvl w:ilvl="0">
      <w:lvlJc w:val="left"/>
      <w:lvlText w:val="%1"/>
      <w:numFmt w:val="lowerLetter"/>
      <w:start w:val="1"/>
    </w:lvl>
    <w:lvl w:ilvl="1">
      <w:lvlJc w:val="left"/>
      <w:lvlText w:val="(%2)"/>
      <w:numFmt w:val="lowerLetter"/>
      <w:start w:val="27"/>
    </w:lvl>
  </w:abstractNum>
  <w:abstractNum w:abstractNumId="3">
    <w:nsid w:val="25E45D32"/>
    <w:multiLevelType w:val="hybridMultilevel"/>
    <w:lvl w:ilvl="0">
      <w:lvlJc w:val="left"/>
      <w:lvlText w:val="(%1)"/>
      <w:numFmt w:val="lowerLetter"/>
      <w:start w:val="61"/>
    </w:lvl>
    <w:lvl w:ilvl="1">
      <w:lvlJc w:val="left"/>
      <w:lvlText w:val="%2"/>
      <w:numFmt w:val="lowerLetter"/>
      <w:start w:val="1"/>
    </w:lvl>
  </w:abstractNum>
  <w:abstractNum w:abstractNumId="4">
    <w:nsid w:val="519B500D"/>
    <w:multiLevelType w:val="hybridMultilevel"/>
    <w:lvl w:ilvl="0">
      <w:lvlJc w:val="left"/>
      <w:lvlText w:val="(%1)"/>
      <w:numFmt w:val="lowerLetter"/>
      <w:start w:val="28"/>
    </w:lvl>
  </w:abstractNum>
  <w:abstractNum w:abstractNumId="5">
    <w:nsid w:val="431BD7B7"/>
    <w:multiLevelType w:val="hybridMultilevel"/>
    <w:lvl w:ilvl="0">
      <w:lvlJc w:val="left"/>
      <w:lvlText w:val="%1"/>
      <w:numFmt w:val="lowerLetter"/>
      <w:start w:val="1"/>
    </w:lvl>
    <w:lvl w:ilvl="1">
      <w:lvlJc w:val="left"/>
      <w:lvlText w:val="(%2)"/>
      <w:numFmt w:val="lowerLetter"/>
      <w:start w:val="30"/>
    </w:lvl>
  </w:abstractNum>
  <w:abstractNum w:abstractNumId="6">
    <w:nsid w:val="3F2DBA31"/>
    <w:multiLevelType w:val="hybridMultilevel"/>
    <w:lvl w:ilvl="0">
      <w:lvlJc w:val="left"/>
      <w:lvlText w:val="(%1)"/>
      <w:numFmt w:val="lowerLetter"/>
      <w:start w:val="22"/>
    </w:lvl>
    <w:lvl w:ilvl="1">
      <w:lvlJc w:val="left"/>
      <w:lvlText w:val="(%2)"/>
      <w:numFmt w:val="lowerLetter"/>
      <w:start w:val="31"/>
    </w:lvl>
  </w:abstractNum>
  <w:abstractNum w:abstractNumId="7">
    <w:nsid w:val="7C83E458"/>
    <w:multiLevelType w:val="hybridMultilevel"/>
    <w:lvl w:ilvl="0">
      <w:lvlJc w:val="left"/>
      <w:lvlText w:val="%1"/>
      <w:numFmt w:val="lowerLetter"/>
      <w:start w:val="1"/>
    </w:lvl>
    <w:lvl w:ilvl="1">
      <w:lvlJc w:val="left"/>
      <w:lvlText w:val="(%2)"/>
      <w:numFmt w:val="lowerLetter"/>
      <w:start w:val="33"/>
    </w:lvl>
  </w:abstractNum>
  <w:abstractNum w:abstractNumId="8">
    <w:nsid w:val="257130A3"/>
    <w:multiLevelType w:val="hybridMultilevel"/>
    <w:lvl w:ilvl="0">
      <w:lvlJc w:val="left"/>
      <w:lvlText w:val="(%1)"/>
      <w:numFmt w:val="lowerLetter"/>
      <w:start w:val="9"/>
    </w:lvl>
    <w:lvl w:ilvl="1">
      <w:lvlJc w:val="left"/>
      <w:lvlText w:val="(%2)"/>
      <w:numFmt w:val="lowerLetter"/>
      <w:start w:val="34"/>
    </w:lvl>
  </w:abstractNum>
  <w:abstractNum w:abstractNumId="9">
    <w:nsid w:val="62BBD95A"/>
    <w:multiLevelType w:val="hybridMultilevel"/>
    <w:lvl w:ilvl="0">
      <w:lvlJc w:val="left"/>
      <w:lvlText w:val="(%1)"/>
      <w:numFmt w:val="lowerLetter"/>
      <w:start w:val="36"/>
    </w:lvl>
  </w:abstractNum>
  <w:abstractNum w:abstractNumId="10">
    <w:nsid w:val="436C6125"/>
    <w:multiLevelType w:val="hybridMultilevel"/>
    <w:lvl w:ilvl="0">
      <w:lvlJc w:val="left"/>
      <w:lvlText w:val="(%1)"/>
      <w:numFmt w:val="lowerLetter"/>
      <w:start w:val="37"/>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1)"/>
      <w:numFmt w:val="lowerRoman"/>
      <w:start w:val="3"/>
    </w:lvl>
  </w:abstractNum>
  <w:abstractNum w:abstractNumId="13">
    <w:nsid w:val="721DA317"/>
    <w:multiLevelType w:val="hybridMultilevel"/>
    <w:lvl w:ilvl="0">
      <w:lvlJc w:val="left"/>
      <w:lvlText w:val="(%1)"/>
      <w:numFmt w:val="lowerLetter"/>
      <w:start w:val="2"/>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lowerRoman"/>
      <w:start w:val="3"/>
    </w:lvl>
  </w:abstractNum>
  <w:abstractNum w:abstractNumId="16">
    <w:nsid w:val="6763845E"/>
    <w:multiLevelType w:val="hybridMultilevel"/>
    <w:lvl w:ilvl="0">
      <w:lvlJc w:val="left"/>
      <w:lvlText w:val="(%1)"/>
      <w:numFmt w:val="lowerRoman"/>
      <w:start w:val="4"/>
    </w:lvl>
  </w:abstractNum>
  <w:abstractNum w:abstractNumId="17">
    <w:nsid w:val="75A2A8D4"/>
    <w:multiLevelType w:val="hybridMultilevel"/>
    <w:lvl w:ilvl="0">
      <w:lvlJc w:val="left"/>
      <w:lvlText w:val="(%1)"/>
      <w:numFmt w:val="lowerRoman"/>
      <w:start w:val="3"/>
    </w:lvl>
  </w:abstractNum>
  <w:abstractNum w:abstractNumId="18">
    <w:nsid w:val="8EDBDAB"/>
    <w:multiLevelType w:val="hybridMultilevel"/>
    <w:lvl w:ilvl="0">
      <w:lvlJc w:val="left"/>
      <w:lvlText w:val="(%1)"/>
      <w:numFmt w:val="lowerLetter"/>
      <w:start w:val="2"/>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5"/>
    </w:lvl>
  </w:abstractNum>
  <w:abstractNum w:abstractNumId="21">
    <w:nsid w:val="B03E0C6"/>
    <w:multiLevelType w:val="hybridMultilevel"/>
    <w:lvl w:ilvl="0">
      <w:lvlJc w:val="left"/>
      <w:lvlText w:val="(%1)"/>
      <w:numFmt w:val="upperLetter"/>
      <w:start w:val="1"/>
    </w:lvl>
  </w:abstractNum>
  <w:abstractNum w:abstractNumId="22">
    <w:nsid w:val="189A769B"/>
    <w:multiLevelType w:val="hybridMultilevel"/>
    <w:lvl w:ilvl="0">
      <w:lvlJc w:val="left"/>
      <w:lvlText w:val="(%1)"/>
      <w:numFmt w:val="lowerRoman"/>
      <w:start w:val="3"/>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lowerLetter"/>
      <w:start w:val="2"/>
    </w:lvl>
  </w:abstractNum>
  <w:abstractNum w:abstractNumId="25">
    <w:nsid w:val="2CA88611"/>
    <w:multiLevelType w:val="hybridMultilevel"/>
    <w:lvl w:ilvl="0">
      <w:lvlJc w:val="left"/>
      <w:lvlText w:val="(%1)"/>
      <w:numFmt w:val="lowerLetter"/>
      <w:start w:val="8"/>
    </w:lvl>
  </w:abstractNum>
  <w:abstractNum w:abstractNumId="26">
    <w:nsid w:val="836C40E"/>
    <w:multiLevelType w:val="hybridMultilevel"/>
    <w:lvl w:ilvl="0">
      <w:lvlJc w:val="left"/>
      <w:lvlText w:val="(%1)"/>
      <w:numFmt w:val="decimal"/>
      <w:start w:val="1"/>
    </w:lvl>
    <w:lvl w:ilvl="1">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2026-05-26T16:01:00Z</dcterms:created>
  <dcterms:modified xsi:type="dcterms:W3CDTF">2026-05-26T16:01:00Z</dcterms:modified>
</cp:coreProperties>
</file>