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Editas Medicine,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8,889,000.00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8,889,000.00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8,889,000.00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Peter Kolchinsky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8,889,000.00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8,889,000.00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8,889,000.00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right="5159" w:hanging="1112"/>
        <w:spacing w:after="0" w:line="489" w:lineRule="auto"/>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HC, IN</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Rajeev Shah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8,889,000.00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8,889,000.00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8,889,000.00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 Capital Healthcare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8,889,000.00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8,889,000.00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8,889,000.00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10000"/>
          </w:cols>
          <w:pgMar w:left="360" w:top="112" w:right="4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Editas Medicine,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 Hurley Street, Cambridge, MA, 02141.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hanging="912"/>
        <w:spacing w:after="0" w:line="24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names of the persons filing this report (collectively, the "Reporting Persons") are: RA Capital Management, L.P. ("RA Capital") Peter Kolchinsky ("Dr. Kolchinsky") Rajeev Shah ("Mr. Shah") RA Capital Healthcare Fund, L.P. (the "Fund") The Reporting Persons expressly disclaim status as a "group" for purposes of this Schedule 13G.</w:t>
      </w:r>
    </w:p>
    <w:p>
      <w:pPr>
        <w:sectPr>
          <w:pgSz w:w="11900" w:h="16838" w:orient="portrait"/>
          <w:cols w:equalWidth="0" w:num="1">
            <w:col w:w="11120"/>
          </w:cols>
          <w:pgMar w:left="360" w:top="112" w:right="419" w:bottom="0" w:gutter="0" w:footer="0" w:header="0"/>
          <w:type w:val="continuous"/>
        </w:sect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22"/>
          <w:szCs w:val="22"/>
          <w:color w:val="auto"/>
        </w:rPr>
        <w:t>The address of the principal business office of each of the Reporting Persons is: c/o RA Capital Management, L.P., 200 Berkeley Street, 18th Floor, Boston MA 02116</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RA Capital and the Fund are Delaware limited partnerships. Dr. Kolchinsky and Mr. Shah are United States citizens.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right="362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10200"/>
          </w:cols>
          <w:pgMar w:left="360" w:top="112" w:right="419" w:bottom="0" w:gutter="0" w:footer="0" w:header="0"/>
          <w:type w:val="continuous"/>
        </w:sectPr>
      </w:pPr>
    </w:p>
    <w:bookmarkStart w:id="4" w:name="page5"/>
    <w:bookmarkEnd w:id="4"/>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line="245" w:lineRule="auto"/>
        <w:rPr>
          <w:sz w:val="20"/>
          <w:szCs w:val="20"/>
          <w:color w:val="auto"/>
        </w:rPr>
      </w:pPr>
      <w:r>
        <w:rPr>
          <w:rFonts w:ascii="Times New Roman" w:cs="Times New Roman" w:eastAsia="Times New Roman" w:hAnsi="Times New Roman"/>
          <w:sz w:val="21"/>
          <w:szCs w:val="21"/>
          <w:color w:val="auto"/>
        </w:rPr>
        <w:t>Row 9 of each Reporting Person's cover page to this Schedule 13G sets forth the aggregate number of shares of common stock of the Issuer beneficially owned by such Reporting Person and is incorporated by reference. The Fund directly holds 8,889,000 shares of the Issuer's common stock. RA Capital Healthcare Fund GP, LLC is the general partner of the Fund. The general partner of RA Capital is RA Capital Management GP, LLC, of which Dr. Kolchinsky and Mr. Shah are the controlling persons. RA Capital serves as investment adviser for the Fund and may be deemed a beneficial owner, for purposes of Section 13(d) of the Act, of any securities of the Issuer held by the Fund. The Fund</w:t>
      </w:r>
    </w:p>
    <w:p>
      <w:pPr>
        <w:spacing w:after="0" w:line="3" w:lineRule="exact"/>
        <w:rPr>
          <w:sz w:val="20"/>
          <w:szCs w:val="20"/>
          <w:color w:val="auto"/>
        </w:rPr>
      </w:pPr>
    </w:p>
    <w:p>
      <w:pPr>
        <w:ind w:left="920" w:right="120" w:hanging="912"/>
        <w:spacing w:after="0" w:line="211"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has delegated to RA Capital the sole power to vote and the sole power to dispose of all securities held in the Fund's portfolio, including the shares of the Issuer's common stock reported herein. Because the Fund has divested voting and investment power over the reported securities it holds and may not revoke that delegation on less than 61 days' notice, the Fund disclaims beneficial ownership of the securities it holds for purposes of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13G other than for the purpose of determining their obligations under Section 13(d) of the Act, and the filing of this Schedule 13G shall not be deemed an admission that either RA Capital, Dr. Kolchinsky, or Mr. Shah is the beneficial owner of such securities for any other purpose.</w:t>
      </w:r>
    </w:p>
    <w:p>
      <w:pPr>
        <w:spacing w:after="0" w:line="23"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Row 11 of each Reporting Person's cover page to this Schedule 13G sets forth the percentages of shares of common</w:t>
      </w:r>
    </w:p>
    <w:p>
      <w:pPr>
        <w:spacing w:after="0" w:line="14" w:lineRule="exact"/>
        <w:rPr>
          <w:rFonts w:ascii="Times New Roman" w:cs="Times New Roman" w:eastAsia="Times New Roman" w:hAnsi="Times New Roman"/>
          <w:sz w:val="43"/>
          <w:szCs w:val="43"/>
          <w:color w:val="auto"/>
          <w:vertAlign w:val="subscript"/>
        </w:rPr>
      </w:pPr>
    </w:p>
    <w:p>
      <w:pPr>
        <w:ind w:left="920" w:right="80" w:hanging="912"/>
        <w:spacing w:after="0" w:line="234"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of the Issuer beneficially owned by such Reporting Person and is incorporated by reference. Such percentage is based upon 153,461,838 shares of common stock outstanding as of May 27, 2026, as reported in the Issuer's prospectus supplement dated May 26, 2026 filed with the Securities and Exchange Commission (the "SEC") on May 26, 2026. %</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280"/>
        <w:spacing w:after="0" w:line="282" w:lineRule="auto"/>
        <w:rPr>
          <w:sz w:val="20"/>
          <w:szCs w:val="20"/>
          <w:color w:val="auto"/>
        </w:rPr>
      </w:pPr>
      <w:r>
        <w:rPr>
          <w:rFonts w:ascii="Times New Roman" w:cs="Times New Roman" w:eastAsia="Times New Roman" w:hAnsi="Times New Roman"/>
          <w:sz w:val="21"/>
          <w:szCs w:val="21"/>
          <w:color w:val="auto"/>
        </w:rPr>
        <w:t>Row 5 of each Reporting Person's cover page to this Schedule 13G sets forth the sole power to vote or to direct the vote of securities of the Issuer beneficially owned by such Reporting Person and is incorporated by reference.</w:t>
      </w:r>
    </w:p>
    <w:p>
      <w:pPr>
        <w:spacing w:after="0" w:line="2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80"/>
        <w:spacing w:after="0" w:line="258" w:lineRule="auto"/>
        <w:rPr>
          <w:sz w:val="20"/>
          <w:szCs w:val="20"/>
          <w:color w:val="auto"/>
        </w:rPr>
      </w:pPr>
      <w:r>
        <w:rPr>
          <w:rFonts w:ascii="Times New Roman" w:cs="Times New Roman" w:eastAsia="Times New Roman" w:hAnsi="Times New Roman"/>
          <w:sz w:val="22"/>
          <w:szCs w:val="22"/>
          <w:color w:val="auto"/>
        </w:rPr>
        <w:t>Row 6 of each Reporting Person's cover page to this Schedule 13G sets forth the shared power to vote or to direct the vote of securities of the Issuer beneficially owned by such Reporting Person and is incorporated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20"/>
        <w:spacing w:after="0" w:line="282" w:lineRule="auto"/>
        <w:rPr>
          <w:sz w:val="20"/>
          <w:szCs w:val="20"/>
          <w:color w:val="auto"/>
        </w:rPr>
      </w:pPr>
      <w:r>
        <w:rPr>
          <w:rFonts w:ascii="Times New Roman" w:cs="Times New Roman" w:eastAsia="Times New Roman" w:hAnsi="Times New Roman"/>
          <w:sz w:val="21"/>
          <w:szCs w:val="21"/>
          <w:color w:val="auto"/>
        </w:rPr>
        <w:t>Row 7 of each Reporting Person's cover page to this Schedule 13G sets forth the sole power to dispose or to direct the disposition of securities of the Issuer beneficially owned by such Reporting Person and is incorporated by reference.</w:t>
      </w:r>
    </w:p>
    <w:p>
      <w:pPr>
        <w:spacing w:after="0" w:line="2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120"/>
        <w:spacing w:after="0" w:line="244" w:lineRule="auto"/>
        <w:rPr>
          <w:sz w:val="20"/>
          <w:szCs w:val="20"/>
          <w:color w:val="auto"/>
        </w:rPr>
      </w:pPr>
      <w:r>
        <w:rPr>
          <w:rFonts w:ascii="Times New Roman" w:cs="Times New Roman" w:eastAsia="Times New Roman" w:hAnsi="Times New Roman"/>
          <w:sz w:val="22"/>
          <w:szCs w:val="22"/>
          <w:color w:val="auto"/>
        </w:rPr>
        <w:t>Row 8 of each Reporting Person's cover page to this Schedule 13G sets forth the shared power to dispose or to direct the disposition of securities of the Issuer beneficially owned by such Reporting Person and is incorporated by reference.</w:t>
      </w:r>
    </w:p>
    <w:p>
      <w:pPr>
        <w:spacing w:after="0" w:line="25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ectPr>
          <w:pgSz w:w="11900" w:h="16838" w:orient="portrait"/>
          <w:cols w:equalWidth="0" w:num="1">
            <w:col w:w="11140"/>
          </w:cols>
          <w:pgMar w:left="360" w:top="126" w:right="399"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RA Capital Management, L.P.</w:t>
      </w:r>
    </w:p>
    <w:p>
      <w:pPr>
        <w:spacing w:after="0" w:line="152" w:lineRule="exact"/>
        <w:rPr>
          <w:sz w:val="20"/>
          <w:szCs w:val="20"/>
          <w:color w:val="auto"/>
        </w:rPr>
      </w:pPr>
    </w:p>
    <w:p>
      <w:pPr>
        <w:ind w:left="5040"/>
        <w:spacing w:after="0"/>
        <w:tabs>
          <w:tab w:leader="none" w:pos="6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spacing w:after="0" w:line="4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Name/Title: By Peter Kolchinsky, Authorized Signatory</w:t>
      </w:r>
    </w:p>
    <w:p>
      <w:pPr>
        <w:spacing w:after="0" w:line="44" w:lineRule="exact"/>
        <w:rPr>
          <w:sz w:val="20"/>
          <w:szCs w:val="20"/>
          <w:color w:val="auto"/>
        </w:rPr>
      </w:pPr>
    </w:p>
    <w:p>
      <w:pPr>
        <w:ind w:left="5040"/>
        <w:spacing w:after="0"/>
        <w:tabs>
          <w:tab w:leader="none" w:pos="61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06/03/2026</w:t>
      </w:r>
    </w:p>
    <w:p>
      <w:pPr>
        <w:spacing w:after="0" w:line="15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Peter Kolchinsky</w:t>
      </w:r>
    </w:p>
    <w:p>
      <w:pPr>
        <w:spacing w:after="0" w:line="152"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Name/Title: Peter Kolchinsky</w:t>
      </w:r>
    </w:p>
    <w:p>
      <w:pPr>
        <w:spacing w:after="0" w:line="44"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06/03/2026</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Rajeev Shah</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Rajeev Shah</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Rajeev Shah</w:t>
      </w:r>
    </w:p>
    <w:p>
      <w:pPr>
        <w:spacing w:after="0" w:line="44"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06/03/2026</w:t>
      </w:r>
    </w:p>
    <w:p>
      <w:pPr>
        <w:spacing w:after="0" w:line="15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RA Capital Healthcare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RA Capital Healthcare Fund GP, LLC, its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 By Peter Kolchinsky, Manager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06/03/2026</w:t>
      </w:r>
    </w:p>
    <w:p>
      <w:pPr>
        <w:spacing w:after="0" w:line="108" w:lineRule="exact"/>
        <w:rPr>
          <w:sz w:val="20"/>
          <w:szCs w:val="20"/>
          <w:color w:val="auto"/>
        </w:rPr>
      </w:pPr>
    </w:p>
    <w:p>
      <w:pPr>
        <w:jc w:val="center"/>
        <w:ind w:right="80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w:t>
      </w:r>
    </w:p>
    <w:p>
      <w:pPr>
        <w:sectPr>
          <w:pgSz w:w="11900" w:h="16838" w:orient="portrait"/>
          <w:cols w:equalWidth="0" w:num="1">
            <w:col w:w="11140"/>
          </w:cols>
          <w:pgMar w:left="360" w:top="111" w:right="399" w:bottom="1440" w:gutter="0" w:footer="0" w:header="0"/>
          <w:type w:val="continuous"/>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JOINT FILING AGREEMENT</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Joint Filing Agreement, dated as of June 3, 2026, is by and among RA Capital Management, L.P., Peter Kolchinsky, Rajeev Shah and RA Capital Healthcare Fund, L.P. (the foregoing are collectively referred to herein as the “Filers”).</w:t>
      </w:r>
    </w:p>
    <w:p>
      <w:pPr>
        <w:spacing w:after="0" w:line="185"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Each of the Filers may be required to file with the United States Securities and Exchange Commission a statement on Schedule 13G and/or 13D with respect to the common stock, $0.0001 par value per share of Editas Medicine, Inc. beneficially owned by them from time to time.</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Joint Filing Agreement may be terminated by any of the Filers upon one week’s prior written notice or such lesser period of notice as the Filers may mutually agree.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Executed and delivered as of the date first above written.</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RA CAPITAL MANAGEMENT, L.P.</w:t>
      </w:r>
    </w:p>
    <w:p>
      <w:pPr>
        <w:spacing w:after="0" w:line="23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Peter Kolchinsky</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Name: Peter Kolchinsky</w:t>
      </w:r>
    </w:p>
    <w:p>
      <w:pPr>
        <w:ind w:left="66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PETER KOLCHINSKY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Peter Kolchinsky</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RAJEEV SHAH</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Rajeev Shah</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RA CAPITAL HEALTHCARE FUND, L.P.</w:t>
      </w:r>
    </w:p>
    <w:p>
      <w:pPr>
        <w:spacing w:after="0" w:line="23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RA Capital Healthcare Fund GP, LLC</w:t>
      </w:r>
    </w:p>
    <w:p>
      <w:pPr>
        <w:spacing w:after="0" w:line="1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2"/>
          <w:szCs w:val="22"/>
          <w:color w:val="auto"/>
        </w:rPr>
        <w:t>General Partner</w:t>
      </w:r>
    </w:p>
    <w:p>
      <w:pPr>
        <w:spacing w:after="0" w:line="20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Peter Kolchinsky</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Name: Peter Kolchinsky</w:t>
      </w:r>
    </w:p>
    <w:p>
      <w:pPr>
        <w:ind w:left="660"/>
        <w:spacing w:after="0"/>
        <w:rPr>
          <w:sz w:val="20"/>
          <w:szCs w:val="20"/>
          <w:color w:val="auto"/>
        </w:rPr>
      </w:pPr>
      <w:r>
        <w:rPr>
          <w:rFonts w:ascii="Times New Roman" w:cs="Times New Roman" w:eastAsia="Times New Roman" w:hAnsi="Times New Roman"/>
          <w:sz w:val="22"/>
          <w:szCs w:val="22"/>
          <w:color w:val="auto"/>
        </w:rPr>
        <w:t>Title:  Manager</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decimal"/>
      <w:start w:val="12"/>
    </w:lvl>
  </w:abstractNum>
  <w:abstractNum w:abstractNumId="3">
    <w:nsid w:val="507ED7AB"/>
    <w:multiLevelType w:val="hybridMultilevel"/>
    <w:lvl w:ilvl="0">
      <w:lvlJc w:val="left"/>
      <w:lvlText w:val="2"/>
      <w:numFmt w:val="bullet"/>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3"/>
    </w:lvl>
  </w:abstractNum>
  <w:abstractNum w:abstractNumId="6">
    <w:nsid w:val="79E2A9E3"/>
    <w:multiLevelType w:val="hybridMultilevel"/>
    <w:lvl w:ilvl="0">
      <w:lvlJc w:val="left"/>
      <w:lvlText w:val="(%1)"/>
      <w:numFmt w:val="lowerLetter"/>
      <w:start w:val="1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2026-06-03T15:53:48Z</dcterms:created>
  <dcterms:modified xsi:type="dcterms:W3CDTF">2026-06-03T15:53:48Z</dcterms:modified>
</cp:coreProperties>
</file>