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301-1_s3.htm"/>
        <w:bookmarkStart w:id="1" w:name="kstm2624301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9">
                <wp:simplePos x="0" y="0"/>
                <wp:positionH relativeFrom="page">
                  <wp:posOffset>617855</wp:posOffset>
                </wp:positionH>
                <wp:positionV relativeFrom="page">
                  <wp:posOffset>9383395</wp:posOffset>
                </wp:positionV>
                <wp:extent cx="7560310" cy="381000"/>
                <wp:effectExtent l="0" t="0" r="0" b="0"/>
                <wp:wrapNone/>
                <wp:docPr id="1" name="Frame174"/>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2" name="Frame8"/>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31,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5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1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30" w:before="9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2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REGISTRATION STATEMENT</w:t>
      </w:r>
      <w:r>
        <w:rPr>
          <w:rFonts w:ascii="Times New Roman;Times;serif" w:hAnsi="Times New Roman;Times;serif"/>
          <w:b/>
          <w:i/>
          <w:caps w:val="false"/>
          <w:smallCaps w:val="false"/>
          <w:color w:val="000000"/>
          <w:sz w:val="18"/>
        </w:rPr>
        <w:t xml:space="preserve"> </w:t>
        <w:br/>
      </w:r>
      <w:r>
        <w:rPr>
          <w:rFonts w:ascii="Times New Roman;Times;serif" w:hAnsi="Times New Roman;Times;serif"/>
          <w:b/>
          <w:i/>
          <w:caps w:val="false"/>
          <w:smallCaps w:val="false"/>
          <w:color w:val="000000"/>
          <w:spacing w:val="-4"/>
          <w:sz w:val="18"/>
        </w:rPr>
        <w:t>UNDER 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lineRule="atLeast" w:line="330" w:before="9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Editas Medicine,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60" w:before="0" w:after="283"/>
        <w:jc w:val="center"/>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(Exact name of registrant as specified in its charter)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60" w:before="0"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46-4097528</w:t>
            </w:r>
            <w:r>
              <w:rPr>
                <w:b/>
                <w:sz w:val="18"/>
              </w:rPr>
              <w:t xml:space="preserve"> </w:t>
            </w:r>
          </w:p>
          <w:p>
            <w:pPr>
              <w:pStyle w:val="TableContents"/>
              <w:bidi w:val="0"/>
              <w:spacing w:lineRule="atLeast" w:line="160" w:before="0" w:after="283"/>
              <w:jc w:val="center"/>
              <w:rPr/>
            </w:pPr>
            <w:r>
              <w:rPr>
                <w:spacing w:val="3"/>
              </w:rPr>
              <w:t xml:space="preserve">(I.R.S. Employer </w:t>
            </w:r>
            <w:r>
              <w:rPr/>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20"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11 Hurley Street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Cambridge, Massachusetts 02141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(617) 401-9000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60" w:before="0" w:after="283"/>
        <w:jc w:val="center"/>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(Address, including zip code, and telephone number, including area code, of registrant’s principal executive offices) </w:t>
      </w:r>
    </w:p>
    <w:p>
      <w:pPr>
        <w:pStyle w:val="TextBody"/>
        <w:bidi w:val="0"/>
        <w:spacing w:before="12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Gilmore O’Neill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President and Chief Executive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Editas Medicine, Inc.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11 Hurley Street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Cambridge, Massachusetts 02141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(617) 401-9000 </w:t>
      </w:r>
    </w:p>
    <w:p>
      <w:pPr>
        <w:pStyle w:val="TextBody"/>
        <w:bidi w:val="0"/>
        <w:spacing w:lineRule="atLeast" w:line="160" w:before="24" w:after="283"/>
        <w:jc w:val="center"/>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(Name, address, including zip code, and telephone number, including area code, of agent for service) </w:t>
      </w:r>
    </w:p>
    <w:p>
      <w:pPr>
        <w:pStyle w:val="TextBody"/>
        <w:bidi w:val="0"/>
        <w:spacing w:before="12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4" w:after="283"/>
        <w:jc w:val="center"/>
        <w:rPr>
          <w:rFonts w:ascii="Times New Roman;Times;serif" w:hAnsi="Times New Roman;Times;serif"/>
          <w:b w:val="false"/>
          <w:i/>
          <w:caps w:val="false"/>
          <w:smallCaps w:val="false"/>
          <w:color w:val="000000"/>
          <w:spacing w:val="4"/>
          <w:sz w:val="18"/>
        </w:rPr>
      </w:pPr>
      <w:r>
        <w:rPr>
          <w:rFonts w:ascii="Times New Roman;Times;serif" w:hAnsi="Times New Roman;Times;serif"/>
          <w:b w:val="false"/>
          <w:i/>
          <w:caps w:val="false"/>
          <w:smallCaps w:val="false"/>
          <w:color w:val="000000"/>
          <w:spacing w:val="4"/>
          <w:sz w:val="18"/>
        </w:rPr>
        <w:t xml:space="preserve">Copy to: </w:t>
      </w:r>
    </w:p>
    <w:p>
      <w:pPr>
        <w:pStyle w:val="TextBody"/>
        <w:bidi w:val="0"/>
        <w:spacing w:lineRule="atLeast" w:line="200" w:before="9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Stuart M. Falber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Wilmer Cutler Pickering Hale and Dorr LLP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60 State Street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Boston, Massachusetts 02109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(617) 526-6000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pacing w:val="4"/>
          <w:sz w:val="18"/>
        </w:rPr>
        <w:t xml:space="preserve">: From time to time after this registration statement becomes effective.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9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68" w:type="dxa"/>
        <w:jc w:val="left"/>
        <w:tblInd w:w="540" w:type="dxa"/>
        <w:tblLayout w:type="fixed"/>
        <w:tblCellMar>
          <w:top w:w="0" w:type="dxa"/>
          <w:left w:w="0" w:type="dxa"/>
          <w:bottom w:w="0" w:type="dxa"/>
          <w:right w:w="0" w:type="dxa"/>
        </w:tblCellMar>
      </w:tblPr>
      <w:tblGrid>
        <w:gridCol w:w="124"/>
        <w:gridCol w:w="22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219200" cy="525780"/>
                      <wp:effectExtent l="0" t="0" r="0" b="0"/>
                      <wp:wrapSquare wrapText="right"/>
                      <wp:docPr id="3"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5240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219200" cy="525780"/>
                      <wp:effectExtent l="0" t="0" r="0" b="0"/>
                      <wp:wrapSquare wrapText="right"/>
                      <wp:docPr id="5"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524000" cy="525780"/>
                      <wp:effectExtent l="0" t="0" r="0" b="0"/>
                      <wp:wrapSquare wrapText="right"/>
                      <wp:docPr id="6"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524000" cy="525780"/>
                      <wp:effectExtent l="0" t="0" r="0" b="0"/>
                      <wp:wrapSquare wrapText="right"/>
                      <wp:docPr id="7"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3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4"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12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contains two prospectuses: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prospectus covering the offering, issuance and sale by us of up to $400,000,000 of our common stock, preferred stock, debt securities, depositary shares, subscription rights, purchase contracts, warrants and/or units from time to time in one or more offerings;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sales agreement prospectus covering the offering, issuance and sale by us of up to a maximum of $150,000,000 of our common stock that may be issued and sold from time to time under a sales agreement with Leerink Partners LLC.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base prospectus immediately follows this explanatory note. The specific terms of any securities to be offered pursuant to the base prospectus, other than the shares offered pursuant to the sales agreement, will be specified in a prospectus supplement to the base prospectus. The specific terms of the securities to be offered pursuant to the sales agreement are specified in the sales agreement prospectus that immediately follows the base prospectus. The $150,000,000 of common stock that may be offered, issued and sold by us under the sales agreement prospectus (the “ATM Shares”) is included in the $400,000,000 of securities that may be offered, issued and sold by us under the base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31,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219325" cy="9239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2219325" cy="9239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Subscription Rights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securities from time to time in one or more offerings of up to $400,000,000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lineRule="atLeast" w:line="240" w:before="160" w:after="283"/>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“EDIT.”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these securities involves significant risks. See the information included under “Risk Factors” on page </w:t>
      </w:r>
      <w:hyperlink w:anchor="tRIFA">
        <w:r>
          <w:rPr>
            <w:rStyle w:val="InternetLink"/>
          </w:rPr>
          <w:t>4</w:t>
        </w:r>
      </w:hyperlink>
      <w:r>
        <w:rPr>
          <w:rFonts w:ascii="Times New Roman;Times;serif" w:hAnsi="Times New Roman;Times;serif"/>
          <w:b/>
          <w:i w:val="false"/>
          <w:caps w:val="false"/>
          <w:smallCaps w:val="false"/>
          <w:color w:val="000000"/>
          <w:spacing w:val="-4"/>
          <w:sz w:val="20"/>
        </w:rPr>
        <w:t xml:space="preserve">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8"/>
        <w:gridCol w:w="109"/>
        <w:gridCol w:w="109"/>
        <w:gridCol w:w="109"/>
        <w:gridCol w:w="109"/>
        <w:gridCol w:w="38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ATP">
              <w:r>
                <w:rPr>
                  <w:rStyle w:val="InternetLink"/>
                  <w:spacing w:val="-4"/>
                </w:rPr>
                <w:t>ABOUT THIS PROSPECTUS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WYCF">
              <w:r>
                <w:rPr>
                  <w:rStyle w:val="InternetLink"/>
                  <w:spacing w:val="-4"/>
                </w:rPr>
                <w:t>2</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IBR">
              <w:r>
                <w:rPr>
                  <w:rStyle w:val="InternetLink"/>
                  <w:spacing w:val="-4"/>
                </w:rPr>
                <w:t>2</w:t>
              </w:r>
            </w:hyperlink>
            <w:hyperlink w:anchor="t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ind w:left="200" w:right="0" w:hanging="200"/>
              <w:jc w:val="left"/>
              <w:rPr/>
            </w:pPr>
            <w:hyperlink w:anchor="tCNRF">
              <w:r>
                <w:rPr>
                  <w:rStyle w:val="InternetLink"/>
                  <w:spacing w:val="-4"/>
                </w:rPr>
                <w:t xml:space="preserve">CAUTIONARY NOTE REGARDING FORWARD-LOOKING STATEMENTS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CNRF">
              <w:r>
                <w:rPr>
                  <w:rStyle w:val="InternetLink"/>
                  <w:spacing w:val="-4"/>
                </w:rPr>
                <w:t>3</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RIFA">
              <w:r>
                <w:rPr>
                  <w:rStyle w:val="InternetLink"/>
                  <w:spacing w:val="-4"/>
                </w:rPr>
                <w:t>4</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EMI">
              <w:r>
                <w:rPr>
                  <w:rStyle w:val="InternetLink"/>
                  <w:spacing w:val="-4"/>
                </w:rPr>
                <w:t xml:space="preserve">EDITAS MEDICINE,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EMI">
              <w:r>
                <w:rPr>
                  <w:rStyle w:val="InternetLink"/>
                  <w:spacing w:val="-4"/>
                </w:rPr>
                <w:t>5</w:t>
              </w:r>
            </w:hyperlink>
            <w:hyperlink w:anchor="tEM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DS">
              <w:r>
                <w:rPr>
                  <w:rStyle w:val="InternetLink"/>
                  <w:spacing w:val="-4"/>
                </w:rPr>
                <w:t>7</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DOCS">
              <w:r>
                <w:rPr>
                  <w:rStyle w:val="InternetLink"/>
                  <w:spacing w:val="-4"/>
                </w:rPr>
                <w:t>16</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DS1">
              <w:r>
                <w:rPr>
                  <w:rStyle w:val="InternetLink"/>
                  <w:spacing w:val="-4"/>
                </w:rPr>
                <w:t>23</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DOSR">
              <w:r>
                <w:rPr>
                  <w:rStyle w:val="InternetLink"/>
                  <w:spacing w:val="-4"/>
                </w:rPr>
                <w:t>26</w:t>
              </w:r>
            </w:hyperlink>
            <w:hyperlink w:anchor="tDOS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PC">
              <w:r>
                <w:rPr>
                  <w:rStyle w:val="InternetLink"/>
                  <w:spacing w:val="-4"/>
                </w:rPr>
                <w:t xml:space="preserve">DESCRIPTION OF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PC">
              <w:r>
                <w:rPr>
                  <w:rStyle w:val="InternetLink"/>
                  <w:spacing w:val="-4"/>
                </w:rPr>
                <w:t>27</w:t>
              </w:r>
            </w:hyperlink>
            <w:hyperlink w:anchor="tDOP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DOW">
              <w:r>
                <w:rPr>
                  <w:rStyle w:val="InternetLink"/>
                  <w:spacing w:val="-4"/>
                </w:rPr>
                <w:t>28</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U">
              <w:r>
                <w:rPr>
                  <w:rStyle w:val="InternetLink"/>
                  <w:spacing w:val="-4"/>
                </w:rPr>
                <w:t>29</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FOS">
              <w:r>
                <w:rPr>
                  <w:rStyle w:val="InternetLink"/>
                  <w:spacing w:val="-4"/>
                </w:rPr>
                <w:t xml:space="preserve">FORMS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FOS">
              <w:r>
                <w:rPr>
                  <w:rStyle w:val="InternetLink"/>
                  <w:spacing w:val="-4"/>
                </w:rPr>
                <w:t>30</w:t>
              </w:r>
            </w:hyperlink>
            <w:hyperlink w:anchor="tF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OD">
              <w:r>
                <w:rPr>
                  <w:rStyle w:val="InternetLink"/>
                  <w:spacing w:val="-4"/>
                </w:rPr>
                <w:t>32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LEMA">
              <w:r>
                <w:rPr>
                  <w:rStyle w:val="InternetLink"/>
                  <w:spacing w:val="-4"/>
                </w:rPr>
                <w:t>34</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EXP">
              <w:r>
                <w:rPr>
                  <w:rStyle w:val="InternetLink"/>
                  <w:spacing w:val="-4"/>
                </w:rPr>
                <w:t>34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$400,000,000.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other than that contained in or incorporated by reference in this prospectus, any accompanying prospectus supplement or in any related free writing prospectus to which we have referred you. We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offer of these securities will be made in any jurisdiction where the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indicates, references in this prospectus to the “Company,” “we,” “our” and “us” refer, collectively, to Editas Medicine, Inc., a Delaware corporation,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WYCF"/>
      <w:bookmarkEnd w:id="4"/>
      <w:r>
        <w:rPr>
          <w:rFonts w:ascii="calibri;arial;sans-serif" w:hAnsi="calibri;arial;sans-serif"/>
          <w:b w:val="false"/>
          <w:i w:val="false"/>
          <w:caps w:val="false"/>
          <w:smallCaps w:val="false"/>
          <w:color w:val="000000"/>
          <w:sz w:val="16"/>
        </w:rPr>
        <w:t>​</w:t>
      </w:r>
      <w:bookmarkStart w:id="5" w:name="tIBR"/>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www.editasmedicine.com. Our website is not a part of this prospectus and is not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001-37687)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lineRule="atLeast" w:line="240" w:before="120" w:after="0"/>
        <w:ind w:left="1993" w:right="0" w:hanging="0"/>
        <w:jc w:val="left"/>
        <w:rPr/>
      </w:pPr>
      <w:hyperlink r:id="rId3">
        <w:r>
          <w:rPr>
            <w:rStyle w:val="InternetLink"/>
          </w:rPr>
          <w:t>Annual Report on Form 10-K for the fiscal year ended December 31, 2025, as filed with the SEC on March 9, 2026</w:t>
        </w:r>
      </w:hyperlink>
      <w:r>
        <w:rPr>
          <w:rFonts w:ascii="Times New Roman;Times;serif" w:hAnsi="Times New Roman;Times;serif"/>
          <w:b w:val="false"/>
          <w:i w:val="false"/>
          <w:caps w:val="false"/>
          <w:smallCaps w:val="false"/>
          <w:color w:val="000000"/>
          <w:spacing w:val="4"/>
          <w:sz w:val="20"/>
        </w:rPr>
        <w:t xml:space="preserve"> including the information specifically incorporated by reference into the Annual Report on Form 10-K from our definitive proxy statement for the 2026 </w:t>
      </w:r>
      <w:hyperlink r:id="rId4">
        <w:r>
          <w:rPr>
            <w:rStyle w:val="InternetLink"/>
          </w:rPr>
          <w:t>Annual Meeting of Stockholders, as filed with the SEC on April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Quarterly Reports on Form 10-Q for the fiscal quarters ended March 31, 2026 and June 30, 2026, as filed with the SEC on </w:t>
      </w:r>
      <w:hyperlink r:id="rId5">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w:t>
      </w:r>
      <w:hyperlink r:id="rId6">
        <w:r>
          <w:rPr>
            <w:rStyle w:val="InternetLink"/>
          </w:rPr>
          <w:t>August 5,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as filed with the SEC on </w:t>
      </w:r>
      <w:hyperlink r:id="rId7">
        <w:r>
          <w:rPr>
            <w:rStyle w:val="InternetLink"/>
          </w:rPr>
          <w:t>March 27, 2026</w:t>
        </w:r>
      </w:hyperlink>
      <w:r>
        <w:rPr>
          <w:rFonts w:ascii="Times New Roman;Times;serif" w:hAnsi="Times New Roman;Times;serif"/>
          <w:b w:val="false"/>
          <w:i w:val="false"/>
          <w:caps w:val="false"/>
          <w:smallCaps w:val="false"/>
          <w:color w:val="000000"/>
          <w:spacing w:val="4"/>
          <w:sz w:val="20"/>
        </w:rPr>
        <w:t xml:space="preserve"> (Item 8.01 only), </w:t>
      </w:r>
      <w:hyperlink r:id="rId8">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May 14, 2026</w:t>
        </w:r>
      </w:hyperlink>
      <w:r>
        <w:rPr>
          <w:rFonts w:ascii="Times New Roman;Times;serif" w:hAnsi="Times New Roman;Times;serif"/>
          <w:b w:val="false"/>
          <w:i w:val="false"/>
          <w:caps w:val="false"/>
          <w:smallCaps w:val="false"/>
          <w:color w:val="000000"/>
          <w:spacing w:val="4"/>
          <w:sz w:val="20"/>
        </w:rPr>
        <w:t xml:space="preserve"> (Item 8.01 only), </w:t>
      </w:r>
      <w:hyperlink r:id="rId10">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(Item 8.01 only), </w:t>
      </w:r>
      <w:hyperlink r:id="rId11">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June 18,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August 5, 2026</w:t>
        </w:r>
      </w:hyperlink>
      <w:r>
        <w:rPr>
          <w:rFonts w:ascii="Times New Roman;Times;serif" w:hAnsi="Times New Roman;Times;serif"/>
          <w:b w:val="false"/>
          <w:i w:val="false"/>
          <w:caps w:val="false"/>
          <w:smallCaps w:val="false"/>
          <w:color w:val="000000"/>
          <w:spacing w:val="4"/>
          <w:sz w:val="20"/>
        </w:rPr>
        <w:t xml:space="preserve"> (Item 5.02 only); and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w:t>
      </w:r>
      <w:hyperlink r:id="rId15">
        <w:r>
          <w:rPr>
            <w:rStyle w:val="InternetLink"/>
          </w:rPr>
          <w:t>Registration Statement on Form 8-A as filed with the SEC on January 29, 2016</w:t>
        </w:r>
      </w:hyperlink>
      <w:r>
        <w:rPr>
          <w:rFonts w:ascii="Times New Roman;Times;serif" w:hAnsi="Times New Roman;Times;serif"/>
          <w:b w:val="false"/>
          <w:i w:val="false"/>
          <w:caps w:val="false"/>
          <w:smallCaps w:val="false"/>
          <w:color w:val="000000"/>
          <w:spacing w:val="4"/>
          <w:sz w:val="20"/>
        </w:rPr>
        <w:t xml:space="preserve">, as the description therein has been updated and superseded by the description of our capital stock contained in </w:t>
      </w:r>
      <w:hyperlink r:id="rId16">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as filed with the SEC on March 9, 2026, and including any amendments and reports filed for the purpose of updating such description.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or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Editas Medicine,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 Hurley St.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Cambridge, MA 02141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(617) 401-9000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by reference in this prospectus contain forward-looking statements within the meaning of Section 27A of the Securities Act and Section 21E of the Exchange Act regarding, among other things, the initiation, timing, progress and results of our preclinical studies and clinical trials and our research and development programs, receipt and presentation of data from our preclinical studies and clinical trials, potential of, and expectations for, our product candidates, the timing or likelihood of regulatory filings and approvals, our expectations regarding cash runway, and our business strategy, and other objectives for our operations.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Important factors that could cause actual results or events to differ materially from the forward-looking statements that we make include those in the section titled “Risk Factors” in Part I of our Annual Report on Form 10-K for the fiscal year ended December 31, 2025, as updated by our subsequent filings with the SEC. Our forward-looking statements do not reflect the potential impact of any future acquisitions, mergers, dispositions, joint ventures or investments that we may make.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information incorporated by reference in this prospectus completely and with the understanding that our actual future results may be materially different from what we expect. The forward-looking statements contained in this prospectus and the information incorporated by reference in this prospectus are made as of the date of this prospectus or such document incorporated by reference into this prospectus, and we do not assume any obligation to update any forward-looking statements, whether as a result of new information, future events or otherwise, except as required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information incorporated by reference, may contain estimates, projections and other information concerning our industry, our business, and the market for our product candidates,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any such information. Unless otherwise expressly stated, we obtained any such industry, business, market and other data from reports, research surveys, studies and similar data prepared by market research firms and other third parties, industry, medical and general publications, government data and similar sources.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industry, business, market and other information involves a number of assumptions and limitations, and you are cautioned not to give undue weight to such estimates. We have not independently verified any such third-party information and cannot assure you of its accuracy or completeness. Although we are responsible for all of the disclosure contained in this prospectus and we believe any market position, market opportunity, market size and other information included or incorporated by reference in this prospectus is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in the section titled “Risk Factors” and elsewhere in this prospectus or in the documents incorporated by reference herein. These and other factors could cause results to differ materially from those expressed in the estimates made by the independent parties and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w:t>
      </w:r>
      <w:hyperlink r:id="rId1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our most recent Quarterly Report on Form 10-Q,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EMI"/>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EDITAS MEDICINE,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a pioneering gene editing company dedicated to developing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the development of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gene editing medicines utilizing functional upregulation, which aims to increase the expression of a normal gene copy and its normal protein function to treat diseases caused by genetic mutations that eliminate or disrupt normal function. We believe the ability to provide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gene editing, in which the medicine is injected or infused into the patient to edit the cells inside their body and functionally upregulates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platform to enable targeted delivery of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gene editing medicines to multiple cells and tissues, including the liver, hematopoietic stem cells (“HSCs”), and other cells and tissues.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September 2025, we announced the nomination of our lead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development candidate, EDIT-401, an experimental, potential best-in-class, one-time therapy to significantly reduce LDL-cholesterol (“LDL-C”) through upregulation of the LDL receptor (“LDLR”). EDIT-401 is designed to treat elevated levels of LDL-C, or hyperlipidemia, by directly editing the noncoding region of the LDLR gene to increase LDLR protein expression and reduce LDL-C levels. Our discovery and development efforts further include HSCs and other cells and tissues.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11 Hurley Street, Cambridge, Massachusetts, 02141, and our telephone number is (617) 401-9000. Our website address is www.editasmedicine.com. We have included our website address as an inactive textual reference only and information that is contained on, or can be accessed through, our website is not incorporated by reference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the sale of any securities offered under this prospectus for general corporate purposes unless otherwise indicated in the applicable prospectus supplement. General corporate purposes may include, without limitation, research and development expenditures, the acquisition of companies or businesses, repayment and refinancing of debt, working capital and capital expenditures. We have not determined the amount of net proceeds to be used specifically for such purposes. As a result, management will retain broad discretion over the allocation of the net proceeds of any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D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summarizes the general terms and provisions of the debt securities that we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Editas Medicine, Inc. excluding, unless the context otherwise requires or as otherwise expressly stated,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 — Subordination.” The debt securities will be structurally subordinated to all existing and future indebtedness and other liabilities of our subsidiaries unless such subsidiaries expressly guarantee such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type of the debt securities;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or subordinated debt securities, and, with respect to any subordinated debt securities the terms on which they are subordinated;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aggregate principal amount of the debt securities;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we will sell the debt securities;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of the debt securities and the right, if any, to extend such date or dates;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if any, at which the debt securities will bear interest, or the method of determining such rate or rates;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such interest will accrue, the interest payment dates on which such interest will be payable or the method of determination of such dates;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extend the interest payment periods and the duration of that extension;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of paying principal and interest and the place or places where principal and interest will be payable;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of the debt securities if other than $2,000 or multiples of $1,000;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a sinking fund, purchase fund or other analogous fund, if any;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dates, prices, obligations and restrictions on the debt securities;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the debt securities will be denominated and the currency, currencies or currency units in which principal and interest, if any, on the debt securities may be payable;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features of the debt securities;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subject to the defeasance provisions in the indenture;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definitive or global form or in definitive form only upon satisfaction of certain conditions;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guaranteed as to payment or performance;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special tax implications of the debt securities;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of defaults or covenants in addition to or in lieu of those set forth in the indenture; and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“principal” in this section with reference to the debt securities, we are also referring to “premium, if 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Covenants.   </w:t>
      </w:r>
      <w:r>
        <w:rPr>
          <w:rFonts w:ascii="Times New Roman;Times;serif" w:hAnsi="Times New Roman;Times;serif"/>
          <w:b w:val="false"/>
          <w:i w:val="false"/>
          <w:caps w:val="false"/>
          <w:smallCaps w:val="false"/>
          <w:color w:val="000000"/>
          <w:spacing w:val="4"/>
          <w:sz w:val="20"/>
        </w:rPr>
        <w:t xml:space="preserve">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   </w:t>
      </w:r>
      <w:r>
        <w:rPr>
          <w:rFonts w:ascii="Times New Roman;Times;serif" w:hAnsi="Times New Roman;Times;serif"/>
          <w:b w:val="false"/>
          <w:i w:val="false"/>
          <w:caps w:val="false"/>
          <w:smallCaps w:val="false"/>
          <w:color w:val="000000"/>
          <w:spacing w:val="4"/>
          <w:sz w:val="20"/>
        </w:rPr>
        <w:t xml:space="preserve">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entity, if any, is a U.S. corporation, limited liability company, partnership or trust;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entity assumes our obligations on the senior debt securities and under the senior indenture;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shall have occurred and be continuing; and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Protection in the Event of a Change in Control.   </w:t>
      </w:r>
      <w:r>
        <w:rPr>
          <w:rFonts w:ascii="Times New Roman;Times;serif" w:hAnsi="Times New Roman;Times;serif"/>
          <w:b w:val="false"/>
          <w:i w:val="false"/>
          <w:caps w:val="false"/>
          <w:smallCaps w:val="false"/>
          <w:color w:val="000000"/>
          <w:spacing w:val="4"/>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we indicate otherwise in a prospectus supplement with respect to a particular series of senior debt securities, the following are events of default under the senior indenture with respect to senior debt securities of each series: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any senior debt securities of such series when due and payable, if that default continues for a period of 30 days (or such other period as may be specified for such series);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or insolvency, whether or not voluntary; and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for in such series of senior debt securities as may be specified in the applicable prospectus supplement.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a prospectus supplement with respect to a particular series of senior debt securities, the default by us under any other debt, including any other series of our debt securities, is not a default under the senior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gives the trustee written notice of a continuing event of default;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such series of senior debt securities make a written request to the trustee to pursue the remedy in respect of such event of default;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requesting holder or holders offer the trustee indemnity satisfactory to the trustee against any costs, liability or expense; </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comply with the request within 60 days after receipt of the request and the offer of indemnity; and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such 60-day period, the holders of a majority in aggregate principal amount of such series of senior debt securities do not give the trustee a direction that is inconsistent with the request.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Satisfaction and Discharge</w:t>
      </w:r>
      <w:r>
        <w:rPr>
          <w:rFonts w:ascii="Times New Roman;Times;serif" w:hAnsi="Times New Roman;Times;serif"/>
          <w:b w:val="false"/>
          <w:i w:val="false"/>
          <w:caps w:val="false"/>
          <w:smallCaps w:val="false"/>
          <w:color w:val="000000"/>
          <w:spacing w:val="4"/>
          <w:sz w:val="20"/>
        </w:rPr>
        <w:t xml:space="preserve">.   We can satisfy and discharge our obligations to holders of any series of debt securities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the principal of and interest on all senior debt securities of such series (with certain limited exceptions) when due and payable; or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senior trustee for cancellation all senior debt securities of such series theretofore authenticated under the senior indenture (with certain limited exceptions); or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   </w:t>
      </w:r>
      <w:r>
        <w:rPr>
          <w:rFonts w:ascii="Times New Roman;Times;serif" w:hAnsi="Times New Roman;Times;serif"/>
          <w:b w:val="false"/>
          <w:i w:val="false"/>
          <w:caps w:val="false"/>
          <w:smallCaps w:val="false"/>
          <w:color w:val="000000"/>
          <w:spacing w:val="4"/>
          <w:sz w:val="20"/>
        </w:rPr>
        <w:t xml:space="preserve">Unless the applicable prospectus supplement provides otherwise, the following discussion of legal defeasance and covenant defeasance will apply to any series of debt securities issued under the indentures.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r>
        <mc:AlternateContent>
          <mc:Choice Requires="wps">
            <w:drawing>
              <wp:anchor behindDoc="0" distT="0" distB="0" distL="254000" distR="0" simplePos="0" locked="0" layoutInCell="1" allowOverlap="1" relativeHeight="59">
                <wp:simplePos x="0" y="0"/>
                <wp:positionH relativeFrom="column">
                  <wp:align>left</wp:align>
                </wp:positionH>
                <wp:positionV relativeFrom="line">
                  <wp:posOffset>635</wp:posOffset>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trustee a legal opinion of our counsel confirming the tax law change or ruling described above.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 Defeasance</w:t>
      </w:r>
      <w:r>
        <w:rPr>
          <w:rFonts w:ascii="Times New Roman;Times;serif" w:hAnsi="Times New Roman;Times;serif"/>
          <w:b w:val="false"/>
          <w:i w:val="false"/>
          <w:caps w:val="false"/>
          <w:smallCaps w:val="false"/>
          <w:color w:val="000000"/>
          <w:spacing w:val="4"/>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   </w:t>
      </w:r>
      <w:r>
        <w:rPr>
          <w:rFonts w:ascii="Times New Roman;Times;serif" w:hAnsi="Times New Roman;Times;serif"/>
          <w:b w:val="false"/>
          <w:i w:val="false"/>
          <w:caps w:val="false"/>
          <w:smallCaps w:val="false"/>
          <w:color w:val="000000"/>
          <w:spacing w:val="4"/>
          <w:sz w:val="20"/>
        </w:rPr>
        <w:t xml:space="preserve">We and the trustee may amend or supplement the senior indenture or the senior debt securities of any series without the consent of any holder: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convey, transfer, assign, mortgage or pledge any assets as security for the senior debt securities of one or more series;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requirements of the SEC in order to effect or maintain the qualification of the senior indenture under the Trust Indenture Act of 1939, as amended (the “Trust Indenture Act”);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or add guarantors with respect to the senior debt securities of any series;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forms or terms of the senior debt securities as permitted by the senior indenture;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to the senior debt securities of any series so long as no senior debt securities of such series are outstanding; or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in any material respect.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extends the final maturity of any senior debt securities of such series;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any senior debt securities of such series;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rate, or extends the time for payment of, interest on any senior debt securities of such series;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amount payable upon the redemption of any senior debt securities of such series;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currency of payment of principal of or interest on any senior debt securities of such series;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original issue discount securities payable upon acceleration of maturity or the amount provable in bankruptcy;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waives a continuing default in the payment of principal of or interest on the senior debt securities (other than any such default in payment resulting solely from an acceleration of the senior debt securities);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affects the right to convert or exchange senior debt securities into common stock, other securities or property in accordance with the terms of the senior debt securities; or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above-stated percentage of outstanding senior debt securities of such series whose holders must consent to a supplemental indenture or modifies or amends or waives certain provisions of or defaults under the senior indenture.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Notice of Redemption.</w:t>
      </w:r>
      <w:r>
        <w:rPr>
          <w:rFonts w:ascii="Times New Roman;Times;serif" w:hAnsi="Times New Roman;Times;serif"/>
          <w:b w:val="false"/>
          <w:i w:val="false"/>
          <w:caps w:val="false"/>
          <w:smallCaps w:val="false"/>
          <w:color w:val="000000"/>
          <w:spacing w:val="4"/>
          <w:sz w:val="20"/>
        </w:rPr>
        <w:t xml:space="preserve">   Notice of any redemption of senior debt securities will be mailed at least 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We will describe the terms upon which senior debt securities may be convertible 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Personal Liability of Incorporators, Stockholders, Officers, or Directors.   </w:t>
      </w:r>
      <w:r>
        <w:rPr>
          <w:rFonts w:ascii="Times New Roman;Times;serif" w:hAnsi="Times New Roman;Times;serif"/>
          <w:b w:val="false"/>
          <w:i w:val="false"/>
          <w:caps w:val="false"/>
          <w:smallCaps w:val="false"/>
          <w:color w:val="000000"/>
          <w:spacing w:val="4"/>
          <w:sz w:val="20"/>
        </w:rPr>
        <w:t xml:space="preserve">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Concerning the Trustee.   </w:t>
      </w:r>
      <w:r>
        <w:rPr>
          <w:rFonts w:ascii="Times New Roman;Times;serif" w:hAnsi="Times New Roman;Times;serif"/>
          <w:b w:val="false"/>
          <w:i w:val="false"/>
          <w:caps w:val="false"/>
          <w:smallCaps w:val="false"/>
          <w:color w:val="000000"/>
          <w:spacing w:val="4"/>
          <w:sz w:val="20"/>
        </w:rPr>
        <w:t xml:space="preserve">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normal banking relationships with the senior trustee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Unclaimed Funds.   </w:t>
      </w:r>
      <w:r>
        <w:rPr>
          <w:rFonts w:ascii="Times New Roman;Times;serif" w:hAnsi="Times New Roman;Times;serif"/>
          <w:b w:val="false"/>
          <w:i w:val="false"/>
          <w:caps w:val="false"/>
          <w:smallCaps w:val="false"/>
          <w:color w:val="000000"/>
          <w:spacing w:val="4"/>
          <w:sz w:val="20"/>
        </w:rPr>
        <w:t xml:space="preserve">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   </w:t>
      </w:r>
      <w:r>
        <w:rPr>
          <w:rFonts w:ascii="Times New Roman;Times;serif" w:hAnsi="Times New Roman;Times;serif"/>
          <w:b w:val="false"/>
          <w:i w:val="false"/>
          <w:caps w:val="false"/>
          <w:smallCaps w:val="false"/>
          <w:color w:val="000000"/>
          <w:spacing w:val="4"/>
          <w:sz w:val="20"/>
        </w:rPr>
        <w:t xml:space="preserve">The senior indenture and the senior debt securities will be governed by, and construed in accordance with, the internal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or different subordination terms may be specified in the prospectus supplement applicable to a particular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   </w:t>
      </w:r>
      <w:r>
        <w:rPr>
          <w:rFonts w:ascii="Times New Roman;Times;serif" w:hAnsi="Times New Roman;Times;serif"/>
          <w:b w:val="false"/>
          <w:i w:val="false"/>
          <w:caps w:val="false"/>
          <w:smallCaps w:val="false"/>
          <w:color w:val="000000"/>
          <w:spacing w:val="4"/>
          <w:sz w:val="20"/>
        </w:rPr>
        <w:t xml:space="preserve">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indebtedness of that person for money borrowed;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indebtedness of that person evidenced by notes, debentures, bonds or other securities sold by that person for money;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lease obligations that are capitalized on the books of that person in accordance with generally accepted accounting principles;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renewals, extensions or refundings of indebtedness of the kinds described in the first, second or fourth bullet point above and all renewals or extensions of leases of the kinds described in the third or fourth bullet point above;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C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intended as a summary only and therefore is not a complete description of our capital stock. This description is based upon, and is qualified by reference to, our restated certificate of incorporation, as amended, our amended and restated by-laws and applicable provisions of Delaware corporate law. You should read our restated certificate of incorporation and amended and restated by-laws, which are filed as exhibits to the registration statement of which this prospectus forms a part, for the provisions that are important to you.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390,000,000 shares of common stock and 5,000,000 shares of preferred stock. As of July 31, 2026, 153,580,035 shares of common stock were outstanding and no shares of preferred stock were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Annual Meeting.   </w:t>
      </w:r>
      <w:r>
        <w:rPr>
          <w:rFonts w:ascii="Times New Roman;Times;serif" w:hAnsi="Times New Roman;Times;serif"/>
          <w:b w:val="false"/>
          <w:i w:val="false"/>
          <w:caps w:val="false"/>
          <w:smallCaps w:val="false"/>
          <w:color w:val="000000"/>
          <w:spacing w:val="4"/>
          <w:sz w:val="20"/>
        </w:rPr>
        <w:t xml:space="preserve">Annual meetings of our stockholders are held on the date designated in accordance with our amended 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and may be called only by the board of directors, the chairman of the board, or the chief executive officer, and business to be transacted at any special meeting is limited to matters related to the purpose or purposes stated in the notice of the meeting. Except as may be otherwise provided by applicable law, our restated certificate of incorporation, as amended, or our amended and restated by-laws,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and any election by stockholders of directors shall be determined by a plurality of the votes cast by the stockholders entitled to vote on the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common stock is entitled to one vote for each share held of record on all matters to be voted upon by stockholders, including the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the rights, powers and preferences of any outstanding preferred stock, and except as provided by law or in our restated certificate of incorporation, dividends may be declared and paid or set aside for payment on the common stock out of legally available assets or funds when and as declared by the board of directors. The payment of dividends is contingent upon our revenue and earnings, capital requirements, and general financial condition, as well as contractual restrictions and other considerations deemed to be relevant by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and Dissolution</w:t>
      </w:r>
      <w:r>
        <w:rPr>
          <w:rFonts w:ascii="Times New Roman;Times;serif" w:hAnsi="Times New Roman;Times;serif"/>
          <w:b w:val="false"/>
          <w:i w:val="false"/>
          <w:caps w:val="false"/>
          <w:smallCaps w:val="false"/>
          <w:color w:val="000000"/>
          <w:spacing w:val="4"/>
          <w:sz w:val="20"/>
        </w:rPr>
        <w:t xml:space="preserve">.   If we are liquidated or dissolved, the holders of the common stock will be entitled to share in our assets available for distribution to stockholders in proportion to the amount of common stock they own. The amount available for common stockholders is calculated after payment of all debts and other liabilities. Holders of any preferred stock will receive a preferential share of our assets before the holders of the common stock receive any assets.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the common stock have no right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 the stock into any other security;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the stock redeemed;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additional stock; or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their proportionate ownership interest.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does not have cumulative voting rights. Holders of shares of the common stock are not required to make additional capital contributions.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Computershare Trust Company, N.A. is transfer agent and registrar for the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stated value per share of the preferred stock and the number of shares offered;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liquidation preference per share;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the preferred stock will be issued;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or method of calculation of dividends, the dates on which dividends will be payable, whether dividends will be cumulative or noncumulative and, if cumulative, the dates from which dividends will commence to accumulate;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currency of the United States, the currency or currencies including composite currencies in which the preferred stock is denominated and/or in which payments will or may be payable;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provisions;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have elected to offer depositary shares as described under “Description of Depositary Shares;” and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rights, preferences, privileges, limitations and restrictions on the preferred stock.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w:t>
      </w:r>
      <w:r>
        <w:rPr>
          <w:rFonts w:ascii="Times New Roman;Times;serif" w:hAnsi="Times New Roman;Times;serif"/>
          <w:b w:val="false"/>
          <w:i w:val="false"/>
          <w:caps w:val="false"/>
          <w:smallCaps w:val="false"/>
          <w:color w:val="000000"/>
          <w:spacing w:val="4"/>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to our common stock and to all equity securities ranking junior to such preferred stock with respect to dividend rights or rights upon our liquidation, dissolution or winding up of our affairs; </w:t>
      </w:r>
      <w:r>
        <mc:AlternateContent>
          <mc:Choice Requires="wps">
            <w:drawing>
              <wp:anchor behindDoc="0" distT="8001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r>
        <mc:AlternateContent>
          <mc:Choice Requires="wps">
            <w:drawing>
              <wp:anchor behindDoc="0" distT="800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r>
        <mc:AlternateContent>
          <mc:Choice Requires="wps">
            <w:drawing>
              <wp:anchor behindDoc="0" distT="8001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“equity securities” does not include convertible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series of preferred stock does not have a cumulative dividend, we have declared and paid or contemporaneously declare and pay or set aside funds to pay full dividends for the then current dividend period.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will not acquire any preferred stock of a series unless: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r>
        <mc:AlternateContent>
          <mc:Choice Requires="wps">
            <w:drawing>
              <wp:anchor behindDoc="0" distT="7239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date;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and series of preferred stock to be redeemed; </w:t>
      </w:r>
      <w:r>
        <mc:AlternateContent>
          <mc:Choice Requires="wps">
            <w:drawing>
              <wp:anchor behindDoc="0" distT="0" distB="0" distL="254000" distR="0" simplePos="0" locked="0" layoutInCell="1" allowOverlap="1" relativeHeight="111">
                <wp:simplePos x="0" y="0"/>
                <wp:positionH relativeFrom="column">
                  <wp:align>left</wp:align>
                </wp:positionH>
                <wp:positionV relativeFrom="line">
                  <wp:posOffset>635</wp:posOffset>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certificates for such preferred stock are to be surrendered for payment of the redemption price;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dividends on the shares to be redeemed will cease to accrue on such redemption date;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holder’s conversion rights, if any, as to such shares shall terminate; and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number of shares to be redeemed from each such holder if fewer than all the shares of any series are to be redeemed.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preferred stock will not have any voting rights, except as required by law or as indicated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for under the terms of any series of preferred stock, no consent or vote of the holders of shares of preferred stock or any series thereof shall be required for any amendment to our restated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The terms and conditions, if any, upon which any series of preferred stock is convertible into shares of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The transfer agent and registrar for the preferred stock will be set forth in the applicable prospectus supplement.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of Our Restated Certificate of Incorporation and Amended and Restated By-laws and Delaware Law That May Have Anti-Takeover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our restated certificate of incorporation, and our amended and restated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Staggered Board; Removal of Directors</w:t>
      </w:r>
      <w:r>
        <w:rPr>
          <w:rFonts w:ascii="Times New Roman;Times;serif" w:hAnsi="Times New Roman;Times;serif"/>
          <w:b w:val="false"/>
          <w:i w:val="false"/>
          <w:caps w:val="false"/>
          <w:smallCaps w:val="false"/>
          <w:color w:val="000000"/>
          <w:spacing w:val="4"/>
          <w:sz w:val="20"/>
        </w:rPr>
        <w:t xml:space="preserve">.   Our restated certificate of incorporation and amended and restated by-laws divide our board of directors into three classes with staggered three-year terms. In addition, a director may be removed only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Action by Written Consent; Special Meetings</w:t>
      </w:r>
      <w:r>
        <w:rPr>
          <w:rFonts w:ascii="Times New Roman;Times;serif" w:hAnsi="Times New Roman;Times;serif"/>
          <w:b w:val="false"/>
          <w:i w:val="false"/>
          <w:caps w:val="false"/>
          <w:smallCaps w:val="false"/>
          <w:color w:val="000000"/>
          <w:spacing w:val="4"/>
          <w:sz w:val="20"/>
        </w:rPr>
        <w:t xml:space="preserve">.   Our restated certificate of incorporation provides that any action required or permitted to be taken by our stockholders must be effected at a duly called annual or special meeting of such holders and may not be effected by any consent in writing by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Our restated certificate of incorporation and amended and restated by-laws also provide that, except as otherwise required by law, special meetings of our stockholders can only be called by the chairman of our board of directors, our Chief Executive Officer, or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Requirements for Stockholder Proposals</w:t>
      </w:r>
      <w:r>
        <w:rPr>
          <w:rFonts w:ascii="Times New Roman;Times;serif" w:hAnsi="Times New Roman;Times;serif"/>
          <w:b w:val="false"/>
          <w:i w:val="false"/>
          <w:caps w:val="false"/>
          <w:smallCaps w:val="false"/>
          <w:color w:val="000000"/>
          <w:spacing w:val="4"/>
          <w:sz w:val="20"/>
        </w:rPr>
        <w:t xml:space="preserve">.   Our amended and restated by-laws establish 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Delaware Business Combination Statute.   </w:t>
      </w: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such date, the board of directors of the corporation approved either the business combination or the transaction that resulted in the stockholder becoming an interested stockholder;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or after such date, the business combination is approved by the board of directors and authorized at an annual or special meeting of the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business combinations to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transfer, pledge or other disposition of 10% or more of the assets of the corporation to or with the interested stockholder;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that results in the issuance or transfer by the corporation of any stock of the corporation to the interested stockholder;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or any class or series of the corporation beneficially owned by the interested stockholder; or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loss, advances, guarantees, pledges or other financial benefits by or through the corporation.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Certificate of Incorporation and By-laws</w:t>
      </w:r>
      <w:r>
        <w:rPr>
          <w:rFonts w:ascii="Times New Roman;Times;serif" w:hAnsi="Times New Roman;Times;serif"/>
          <w:b w:val="false"/>
          <w:i w:val="false"/>
          <w:caps w:val="false"/>
          <w:smallCaps w:val="false"/>
          <w:color w:val="000000"/>
          <w:spacing w:val="4"/>
          <w:sz w:val="20"/>
        </w:rPr>
        <w:t xml:space="preserve">.   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75% of the votes that all of our stockholders would be entitled to cast in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restated certificate of incorporation described above under “— Staggered Board; Removal of Directors” and “— Stockholder Action by Written Consent; Special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Exclusive Forum Selection</w:t>
      </w:r>
      <w:r>
        <w:rPr>
          <w:rFonts w:ascii="Times New Roman;Times;serif" w:hAnsi="Times New Roman;Times;serif"/>
          <w:b w:val="false"/>
          <w:i w:val="false"/>
          <w:caps w:val="false"/>
          <w:smallCaps w:val="false"/>
          <w:color w:val="000000"/>
          <w:spacing w:val="4"/>
          <w:sz w:val="20"/>
        </w:rPr>
        <w:t xml:space="preserve">.   Our restated certificate of incorporation provides that the Court of Chancery of the State of Delaware shall be the sole and exclusive forum for (1) any derivative action or proceeding brought on behalf of our company, (2) any action asserting a claim of breach of a fiduciary duty owed by any of our directors, officers, or other employees to our company or our stockholders, (3) any action asserting a claim against our company arising pursuant to any provision of the General Corporation Law of the State of Delaware or our restated certificate of incorporation or amended and restated by-laws, or (4) any action asserting a claim against our company governed by the internal affairs doctrine. Although our restated certificate of incorporation contains the choice of forum provision described above, it is possible that a court could rule that such a provision is inapplicable for a particular claim or action or that such provision is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Blank Check Preferred Stock</w:t>
      </w:r>
      <w:r>
        <w:rPr>
          <w:rFonts w:ascii="Times New Roman;Times;serif" w:hAnsi="Times New Roman;Times;serif"/>
          <w:b w:val="false"/>
          <w:i w:val="false"/>
          <w:caps w:val="false"/>
          <w:smallCaps w:val="false"/>
          <w:color w:val="000000"/>
          <w:spacing w:val="4"/>
          <w:sz w:val="20"/>
        </w:rPr>
        <w:t xml:space="preserve">.   Our restated certificate of incorporation provides for 5,000,000 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interests of our company, our board of directors could cause shares of preferred stock to be issued without stockholder approval in one or more private offerings or other transactions that might dilute the voting or other rights of the proposed acquiror or insurgent shareholder or shareholder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such holders and may have the effect of delaying, deterring, or preventing a change in control of the company. Our board of directors currently does not intend to seek shareholder approval prior to any issuance of shares of preferred stock, unless otherwise required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Our authorized but unissued shares of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DS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terms of the depositary shares contained in this prospectus is not a complete description of the terms of the depositary shares. You should refer to the form of the deposit agreement, our restated certificate of incorporation and the certificate of designation for the applicable series of preferred stock that are, or will be,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have been redeemed; or </w:t>
      </w:r>
      <w:r>
        <mc:AlternateContent>
          <mc:Choice Requires="wps">
            <w:drawing>
              <wp:anchor behindDoc="0" distT="889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final distribution of the preferred stock in connection with our dissolution and such distribution has been made to all the holders of depositary shares. </w:t>
      </w:r>
      <w:r>
        <mc:AlternateContent>
          <mc:Choice Requires="wps">
            <w:drawing>
              <wp:anchor behindDoc="0" distT="889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S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subscription rights and terms of the subscription rights agreement is a summary. It summarizes only those aspects of the subscription rights and those portions of the subscription rights agreement which we believe will be most important to your decision to invest in our subscription rights. There may be other provisions in the subscription rights agreement and the subscription certificate relating to the subscription rights which are also important to you. You should read these documents for a full description of the terms of the subscription rights. The forms of the subscription rights agreement and the subscription certificate will be filed or incorporated by reference as exhibits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right entitles the holder to purchase for cash a specific number of shares of equity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stockholders entitled to receive the rights;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equity securities that may be purchased upon exercise of each right;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the rights;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rights are transferable;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during which the rights may be exercised and when they will expire;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steps required to exercise the rights;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subscription rights issued;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equity securities;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other arrangement entered into by us in connection with the offering of subscription rights;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terms of the subscription rights, including the terms, procedures and limitations relating to the exercise of the subscription rights;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rights include “oversubscription rights” so that the holder may purchase more securities if other holders do not purchase their full allotments;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intend to sell the shares of equity securities that are not purchased in the rights offering to an underwriter or other purchaser under a contractual “standby” commitment or other arrangement; and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United States federal income tax considerations.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PC"/>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representing contracts obligating holders to purchase from us, and obligating us to sell to the holders, a specified number of shares of common stock, shares of preferred stock, or other securities described in this prospectus or the applicable prospectus supplement at a future date or dates. The price per share may be fixed at the time the share purchase contracts are issued or may be determined by reference to a specific formula set forth in the share purchase contracts. The purchase contracts may be issued separately or as a part of units consisting of a purchase contract and either shares of common stock, shares of preferred stock, our debt securities or debt obligations of third parties, including U.S. Treasury securities, any other security described in the applicable prospectus supplement, or any combination of the foregoing, securing the holder’s obligations to purchase the securities under the share purchase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us to make periodic payments to the holders of units or vice versa, and such payments may be unsecured or prefunded on some basis. The purchase contracts may require holders to secure their obligations thereunder in a specified manner. In certain circumstances, we may deliver newly issued prepaid purchase contracts upon release to a holder of any collateral securing the holder’s obligations under the original purchase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purchase contracts. The description in the prospectus supplement will only be a summary, and you should read the purchase contracts, and, if applicable, collateral or depositary arrangements, relating to the purchase contracts. Material United States federal income tax considerations applicable to the purchase contracts will also be discussed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an accompanying prospectus supplement, each purchase contract and any related agreement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W"/>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designation and aggregate number of, and the offering price at which we will issue, the warrants;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units in which the offering price, if any, and the exercise price are payable;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are to be sold separately or with other securities as parts of units;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U.S. federal income tax consequences;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warrant agent for the warrants and of any other depositaries, execution or paying agents, transfer agents, registrars or other agents;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listing, if any, of the warrants or any securities purchasable upon exercise of the warrants on any securities exchange;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equity securities purchasable upon exercise of the warrants;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currency and terms of any debt securities that may be purchased upon exercise of the warrants;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preferred stock or depositary shares with which the warrants are issued and the number of warrants issued with each security;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from and after which any warrants issued as part of a unit and the related debt securities, preferred stock, depositary shares or common stock will be separately transferable;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preferred stock or depositary shares purchasable upon exercise of a warrant and the price at which those shares may be purchased;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the warrants that may be exercised at any one time;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anti-dilution provisions of, and other provisions for changes to or adjustment in the exercise price of, the warrants, if any;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call provisions; and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or exercise of the warrants.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OU"/>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the terms of the units and of the securities constituting the units, including whether and under what circumstances the securities comprising the units may be traded separately;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any unit agent for the units, if applicable, and of any other depositaries, execution or paying agents, transfer agents, registrars or other agents;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governing unit agreement, if applicable;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provisions for the issuance, payment, settlement, transfer or exchange of the units or of the debt securities, common stock, preferred stock, purchase contracts or warrants constituting the units; and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U.S. federal income tax consequences.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FOS"/>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FORMS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depositary share, subscription right, purchase contract,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subscription rights, purchase contracts,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of a particular series, depositary shares, subscription right, purchase contracts,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subscription rights agreement, purchase contract,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purchase contract, purchase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subscription right agreement, purchase contract, unit agreement or warrant agreement. We understand that under existing industry practices, if we request any action of holders or if an owner of a beneficial interest in a global security desires to give or take any action that a holder is entitled to give or take under the applicable indenture, deposit agreement, subscription rights agreement,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premium, if any, and interest payments on debt securities, and any payments to holders with respect to depositary shares, subscription rights, warrants, purchase agreements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O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493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or </w:t>
      </w:r>
      <w:r>
        <mc:AlternateContent>
          <mc:Choice Requires="wps">
            <w:drawing>
              <wp:anchor behindDoc="0" distT="7493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with respect to the securities of a particular series will describe the terms of the offering of the securities,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and the proceeds we will receive from the sale of the securities;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re-allowed or paid to the agent or underwriters;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items constituting underwriting compensation;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re-allowed or paid to dealers; and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LEMA"/>
      <w:bookmarkEnd w:id="19"/>
      <w:r>
        <w:rPr>
          <w:rFonts w:ascii="calibri;arial;sans-serif" w:hAnsi="calibri;arial;sans-serif"/>
          <w:b w:val="false"/>
          <w:i w:val="false"/>
          <w:caps w:val="false"/>
          <w:smallCaps w:val="false"/>
          <w:color w:val="000000"/>
          <w:sz w:val="16"/>
        </w:rPr>
        <w:t>​</w:t>
      </w:r>
      <w:bookmarkStart w:id="20" w:name="tEX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w:t>
      </w:r>
      <w:hyperlink r:id="rId18">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232" w:after="283"/>
        <w:jc w:val="center"/>
        <w:rPr>
          <w:caps w:val="false"/>
          <w:smallCaps w:val="false"/>
          <w:color w:val="000000"/>
        </w:rPr>
      </w:pPr>
      <w:r>
        <w:rPr>
          <w:caps w:val="false"/>
          <w:smallCaps w:val="false"/>
          <w:color w:val="000000"/>
        </w:rPr>
        <w:drawing>
          <wp:inline distT="0" distB="0" distL="0" distR="0">
            <wp:extent cx="2219325" cy="923925"/>
            <wp:effectExtent l="0" t="0" r="0" b="0"/>
            <wp:docPr id="17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 descr=""/>
                    <pic:cNvPicPr>
                      <a:picLocks noChangeAspect="1" noChangeArrowheads="1"/>
                    </pic:cNvPicPr>
                  </pic:nvPicPr>
                  <pic:blipFill>
                    <a:blip r:embed="rId19"/>
                    <a:stretch>
                      <a:fillRect/>
                    </a:stretch>
                  </pic:blipFill>
                  <pic:spPr bwMode="auto">
                    <a:xfrm>
                      <a:off x="0" y="0"/>
                      <a:ext cx="2219325" cy="9239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56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Subscription Rights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1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5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44"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9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31,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219325" cy="923925"/>
            <wp:effectExtent l="0" t="0" r="0" b="0"/>
            <wp:docPr id="1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 descr=""/>
                    <pic:cNvPicPr>
                      <a:picLocks noChangeAspect="1" noChangeArrowheads="1"/>
                    </pic:cNvPicPr>
                  </pic:nvPicPr>
                  <pic:blipFill>
                    <a:blip r:embed="rId20"/>
                    <a:stretch>
                      <a:fillRect/>
                    </a:stretch>
                  </pic:blipFill>
                  <pic:spPr bwMode="auto">
                    <a:xfrm>
                      <a:off x="0" y="0"/>
                      <a:ext cx="2219325" cy="9239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2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 sales agreement (the “sales agreement”) with Leerink Partners LLC (“Leerink Partners”) dated August 31, 2026, relating to shares of our common stock, par value $0.0001 per share, offered by this prospectus. In accordance with the terms of the sales agreement and pursuant to this prospectus, we may offer and sell shares of our common stock having an aggregate offering price of up to $150,000,000 from time to time through Leerink Partners acting as our agent.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“EDIT.” On August 28, 2026, the last reported sale price of our common stock on The Nasdaq Global Select Market was $3.16 per share.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common stock, if any, under this prospectus will be made in sales deemed to be “at the market offerings” as defined in Rule 415(a)(4) promulgated under the Securities Act of 1933, as amended (the “Securities Act”). Leerink Partners is not required to sell any specific amount of securities, but will act as our sales agent using commercially reasonable efforts consistent with its normal trading and sales practices, on mutually agreed terms between Leerink Partners and us. There is no arrangement for funds to be received in any escrow, trust or similar arrangement. </w:t>
      </w:r>
    </w:p>
    <w:p>
      <w:pPr>
        <w:pStyle w:val="TextBody"/>
        <w:bidi w:val="0"/>
        <w:spacing w:lineRule="atLeast" w:line="230" w:before="160" w:after="283"/>
        <w:ind w:left="1753" w:right="0" w:firstLine="400"/>
        <w:jc w:val="left"/>
        <w:rPr/>
      </w:pPr>
      <w:r>
        <w:rPr>
          <w:rFonts w:ascii="Times New Roman;Times;serif" w:hAnsi="Times New Roman;Times;serif"/>
          <w:b w:val="false"/>
          <w:i w:val="false"/>
          <w:caps w:val="false"/>
          <w:smallCaps w:val="false"/>
          <w:color w:val="000000"/>
          <w:spacing w:val="4"/>
          <w:sz w:val="20"/>
        </w:rPr>
        <w:t xml:space="preserve">The compensation to Leerink Partners for sales of common stock pursuant to the sales agreement will be up to 3.0% of the gross proceeds of any shares of common stock sold under the sales agreement. In connection with the sale of the common stock on our behalf, Leerink Partners will be deemed to be an “underwriter” within the meaning of the Securities Act and the compensation of Leerink Partners will be deemed to be underwriting commissions or discounts. We have also agreed to provide indemnification and contribution to Leerink Partners with respect to certain liabilities, including liabilities under the Securities Act or the Securities Exchange Act of 1934, as amended (the “Exchange Act”). See “Plan of Distribution” beginning on page </w:t>
      </w:r>
      <w:hyperlink w:anchor="tPOD1">
        <w:r>
          <w:rPr>
            <w:rStyle w:val="InternetLink"/>
          </w:rPr>
          <w:t>SA-13</w:t>
        </w:r>
      </w:hyperlink>
      <w:r>
        <w:rPr>
          <w:rFonts w:ascii="Times New Roman;Times;serif" w:hAnsi="Times New Roman;Times;serif"/>
          <w:b w:val="false"/>
          <w:i w:val="false"/>
          <w:caps w:val="false"/>
          <w:smallCaps w:val="false"/>
          <w:color w:val="000000"/>
          <w:spacing w:val="4"/>
          <w:sz w:val="20"/>
        </w:rPr>
        <w:t xml:space="preserve"> for additional information regarding the compensation to be paid to Leerink Partners.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these securities involves significant risks. See the information included under “Risk Factors” on page </w:t>
      </w:r>
      <w:hyperlink w:anchor="tRIFA1">
        <w:r>
          <w:rPr>
            <w:rStyle w:val="InternetLink"/>
          </w:rPr>
          <w:t>SA-5</w:t>
        </w:r>
      </w:hyperlink>
      <w:r>
        <w:rPr>
          <w:rFonts w:ascii="Times New Roman;Times;serif" w:hAnsi="Times New Roman;Times;serif"/>
          <w:b/>
          <w:i w:val="false"/>
          <w:caps w:val="false"/>
          <w:smallCaps w:val="false"/>
          <w:color w:val="000000"/>
          <w:spacing w:val="-4"/>
          <w:sz w:val="20"/>
        </w:rPr>
        <w:t xml:space="preserve"> of this prospectus, and under similar headings in the documents incorporated by reference in this prospectus,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28"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Leerink Partners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7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OC2"/>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16"/>
        <w:gridCol w:w="109"/>
        <w:gridCol w:w="109"/>
        <w:gridCol w:w="109"/>
        <w:gridCol w:w="109"/>
        <w:gridCol w:w="67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16" w:type="dxa"/>
            <w:tcBorders/>
            <w:shd w:fill="CCEEFF" w:val="cle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72" w:type="dxa"/>
            <w:tcBorders/>
            <w:shd w:fill="CCEEFF" w:val="clear"/>
            <w:vAlign w:val="center"/>
          </w:tcPr>
          <w:p>
            <w:pPr>
              <w:pStyle w:val="TableContents"/>
              <w:bidi w:val="0"/>
              <w:spacing w:before="0" w:after="283"/>
              <w:jc w:val="right"/>
              <w:rPr/>
            </w:pPr>
            <w:hyperlink w:anchor="tATP1">
              <w:r>
                <w:rPr>
                  <w:rStyle w:val="InternetLink"/>
                  <w:spacing w:val="4"/>
                </w:rPr>
                <w:t>SA-1</w:t>
              </w:r>
            </w:hyperlink>
            <w:hyperlink w:anchor="tAT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6" w:type="dxa"/>
            <w:tcBorders/>
            <w:vAlign w:val="center"/>
          </w:tcPr>
          <w:p>
            <w:pPr>
              <w:pStyle w:val="TableContents"/>
              <w:bidi w:val="0"/>
              <w:spacing w:before="0" w:after="0"/>
              <w:ind w:left="200" w:right="0" w:hanging="200"/>
              <w:jc w:val="left"/>
              <w:rPr/>
            </w:pPr>
            <w:hyperlink w:anchor="tCNRF1">
              <w:r>
                <w:rPr>
                  <w:rStyle w:val="InternetLink"/>
                  <w:spacing w:val="4"/>
                </w:rPr>
                <w:t xml:space="preserve">CAUTIONARY NOTE REGARDING FORWARD-LOOKING STATEMENTS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2" w:type="dxa"/>
            <w:tcBorders/>
            <w:vAlign w:val="center"/>
          </w:tcPr>
          <w:p>
            <w:pPr>
              <w:pStyle w:val="TableContents"/>
              <w:bidi w:val="0"/>
              <w:spacing w:before="0" w:after="283"/>
              <w:jc w:val="right"/>
              <w:rPr/>
            </w:pPr>
            <w:hyperlink w:anchor="tCNRF1">
              <w:r>
                <w:rPr>
                  <w:rStyle w:val="InternetLink"/>
                  <w:spacing w:val="4"/>
                </w:rPr>
                <w:t>SA-2</w:t>
              </w:r>
            </w:hyperlink>
            <w:hyperlink w:anchor="tCN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16" w:type="dxa"/>
            <w:tcBorders/>
            <w:shd w:fill="CCEEFF" w:val="clear"/>
            <w:vAlign w:val="center"/>
          </w:tcPr>
          <w:p>
            <w:pPr>
              <w:pStyle w:val="TableContents"/>
              <w:bidi w:val="0"/>
              <w:spacing w:before="0" w:after="0"/>
              <w:jc w:val="left"/>
              <w:rPr/>
            </w:pPr>
            <w:hyperlink w:anchor="tPRSU1">
              <w:r>
                <w:rPr>
                  <w:rStyle w:val="InternetLink"/>
                  <w:spacing w:val="4"/>
                </w:rPr>
                <w:t xml:space="preserve">PROSPECTUS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72" w:type="dxa"/>
            <w:tcBorders/>
            <w:shd w:fill="CCEEFF" w:val="clear"/>
            <w:vAlign w:val="center"/>
          </w:tcPr>
          <w:p>
            <w:pPr>
              <w:pStyle w:val="TableContents"/>
              <w:bidi w:val="0"/>
              <w:spacing w:before="0" w:after="283"/>
              <w:jc w:val="right"/>
              <w:rPr/>
            </w:pPr>
            <w:hyperlink w:anchor="tPRSU1">
              <w:r>
                <w:rPr>
                  <w:rStyle w:val="InternetLink"/>
                  <w:spacing w:val="4"/>
                </w:rPr>
                <w:t>SA-3</w:t>
              </w:r>
            </w:hyperlink>
            <w:hyperlink w:anchor="tPRSU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6" w:type="dxa"/>
            <w:tcBorders/>
            <w:vAlign w:val="center"/>
          </w:tcPr>
          <w:p>
            <w:pPr>
              <w:pStyle w:val="TableContents"/>
              <w:bidi w:val="0"/>
              <w:spacing w:before="0" w:after="0"/>
              <w:jc w:val="left"/>
              <w:rPr/>
            </w:pPr>
            <w:hyperlink w:anchor="tTHOF1">
              <w:r>
                <w:rPr>
                  <w:rStyle w:val="InternetLink"/>
                  <w:spacing w:val="4"/>
                </w:rPr>
                <w:t xml:space="preserve">THE OFFERING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2" w:type="dxa"/>
            <w:tcBorders/>
            <w:vAlign w:val="center"/>
          </w:tcPr>
          <w:p>
            <w:pPr>
              <w:pStyle w:val="TableContents"/>
              <w:bidi w:val="0"/>
              <w:spacing w:before="0" w:after="283"/>
              <w:jc w:val="right"/>
              <w:rPr/>
            </w:pPr>
            <w:hyperlink w:anchor="tTHOF1">
              <w:r>
                <w:rPr>
                  <w:rStyle w:val="InternetLink"/>
                  <w:spacing w:val="4"/>
                </w:rPr>
                <w:t>SA-4</w:t>
              </w:r>
            </w:hyperlink>
            <w:hyperlink w:anchor="tTHO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16"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72" w:type="dxa"/>
            <w:tcBorders/>
            <w:shd w:fill="CCEEFF" w:val="clear"/>
            <w:vAlign w:val="center"/>
          </w:tcPr>
          <w:p>
            <w:pPr>
              <w:pStyle w:val="TableContents"/>
              <w:bidi w:val="0"/>
              <w:spacing w:before="0" w:after="283"/>
              <w:jc w:val="right"/>
              <w:rPr/>
            </w:pPr>
            <w:hyperlink w:anchor="tRIFA1">
              <w:r>
                <w:rPr>
                  <w:rStyle w:val="InternetLink"/>
                  <w:spacing w:val="4"/>
                </w:rPr>
                <w:t>SA-5</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6" w:type="dxa"/>
            <w:tcBorders/>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2" w:type="dxa"/>
            <w:tcBorders/>
            <w:vAlign w:val="center"/>
          </w:tcPr>
          <w:p>
            <w:pPr>
              <w:pStyle w:val="TableContents"/>
              <w:bidi w:val="0"/>
              <w:spacing w:before="0" w:after="283"/>
              <w:jc w:val="right"/>
              <w:rPr/>
            </w:pPr>
            <w:hyperlink w:anchor="tUOP1">
              <w:r>
                <w:rPr>
                  <w:rStyle w:val="InternetLink"/>
                  <w:spacing w:val="4"/>
                </w:rPr>
                <w:t>SA-7</w:t>
              </w:r>
            </w:hyperlink>
            <w:hyperlink w:anchor="tUO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16" w:type="dxa"/>
            <w:tcBorders/>
            <w:shd w:fill="CCEEFF" w:val="clear"/>
            <w:vAlign w:val="center"/>
          </w:tcPr>
          <w:p>
            <w:pPr>
              <w:pStyle w:val="TableContents"/>
              <w:bidi w:val="0"/>
              <w:spacing w:before="0" w:after="0"/>
              <w:jc w:val="left"/>
              <w:rPr/>
            </w:pPr>
            <w:hyperlink w:anchor="tDIL1">
              <w:r>
                <w:rPr>
                  <w:rStyle w:val="InternetLink"/>
                  <w:spacing w:val="4"/>
                </w:rPr>
                <w:t xml:space="preserve">DILUTION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72" w:type="dxa"/>
            <w:tcBorders/>
            <w:shd w:fill="CCEEFF" w:val="clear"/>
            <w:vAlign w:val="center"/>
          </w:tcPr>
          <w:p>
            <w:pPr>
              <w:pStyle w:val="TableContents"/>
              <w:bidi w:val="0"/>
              <w:spacing w:before="0" w:after="283"/>
              <w:jc w:val="right"/>
              <w:rPr/>
            </w:pPr>
            <w:hyperlink w:anchor="tDIL1">
              <w:r>
                <w:rPr>
                  <w:rStyle w:val="InternetLink"/>
                  <w:spacing w:val="4"/>
                </w:rPr>
                <w:t>SA-8</w:t>
              </w:r>
            </w:hyperlink>
            <w:hyperlink w:anchor="tDIL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6" w:type="dxa"/>
            <w:tcBorders/>
            <w:vAlign w:val="center"/>
          </w:tcPr>
          <w:p>
            <w:pPr>
              <w:pStyle w:val="TableContents"/>
              <w:bidi w:val="0"/>
              <w:spacing w:before="0" w:after="0"/>
              <w:jc w:val="left"/>
              <w:rPr/>
            </w:pPr>
            <w:hyperlink w:anchor="tDOCS1">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2" w:type="dxa"/>
            <w:tcBorders/>
            <w:vAlign w:val="center"/>
          </w:tcPr>
          <w:p>
            <w:pPr>
              <w:pStyle w:val="TableContents"/>
              <w:bidi w:val="0"/>
              <w:spacing w:before="0" w:after="283"/>
              <w:jc w:val="right"/>
              <w:rPr/>
            </w:pPr>
            <w:hyperlink w:anchor="tDOCS1">
              <w:r>
                <w:rPr>
                  <w:rStyle w:val="InternetLink"/>
                  <w:spacing w:val="4"/>
                </w:rPr>
                <w:t>SA-9</w:t>
              </w:r>
            </w:hyperlink>
            <w:hyperlink w:anchor="tDOC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16"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72" w:type="dxa"/>
            <w:tcBorders/>
            <w:shd w:fill="CCEEFF" w:val="clear"/>
            <w:vAlign w:val="center"/>
          </w:tcPr>
          <w:p>
            <w:pPr>
              <w:pStyle w:val="TableContents"/>
              <w:bidi w:val="0"/>
              <w:spacing w:before="0" w:after="283"/>
              <w:jc w:val="right"/>
              <w:rPr/>
            </w:pPr>
            <w:hyperlink w:anchor="tPOD1">
              <w:r>
                <w:rPr>
                  <w:rStyle w:val="InternetLink"/>
                  <w:spacing w:val="4"/>
                </w:rPr>
                <w:t>SA-13</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6" w:type="dxa"/>
            <w:tcBorders/>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2" w:type="dxa"/>
            <w:tcBorders/>
            <w:vAlign w:val="center"/>
          </w:tcPr>
          <w:p>
            <w:pPr>
              <w:pStyle w:val="TableContents"/>
              <w:bidi w:val="0"/>
              <w:spacing w:before="0" w:after="283"/>
              <w:jc w:val="right"/>
              <w:rPr/>
            </w:pPr>
            <w:hyperlink w:anchor="tLEMA1">
              <w:r>
                <w:rPr>
                  <w:rStyle w:val="InternetLink"/>
                  <w:spacing w:val="4"/>
                </w:rPr>
                <w:t>SA-14</w:t>
              </w:r>
            </w:hyperlink>
            <w:hyperlink w:anchor="tLEM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16" w:type="dxa"/>
            <w:tcBorders/>
            <w:shd w:fill="CCEEFF" w:val="cle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72" w:type="dxa"/>
            <w:tcBorders/>
            <w:shd w:fill="CCEEFF" w:val="clear"/>
            <w:vAlign w:val="center"/>
          </w:tcPr>
          <w:p>
            <w:pPr>
              <w:pStyle w:val="TableContents"/>
              <w:bidi w:val="0"/>
              <w:spacing w:before="0" w:after="283"/>
              <w:jc w:val="right"/>
              <w:rPr/>
            </w:pPr>
            <w:hyperlink w:anchor="tEXP1">
              <w:r>
                <w:rPr>
                  <w:rStyle w:val="InternetLink"/>
                  <w:spacing w:val="4"/>
                </w:rPr>
                <w:t>SA-14</w:t>
              </w:r>
            </w:hyperlink>
            <w:hyperlink w:anchor="tEX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6" w:type="dxa"/>
            <w:tcBorders/>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2" w:type="dxa"/>
            <w:tcBorders/>
            <w:vAlign w:val="center"/>
          </w:tcPr>
          <w:p>
            <w:pPr>
              <w:pStyle w:val="TableContents"/>
              <w:bidi w:val="0"/>
              <w:spacing w:before="0" w:after="283"/>
              <w:jc w:val="right"/>
              <w:rPr/>
            </w:pPr>
            <w:hyperlink w:anchor="tWYCF1">
              <w:r>
                <w:rPr>
                  <w:rStyle w:val="InternetLink"/>
                  <w:spacing w:val="4"/>
                </w:rPr>
                <w:t>SA-15</w:t>
              </w:r>
            </w:hyperlink>
            <w:hyperlink w:anchor="tWYC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16" w:type="dxa"/>
            <w:tcBorders/>
            <w:shd w:fill="CCEEFF" w:val="cle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72" w:type="dxa"/>
            <w:tcBorders/>
            <w:shd w:fill="CCEEFF" w:val="clear"/>
            <w:vAlign w:val="center"/>
          </w:tcPr>
          <w:p>
            <w:pPr>
              <w:pStyle w:val="TableContents"/>
              <w:bidi w:val="0"/>
              <w:spacing w:before="0" w:after="283"/>
              <w:jc w:val="right"/>
              <w:rPr/>
            </w:pPr>
            <w:hyperlink w:anchor="tIBR1">
              <w:r>
                <w:rPr>
                  <w:rStyle w:val="InternetLink"/>
                  <w:spacing w:val="4"/>
                </w:rPr>
                <w:t>SA-15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ATP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U.S. Securities and Exchange Commission (the “SEC”) utilizing a “shelf” registration process. By using a shelf registration statement, we may offer shares of our common stock having an aggregate offering price of up to $150,000,000 from time to time under this prospectus at prices and on terms to be determined by market conditions at the time of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prospectus and in any free writing prospectus that we may authorize for use in connection with this offering. We have not, and Leerink Partners has not, authorized any other person to provide you with different information. If anyone provides you with different or inconsistent information, you should not rely on it. We are not, and Leerink Partners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“Editas,” “we,” “our,” “us” and the “Company” in this prospectus, we mean Editas Medicine, Inc. and its consolidated subsidiaries unless otherwise specified. When we refer to “you,” we mean the potential purchasers of the common stock we may offer under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indicates, references in this prospectus to the “Company,” “we,” “our” and “us” refer, collectively, to Editas Medicine, Inc., a Delaware corporation,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NRF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by reference in this prospectus contain forward-looking statements within the meaning of Section 27A of the Securities Act and Section 21E of the Exchange Act regarding, among other things, the initiation, timing, progress and results of our preclinical studies and clinical trials and our research and development programs, receipt and presentation of data from our preclinical studies and clinical trials, potential of, and expectations for, our product candidates, the timing or likelihood of regulatory filings and approvals, our expectations regarding cash runway, and our business strategy, and other objectives for our operations.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Important factors that could cause actual results or events to differ materially from the forward-looking statements that we make include those in the section titled “Risk Factors” in Part I of our Annual Report on Form 10-K for the fiscal year ended December 31, 2025, as updated by our subsequent filings with the SEC. Our forward-looking statements do not reflect the potential impact of any future acquisitions, mergers, dispositions, joint ventures or investments that we may make.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information incorporated by reference in this prospectus completely and with the understanding that our actual future results may be materially different from what we expect. The forward-looking statements contained in this prospectus and the information incorporated by reference in this prospectus are made as of the date of this prospectus or such document incorporated by reference into this prospectus, and we do not assume any obligation to update any forward-looking statements, whether as a result of new information, future events or otherwise, except as required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information incorporated by reference, may contain estimates, projections and other information concerning our industry, our business, and the market for our product candidates,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any such information. Unless otherwise expressly stated, we obtained any such industry, business, market and other data from reports, research surveys, studies and similar data prepared by market research firms and other third parties, industry, medical and general publications, government data and similar sources.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industry, business, market and other information involves a number of assumptions and limitations, and you are cautioned not to give undue weight to such estimates. We have not independently verified any such third-party information and cannot assure you of its accuracy or completeness. Although we are responsible for all of the disclosure contained in this prospectus and we believe any market position, market opportunity, market size and other information included or incorporated by reference in this prospectus is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in the section titled “Risk Factors” and elsewhere in this prospectus or in the documents incorporated by reference herein. These and other factors could cause results to differ materially from those expressed in the estimates made by the independent parties and by 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PRSU1"/>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in this prospectus and in the documents we incorporate by reference herein. This summary does not contain all of the information you should consider before making an investment decision. You should read this prospectus carefully, especially the risks of investing in our common stock discussed under “Risk Factors” beginning on page </w:t>
      </w:r>
      <w:hyperlink w:anchor="tRIFA1">
        <w:r>
          <w:rPr>
            <w:rStyle w:val="InternetLink"/>
          </w:rPr>
          <w:t>SA-5</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and the “Risk Factor Summary” and “Risk Factors” sections of our most recent Annual Report on Form 10-K, any subsequent Quarterly Reports on Form 10-Q, and in other filings that we may make from time to time with the SEC, along with our consolidated financial statements and notes to those consolidated financial statements and the other information incorporated by reference in this prospectus,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pioneering gene editing company dedicated to developing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the development of in vivo gene editing medicines utilizing functional upregulation, which aims to increase the expression of a normal gene copy and its normal protein function to treat diseases caused by genetic mutations that eliminate or disrupt normal function. We believe the ability to provide in vivo gene editing, in which the medicine is injected or infused into the patient to edit the cells inside their body and functionally upregulates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platform to enable targeted delivery of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gene editing medicines to multiple cells and tissues, including the liver, hematopoietic stem cells (“HSCs”), and other cells and tissues.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September 2025, we announced the nomination of our lead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development candidate, EDIT</w:t>
        <w:noBreakHyphen/>
        <w:t>401, an experimental, potential best-in-class, one-time therapy to significantly reduce LDL-cholesterol (“LDL</w:t>
        <w:noBreakHyphen/>
        <w:t xml:space="preserve">C”) through upregulation of the LDL receptor (“LDLR”). EDIT-401 is designed to treat elevated levels of LDL-C, or hyperlipidemia, by directly editing the noncoding region of the LDLR gene to increase LDLR protein expression and reduce LDL-C levels. Our discovery and development efforts further include HSCs and other cells and tissues.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Delaware corporation that was incorporated in September 2013 under the name Gengine, Inc, and we changed our name to Editas Medicine, Inc. in November 2013. Our principal executive offices are located at 11 Hurley Street, Cambridge, Massachusetts, 02141, and our telephone number is (617) 401-9000. Our website address is www.editasmedicine.com. We have included our website address as an inactive textual reference only and information that is contained on, or can be accessed through, our website is not incorporated by reference in this prospectus. Our common stock trades on The Nasdaq Global Select Market under the symbol “EDIT”.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under Rule 405 of the Securities Act. We may continue to be a smaller reporting company if either (i) the market value of our stock held by non-affiliates was less than $250 million on the last business day of our most recently completed second fiscal quarter or (ii) our annual revenue was less than $100 million during the most recently completed fiscal year and the market value of our stock held by non-affiliates was less than $700 million on the last business day of our most recently completed second fiscal quarter. For so long as we remain a smaller reporting company, we are permitted and plan to rely on exemptions from certain disclosure and other requirements that are applicable to other public companies that are not smaller reporting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the information in this prospectus and that we provide to our investors may be different than what you might receive from other public reporting companies.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THOF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accordance with the terms of the sales agreement, we may offer and sell shares of our common stock from time to time through Leerink Partners having an aggregate offering price of up to $150,000,000.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after this offering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200,999,252 shares, assuming sales of 47,468,354 shares of our common stock in this offering at an offering price of $3.16 per share, which was the last reported sale price of our common stock on The Nasdaq Global Select Market on August 28, 2026. The actual number of shares issued will vary depending on how many shares of our common stock we choose to sell and the prices at which such sales occur.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Plan of Distribution </w:t>
      </w:r>
    </w:p>
    <w:p>
      <w:pPr>
        <w:pStyle w:val="TextBody"/>
        <w:bidi w:val="0"/>
        <w:spacing w:lineRule="atLeast" w:line="240" w:before="0" w:after="283"/>
        <w:ind w:left="4753" w:right="0" w:hanging="0"/>
        <w:jc w:val="left"/>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At the market offering” that may be made from time to time through Leerink Partners as our sales agent or principal. See “Plan of Distribution” on page </w:t>
      </w:r>
      <w:hyperlink w:anchor="tPOD1">
        <w:r>
          <w:rPr>
            <w:rStyle w:val="InternetLink"/>
          </w:rPr>
          <w:t>SA-13</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intend to use the net proceeds to us from this offering, if any, for progression of EDIT-401, including clinical development and manufacturing, research and development activities, working capital and other general corporate purposes.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have not determined the amount of net proceeds to be used specifically for such purposes. As a result, management will retain broad discretion over the allocation of net proceeds. See “Use of Proceeds” on page </w:t>
      </w:r>
      <w:hyperlink w:anchor="tUOP1">
        <w:r>
          <w:rPr>
            <w:rStyle w:val="InternetLink"/>
          </w:rPr>
          <w:t>SA-7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stock involves a high degree of risk. See “Risk Factors” beginning on page </w:t>
      </w:r>
      <w:hyperlink w:anchor="tRIFA1">
        <w:r>
          <w:rPr>
            <w:rStyle w:val="InternetLink"/>
          </w:rPr>
          <w:t>SA-5</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and the other information included in, or incorporated by reference into, this prospectus for a discussion of certain factors you should carefully consider before deciding to invest in shares of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Global Select Market symbol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EDIT”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common stock to be outstanding after this offering is based on 153,530,898 shares of our common stock outstanding as of June 30, 2026, and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12,287,025 shares of common stock issuable upon the exercise of stock options that were outstanding as of June 30, 2026, with a weighted-average exercise price of $5.94 per share;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8"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428,434 shares of common stock issuable upon the vesting of restricted stock unit awards that were outstanding and unvested as of June 30, 2026;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9"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55,555,556 shares of common stock (or pre-funded warrants for shares of common stock in lieu thereof) issuable upon the exercise of common stock warrants that were outstanding as of June 30, 2026, with an exercise price of $3.50 per share (or $3.4999 if the common stock warrant is being exercised for pre-funded warrants);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0"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8,502,733 shares of common stock reserved for issuance under our Amended and Restated 2015 Stock Incentive Plan (the “2015 Plan”) as of June 30, 2026; and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1"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2,685,252 shares of our common stock reserved for issuance under our 2015 Employee Stock Purchase Plan (the “2015 ESPP”) as of June 30, 2026.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Unless we specifically state otherwise, all information in this prospectus reflects and assumes no exercise of outstanding stock options, vesting of outstanding restricted stock units, or exercise of warrants described above.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RIFA1"/>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our common stock involves a high degree of risk. Before deciding whether to invest in our common stock, you should consider carefully the risks and uncertainties described below and under the section captioned “Risk Factors” and “Risk Factor Summary” contained in our most recent Annual Report on Form 10-K and any subsequent Quarterly Reports on Form 10-Q, as updated by our subsequent filings with the SEC from time to time, which are incorporated by reference herein in their entirety, together with other information in this prospectus, the information and documents incorporated by reference in this prospectus, and in any prospectus supplement or free writing prospectus that we authorize for use in connection with this offering, before making a decision about investing in our securities. If any of these risks actually occurs, our business, financial condition, results of operations or cash flow could suffer materially. In such event, the trading price of our common stock could decline and you might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immediate and substantial dilution in the net tangible book value per share of the common stock you purchase in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of our common stock being offered may be higher than the as adjusted net tangible book value per share of our common stock outstanding prior to this offering. Assuming that an aggregate of 47,468,354 shares are sold at a price of $3.16 per share, the last reported sale price of our common stock on The Nasdaq Global Select Market on August 28, 2026, for aggregate proceeds of $150,000,000 in this offering, and after deducting commissions and estimated aggregate offering expenses payable by us, you will suffer immediate and substantial dilution of $1.91 per share, representing the difference between the as adjusted net tangible book value per share of our common stock as of June 30, 2026 after giving effect to this offering and the assumed offering price. See the section entitled “Dilution” below for a more detailed discussion of the dilution you will incur if you purchase common stock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over the use of our cash, cash equivalents and marketable securities, including the net proceeds we receive in this offering, and may not use them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has broad discretion to use our cash, cash equivalents and marketable securities,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 is not possible to predict the aggregate proceeds resulting from sales made under the sales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in the sales agreement and compliance with applicable law, we have the discretion to deliver a placement notice to Leerink Partners at any time throughout the term of the sales agreement. The number of shares that are sold through Leerink Partners after delivering a placement notice will fluctuate based on a number of factors, including the market price of our common stock during the sales period, any limits we may set with Leerink Partners in any applicable placement notice and the demand for our common stock. Because the price per share of each share sold pursuant to the sales agreement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fluctuate over time, it is not currently possible to predict the aggregate proceeds to be raised in connection with sales under the sales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stock offered hereby will be sold in “at the market offerings” and investors who buy shares at different times will likely pay different prices.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UOP1"/>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and sell shares of our common stock having aggregate gross sales proceeds of up to $150,000,000 from time to time (before deducting sales agent commissions and expenses). Because there is no minimum offering amount required as a condition to close this offering, the actual total public offering amount, commissions and proceeds to us, if any, are not determinable at this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intend to use the net proceeds to us from this offering for progression of EDIT-401, including clinical development and manufacturing, research and development activities, working capital and other general corporate purposes. We believe opportunities may exist from time to time to expand our current business through acquisitions of or license or collaboration agreements with complementary companies, products, or technologies. While we have no current agreements, commitments or understandings for any specific acquisitions or license or collaboration agreements at this time, we may use a portion of the net proceeds for these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and timing of our actual use of the net proceeds may vary significantly depending on numerous factors, including the progress of our research and development efforts, the status of and results from preclinical studies and clinical trials, any collaborations that we may enter into with third parties for our programs, and any unforeseen cash needs. As of the date of this prospectus, we cannot specify with certainty all of the particular uses for the net proceeds to us from this offering. Accordingly, our management will have broad discretion in the timing and application of these proceeds. We do not expect that the net proceeds from this offering and our existing cash, cash equivalents and marketable securities will be sufficient to enable us to fund the completion of development of any product candidates we may develop.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application of the net proceeds as described above, we intend to invest the net proceeds in a variety of capital preservation investments including short-term, investment-grade, interest-bearing instruments, certificates of deposit or direct or guaranteed obligations of the U.S. government.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IL1"/>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our common stock, your interest will be diluted to the extent of the difference between the price per share you pay in this offering and the net tangible book value per share of our common stock immediately after this offering. Our net tangible book value as of June 30, 2026 was approximately $105.3 million, or $0.69 per share of common stock based upon 153,530,898 shares outstanding. Net tangible book value per share is equal to our total tangible assets, less our total liabilities, divided by the total number of shares outstanding as of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an assumed sale of 47,468,354 shares of our common stock in the aggregate amount of $150,000,000 in this offering at an assumed offering price of $3.16 per share, the last reported sale price of our common stock on the Nasdaq Global Select Market on August 28, 2026, and after deducting commissions and estimated offering expenses payable by us, our as adjusted net tangible book value as of June 30, 2026 would have been approximately $250.4 million, or $1.25 per share of common stock. This represents an immediate increase in net tangible book value of $0.56 per share to our existing stockholders and an immediate dilution of $1.91 per share to new investors in this offering. The following table illustrates this calculation on a per share basis. </w:t>
      </w:r>
    </w:p>
    <w:tbl>
      <w:tblPr>
        <w:tblW w:w="8812" w:type="dxa"/>
        <w:jc w:val="left"/>
        <w:tblInd w:w="1393" w:type="dxa"/>
        <w:tblLayout w:type="fixed"/>
        <w:tblCellMar>
          <w:top w:w="0" w:type="dxa"/>
          <w:left w:w="0" w:type="dxa"/>
          <w:bottom w:w="0" w:type="dxa"/>
          <w:right w:w="0" w:type="dxa"/>
        </w:tblCellMar>
      </w:tblPr>
      <w:tblGrid>
        <w:gridCol w:w="124"/>
        <w:gridCol w:w="6101"/>
        <w:gridCol w:w="109"/>
        <w:gridCol w:w="109"/>
        <w:gridCol w:w="109"/>
        <w:gridCol w:w="226"/>
        <w:gridCol w:w="554"/>
        <w:gridCol w:w="109"/>
        <w:gridCol w:w="109"/>
        <w:gridCol w:w="109"/>
        <w:gridCol w:w="109"/>
        <w:gridCol w:w="226"/>
        <w:gridCol w:w="55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101" w:type="dxa"/>
            <w:tcBorders/>
            <w:shd w:fill="CCEEFF" w:val="clear"/>
            <w:vAlign w:val="center"/>
          </w:tcPr>
          <w:p>
            <w:pPr>
              <w:pStyle w:val="TableContents"/>
              <w:bidi w:val="0"/>
              <w:spacing w:before="0" w:after="0"/>
              <w:jc w:val="left"/>
              <w:rPr>
                <w:spacing w:val="4"/>
              </w:rPr>
            </w:pPr>
            <w:r>
              <w:rPr>
                <w:spacing w:val="4"/>
              </w:rPr>
              <w:t xml:space="preserve">Assumed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4" w:type="dxa"/>
            <w:tcBorders/>
            <w:shd w:fill="CCEEFF" w:val="clear"/>
            <w:vAlign w:val="center"/>
          </w:tcPr>
          <w:p>
            <w:pPr>
              <w:pStyle w:val="TableContents"/>
              <w:bidi w:val="0"/>
              <w:spacing w:before="0" w:after="283"/>
              <w:jc w:val="right"/>
              <w:rPr/>
            </w:pPr>
            <w:r>
              <w:rPr/>
              <w:t xml:space="preserve">3.16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01" w:type="dxa"/>
            <w:tcBorders/>
            <w:vAlign w:val="center"/>
          </w:tcPr>
          <w:p>
            <w:pPr>
              <w:pStyle w:val="TableContents"/>
              <w:bidi w:val="0"/>
              <w:spacing w:before="0" w:after="0"/>
              <w:ind w:left="200" w:right="0" w:hanging="0"/>
              <w:jc w:val="left"/>
              <w:rPr>
                <w:spacing w:val="4"/>
              </w:rPr>
            </w:pPr>
            <w:r>
              <w:rPr>
                <w:spacing w:val="4"/>
              </w:rPr>
              <w:t xml:space="preserve">Historical 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4" w:type="dxa"/>
            <w:tcBorders/>
            <w:vAlign w:val="center"/>
          </w:tcPr>
          <w:p>
            <w:pPr>
              <w:pStyle w:val="TableContents"/>
              <w:bidi w:val="0"/>
              <w:spacing w:before="0" w:after="283"/>
              <w:jc w:val="right"/>
              <w:rPr/>
            </w:pPr>
            <w:r>
              <w:rPr/>
              <w:t xml:space="preserve">0.69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4"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101"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4"/>
              </w:rPr>
            </w:pPr>
            <w:r>
              <w:rPr>
                <w:spacing w:val="4"/>
              </w:rPr>
              <w:t xml:space="preserve">Increase in as adjusted net tangible book value per share attributable to new investors purchasing shares in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554"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0.56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5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101"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As adjusted net tangible book value per share after giving effect to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55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54" w:type="dxa"/>
            <w:tcBorders>
              <w:bottom w:val="single" w:sz="2" w:space="0" w:color="000000"/>
            </w:tcBorders>
            <w:tcMar>
              <w:bottom w:w="50" w:type="dxa"/>
            </w:tcMar>
            <w:vAlign w:val="center"/>
          </w:tcPr>
          <w:p>
            <w:pPr>
              <w:pStyle w:val="TableContents"/>
              <w:bidi w:val="0"/>
              <w:spacing w:before="0" w:after="283"/>
              <w:jc w:val="right"/>
              <w:rPr/>
            </w:pPr>
            <w:r>
              <w:rPr/>
              <w:t xml:space="preserve">1.25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01" w:type="dxa"/>
            <w:tcBorders/>
            <w:shd w:fill="CCEEFF" w:val="clear"/>
            <w:vAlign w:val="center"/>
          </w:tcPr>
          <w:p>
            <w:pPr>
              <w:pStyle w:val="TableContents"/>
              <w:bidi w:val="0"/>
              <w:spacing w:before="0" w:after="0"/>
              <w:jc w:val="left"/>
              <w:rPr>
                <w:spacing w:val="4"/>
              </w:rPr>
            </w:pPr>
            <w:r>
              <w:rPr>
                <w:spacing w:val="4"/>
              </w:rPr>
              <w:t xml:space="preserve">Dilution per share to new investors purchasing shares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554" w:type="dxa"/>
            <w:tcBorders>
              <w:bottom w:val="double" w:sz="8" w:space="0" w:color="000000"/>
            </w:tcBorders>
            <w:shd w:fill="CCEEFF" w:val="clear"/>
            <w:tcMar>
              <w:bottom w:w="30" w:type="dxa"/>
            </w:tcMar>
            <w:vAlign w:val="center"/>
          </w:tcPr>
          <w:p>
            <w:pPr>
              <w:pStyle w:val="TableContents"/>
              <w:bidi w:val="0"/>
              <w:spacing w:before="0" w:after="283"/>
              <w:jc w:val="right"/>
              <w:rPr/>
            </w:pPr>
            <w:r>
              <w:rPr/>
              <w:t>1.91</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sold in this offering, if any, will be sold from time to time at various prices. The as adjusted information is illustrative only and will adjust based on the actual price to the public, the actual number of shares sold and other terms of the offering determined at the time shares of our common stock are sold pursuant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table and calculations are based on 153,530,898 shares of our common stock issued and outstanding as of June 30, 2026, and exclude: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12,287,025 shares of common stock issuable upon the exercise of stock options that were outstanding as of June 30, 2026, with a weighted-average exercise price of $5.94 per share;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428,434 shares of common stock issuable upon the vesting of restricted stock unit awards that were outstanding and unvested as of June 30, 2026;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4"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55,555,556 shares of common stock (or pre-funded warrants for shares of common stock in lieu thereof) issuable upon the exercise of common stock warrants that were outstanding as of June 30, 2026, with an exercise price of $3.50 per share (or $3.4999 if the common stock warrant is being exercised for pre-funded warrants);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5"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8,502,733 shares of common stock reserved for issuance under the 2015 Plan as of June 30, 2026; and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6"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2,685,252 shares of our common stock reserved for issuance under the 2015 ESPP as of June 30, 2026.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7"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specifically state otherwise, all information in this prospectus reflects and assumes no exercise of outstanding stock options, vesting of restricted stock units, or exercise of warrants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CS1"/>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intended as a summary only and therefore is not a complete description of our capital stock. This description is based upon, and is qualified by reference to, our restated certificate of incorporation, as amended, our amended and restated by-laws and applicable provisions of Delaware corporate law. You should read our restated certificate of incorporation and amended and restated by-laws, which are filed as exhibits to the registration statement of which this prospectus forms a part, for the provisions that are important to you.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390,000,000 shares of common stock and 5,000,000 shares of preferred stock. As of July 31, 2026, 153,580,035 shares of common stock were outstanding and no shares of preferred stock were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Annual Meeting.   </w:t>
      </w:r>
      <w:r>
        <w:rPr>
          <w:rFonts w:ascii="Times New Roman;Times;serif" w:hAnsi="Times New Roman;Times;serif"/>
          <w:b w:val="false"/>
          <w:i w:val="false"/>
          <w:caps w:val="false"/>
          <w:smallCaps w:val="false"/>
          <w:color w:val="000000"/>
          <w:spacing w:val="4"/>
          <w:sz w:val="20"/>
        </w:rPr>
        <w:t xml:space="preserve">Annual meetings of our stockholders are held on the date designated in accordance with our amended 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and may be called only by the board of directors, the chairman of the board, or the chief executive officer, and business to be transacted at any special meeting is limited to matters related to the purpose or purposes stated in the notice of the meeting. Except as may be otherwise provided by applicable law, our restated certificate of incorporation, as amended, or our amended and restated by-laws,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and any election by stockholders of directors shall be determined by a plurality of the votes cast by the stockholders entitled to vote on the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common stock is entitled to one vote for each share held of record on all matters to be voted upon by stockholders, including the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the rights, powers and preferences of any outstanding preferred stock, and except as provided by law or in our restated certificate of incorporation, dividends may be declared and paid or set aside for payment on the common stock out of legally available assets or funds when and as declared by the board of directors. The payment of dividends is contingent upon our revenue and earnings, capital requirements, and general financial condition, as well as contractual restrictions and other considerations deemed to be relevant by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and Dissolution</w:t>
      </w:r>
      <w:r>
        <w:rPr>
          <w:rFonts w:ascii="Times New Roman;Times;serif" w:hAnsi="Times New Roman;Times;serif"/>
          <w:b w:val="false"/>
          <w:i w:val="false"/>
          <w:caps w:val="false"/>
          <w:smallCaps w:val="false"/>
          <w:color w:val="000000"/>
          <w:spacing w:val="4"/>
          <w:sz w:val="20"/>
        </w:rPr>
        <w:t xml:space="preserve">.   If we are liquidated or dissolved, the holders of the common stock will be entitled to share in our assets available for distribution to stockholders in proportion to the amount of common stock they own. The amount available for common stockholders is calculated after payment of all debts and other liabilities. Holders of any preferred stock will receive a preferential share of our assets before the holders of the common stock receive any assets.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the common stock have no right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 the stock into any other security;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8"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the stock redeemed;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9"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additional stock; or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0"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their proportionate ownership interest.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1"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does not have cumulative voting rights. Holders of shares of the common stock are not required to make additional capital contributions.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Computershare Trust Company, N.A. is transfer agent and registrar for the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we offer will be described in the prospectus supplement relating to that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of Our Restated Certificate of Incorporation and Amended and Restated By-laws and Delaware Law That May Have Anti-Takeover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our restated certificate of incorporation, and our amended and restated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Staggered Board; Removal of Directors</w:t>
      </w:r>
      <w:r>
        <w:rPr>
          <w:rFonts w:ascii="Times New Roman;Times;serif" w:hAnsi="Times New Roman;Times;serif"/>
          <w:b w:val="false"/>
          <w:i w:val="false"/>
          <w:caps w:val="false"/>
          <w:smallCaps w:val="false"/>
          <w:color w:val="000000"/>
          <w:spacing w:val="4"/>
          <w:sz w:val="20"/>
        </w:rPr>
        <w:t xml:space="preserve">.   Our restated certificate of incorporation and amended and restated by-laws divide our board of directors into three classes with staggered three-year terms. In addition, a director may be removed only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Action by Written Consent; Special Meetings</w:t>
      </w:r>
      <w:r>
        <w:rPr>
          <w:rFonts w:ascii="Times New Roman;Times;serif" w:hAnsi="Times New Roman;Times;serif"/>
          <w:b w:val="false"/>
          <w:i w:val="false"/>
          <w:caps w:val="false"/>
          <w:smallCaps w:val="false"/>
          <w:color w:val="000000"/>
          <w:spacing w:val="4"/>
          <w:sz w:val="20"/>
        </w:rPr>
        <w:t xml:space="preserve">.   Our restated certificate of incorporation provides that any action required or permitted to be taken by our stockholders must be effected at a duly called annual or special meeting of such holders and may not be effected by any consent in writing by such holders. Our restated certificate of incorporation and amended and restated by-laws also provide that, except as otherwise required by law, special meetings of our stockholders can only be called by the chairman of our board of directors, our Chief Executive Officer, or our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Requirements for Stockholder Proposals</w:t>
      </w:r>
      <w:r>
        <w:rPr>
          <w:rFonts w:ascii="Times New Roman;Times;serif" w:hAnsi="Times New Roman;Times;serif"/>
          <w:b w:val="false"/>
          <w:i w:val="false"/>
          <w:caps w:val="false"/>
          <w:smallCaps w:val="false"/>
          <w:color w:val="000000"/>
          <w:spacing w:val="4"/>
          <w:sz w:val="20"/>
        </w:rPr>
        <w:t xml:space="preserve">.   Our amended and restated by-laws establish 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Delaware Business Combination Statute.   </w:t>
      </w: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such date, the board of directors of the corporation approved either the business combination or the transaction that resulted in the stockholder becoming an interested stockholder; </w:t>
      </w:r>
      <w:r>
        <mc:AlternateContent>
          <mc:Choice Requires="wps">
            <w:drawing>
              <wp:anchor behindDoc="0" distT="7747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2"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3"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or after such date, the business combination is approved by the board of directors and authorized at an annual or special meeting of the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4"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business combinations to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5"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transfer, pledge or other disposition of 10% or more of the assets of the corporation to or with the interested stockholder;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6"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that results in the issuance or transfer by the corporation of any stock of the corporation to the interested stockholder;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7"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or any class or series of the corporation beneficially owned by the interested stockholder; or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8"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loss, advances, guarantees, pledges or other financial benefits by or through the corporation.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9"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Certificate of Incorporation and By-laws</w:t>
      </w:r>
      <w:r>
        <w:rPr>
          <w:rFonts w:ascii="Times New Roman;Times;serif" w:hAnsi="Times New Roman;Times;serif"/>
          <w:b w:val="false"/>
          <w:i w:val="false"/>
          <w:caps w:val="false"/>
          <w:smallCaps w:val="false"/>
          <w:color w:val="000000"/>
          <w:spacing w:val="4"/>
          <w:sz w:val="20"/>
        </w:rPr>
        <w:t xml:space="preserve">.   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restated certificate of incorporation described above under “— Staggered Board; Removal of Directors” and “— Stockholder Action by Written Consent; Special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Exclusive Forum Selection</w:t>
      </w:r>
      <w:r>
        <w:rPr>
          <w:rFonts w:ascii="Times New Roman;Times;serif" w:hAnsi="Times New Roman;Times;serif"/>
          <w:b w:val="false"/>
          <w:i w:val="false"/>
          <w:caps w:val="false"/>
          <w:smallCaps w:val="false"/>
          <w:color w:val="000000"/>
          <w:spacing w:val="4"/>
          <w:sz w:val="20"/>
        </w:rPr>
        <w:t xml:space="preserve">.   Our restated certificate of incorporation provides that the Court of Chancery of the State of Delaware shall be the sole and exclusive forum for (1) any derivative action or proceeding brought on behalf of our company, (2) any action asserting a claim of breach of a fiduciary duty owed by any of our directors, officers, or other employees to our company or our stockholders, (3) any action asserting a claim against our company arising pursuant to any provision of the General Corporation Law of the State of Delaware or our restated certificate of incorporation or amended and restated by-laws, or (4) any action asserting a claim against our company governed by the internal affairs doctrine. Although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certificate of incorporation contains the choice of forum provision described above, it is possible that a court could rule that such a provision is inapplicable for a particular claim or action or that such provision is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Blank Check Preferred Stock</w:t>
      </w:r>
      <w:r>
        <w:rPr>
          <w:rFonts w:ascii="Times New Roman;Times;serif" w:hAnsi="Times New Roman;Times;serif"/>
          <w:b w:val="false"/>
          <w:i w:val="false"/>
          <w:caps w:val="false"/>
          <w:smallCaps w:val="false"/>
          <w:color w:val="000000"/>
          <w:spacing w:val="4"/>
          <w:sz w:val="20"/>
        </w:rPr>
        <w:t xml:space="preserve">.   Our restated certificate of incorporation provides for 5,000,000 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interests of our company, our board of directors could cause shares of preferred stock to be issued without stockholder approval in one or more private offerings or other transactions that might dilute the voting or other rights of the proposed acquiror or insurgent shareholder or shareholder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such holders and may have the effect of delaying, deterring, or preventing a change in control of the company. Our board of directors currently does not intend to seek shareholder approval prior to any issuance of shares of preferred stock, unless otherwise required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Our authorized but unissued shares of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OD1"/>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 sales agreement with Leerink Partners, under which we may offer and sell our shares of common stock from time to time through Leerink Partners acting as agent. Pursuant to this prospectus, we may offer and sell up to $150,000,000 of our shares of common stock. Sales of our shares of common stock, if any, under this prospectus will be made by any method that is deemed to be an “at the market offering” as defined in Rule 415(a)(4) under the Securities Act. The below description of the material provisions of the sales agreement does not purport to be a complete statement of its terms and conditions. A copy of the sales agreement has been filed as an exhibit to the registration statement of which this prospectus forms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Leerink Partners will offer our common stock subject to the terms and conditions of the sales agreement on a daily basis or as otherwise agreed upon by us and Leerink Partners. We will designate the maximum number or amount of common stock to be sold through Leerink Partners on a daily basis or otherwise determine such maximum number or amount together with Leerink Partners. Subject to the terms and conditions of the sales agreement, Leerink Partners will use commercially reasonable efforts to sell on our behalf all of the common stock requested to be sold by us, but they are not required to sell any specific number or dollar amount of securities. We may instruct Leerink Partners not to sell common stock if the sales cannot be effected at or above a minimum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compensation payable to Leerink Partners is up to 3.0% of the gross proceeds from the sale of the shares sold through it pursuant to the sales agreement. We also agreed to reimburse Leerink Partners up to $75,000 of Leerink Partners’ actual outside legal expenses incurred by Leerink Partners, which was payable upon execution of the sales agreement, plus certain ongoing outside legal expenses in connection with certain specified expenses. We estimate that the total expenses of the offering payable by us, excluding commissions payable to Leerink Partners under the sales agreement, will be approximately $430,000. The remaining sales proceeds, after deducting any expenses payable by us and any transaction fees imposed by any governmental, regulatory or self-regulatory organization in connection with the sales of our common stock, will equal our net proceeds for the sale of such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Leerink Partners will provide written confirmation to us following the close of trading on The Nasdaq Global Select Market after each day on which common stock is sold through it as sales agent under the sales agreement. Each confirmation will include the number of shares of common stock sold through it as sales agent on that day, the volume-weighted average price of the shares sold, the percentage of the daily trading volume and the net proceeds to us from such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at least quarterly the number of shares of common stock sold through Leerink Partners under the sales agreement and the net proceeds to us in connection with the sales of common stock during the relevant period. Settlement for sales of common stock will occur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our common stock on our behalf pursuant to the sales agreement, Leerink Partners will be deemed to be an “underwriter” within the meaning of the Securities Act and the compensation paid to Leerink Partners will be deemed to be an underwriting commission or discount. We have agreed in the sales agreement to provide indemnification and contribution to Leerink Partners with respect to certain liabilities, including liabilities under the Securities Act or the Exchange Act. As sales agent, Leerink Partners will not engage in any transactions that stabilize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and trades under the symbol “EDIT.”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Leerink Partners and/or its affiliates have provided, and may in the future provide, various investment banking and other financial services for us for which services they have received and, may in the future receive, customary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LEMA1"/>
      <w:bookmarkEnd w:id="31"/>
      <w:r>
        <w:rPr>
          <w:rFonts w:ascii="calibri;arial;sans-serif" w:hAnsi="calibri;arial;sans-serif"/>
          <w:b w:val="false"/>
          <w:i w:val="false"/>
          <w:caps w:val="false"/>
          <w:smallCaps w:val="false"/>
          <w:color w:val="000000"/>
          <w:sz w:val="16"/>
        </w:rPr>
        <w:t>​</w:t>
      </w:r>
      <w:bookmarkStart w:id="32" w:name="tEXP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shares of common stock offered hereby will be passed upon for us by Wilmer Cutler Pickering Hale and Dorr LLP, Boston, Massachusetts. Leerink Partners LLC is being represented in connection with this offering by Davis Polk &amp; Wardwell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WYCF1"/>
      <w:bookmarkEnd w:id="33"/>
      <w:r>
        <w:rPr>
          <w:rFonts w:ascii="calibri;arial;sans-serif" w:hAnsi="calibri;arial;sans-serif"/>
          <w:b w:val="false"/>
          <w:i w:val="false"/>
          <w:caps w:val="false"/>
          <w:smallCaps w:val="false"/>
          <w:color w:val="000000"/>
          <w:sz w:val="16"/>
        </w:rPr>
        <w:t>​</w:t>
      </w:r>
      <w:bookmarkStart w:id="34" w:name="tIBR1"/>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www.editasmedicine.com. We have included our website address as an inactive textual reference only and information that is contained on, or can be accessed through, our website is not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 by reference the documents listed below (File No. 001-37687)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lineRule="atLeast" w:line="240" w:before="120" w:after="0"/>
        <w:ind w:left="1993" w:right="0" w:hanging="0"/>
        <w:jc w:val="left"/>
        <w:rPr/>
      </w:pPr>
      <w:hyperlink r:id="rId21">
        <w:r>
          <w:rPr>
            <w:rStyle w:val="InternetLink"/>
          </w:rPr>
          <w:t>Annual Report on Form 10-K for the fiscal year ended December 31, 2025, as filed with the SEC on March 9, 2026</w:t>
        </w:r>
      </w:hyperlink>
      <w:r>
        <w:rPr>
          <w:rFonts w:ascii="Times New Roman;Times;serif" w:hAnsi="Times New Roman;Times;serif"/>
          <w:b w:val="false"/>
          <w:i w:val="false"/>
          <w:caps w:val="false"/>
          <w:smallCaps w:val="false"/>
          <w:color w:val="000000"/>
          <w:spacing w:val="4"/>
          <w:sz w:val="20"/>
        </w:rPr>
        <w:t xml:space="preserve"> including the information specifically incorporated by reference into the Annual Report on Form 10-K from our </w:t>
      </w:r>
      <w:hyperlink r:id="rId22">
        <w:r>
          <w:rPr>
            <w:rStyle w:val="InternetLink"/>
          </w:rPr>
          <w:t>definitive proxy statement for the 2026 Annual Meeting of Stockholders, as filed with the SEC on April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0"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Quarterly Reports on Form 10-Q for the fiscal quarters ended March 31, 2026 and June 30, 2026, as filed with the SEC on </w:t>
      </w:r>
      <w:hyperlink r:id="rId23">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w:t>
      </w:r>
      <w:hyperlink r:id="rId24">
        <w:r>
          <w:rPr>
            <w:rStyle w:val="InternetLink"/>
          </w:rPr>
          <w:t>August 5,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1"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as filed with the SEC on </w:t>
      </w:r>
      <w:hyperlink r:id="rId25">
        <w:r>
          <w:rPr>
            <w:rStyle w:val="InternetLink"/>
          </w:rPr>
          <w:t>March 27, 2026</w:t>
        </w:r>
      </w:hyperlink>
      <w:r>
        <w:rPr>
          <w:rFonts w:ascii="Times New Roman;Times;serif" w:hAnsi="Times New Roman;Times;serif"/>
          <w:b w:val="false"/>
          <w:i w:val="false"/>
          <w:caps w:val="false"/>
          <w:smallCaps w:val="false"/>
          <w:color w:val="000000"/>
          <w:spacing w:val="4"/>
          <w:sz w:val="20"/>
        </w:rPr>
        <w:t xml:space="preserve"> (Item 8.01 only), </w:t>
      </w:r>
      <w:hyperlink r:id="rId26">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May 14, 2026</w:t>
        </w:r>
      </w:hyperlink>
      <w:r>
        <w:rPr>
          <w:rFonts w:ascii="Times New Roman;Times;serif" w:hAnsi="Times New Roman;Times;serif"/>
          <w:b w:val="false"/>
          <w:i w:val="false"/>
          <w:caps w:val="false"/>
          <w:smallCaps w:val="false"/>
          <w:color w:val="000000"/>
          <w:spacing w:val="4"/>
          <w:sz w:val="20"/>
        </w:rPr>
        <w:t xml:space="preserve"> (Item 8.01 only), </w:t>
      </w:r>
      <w:hyperlink r:id="rId28">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(Item 8.01 only), </w:t>
      </w:r>
      <w:hyperlink r:id="rId29">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June 18, 2026</w:t>
        </w:r>
      </w:hyperlink>
      <w:r>
        <w:rPr>
          <w:rFonts w:ascii="Times New Roman;Times;serif" w:hAnsi="Times New Roman;Times;serif"/>
          <w:b w:val="false"/>
          <w:i w:val="false"/>
          <w:caps w:val="false"/>
          <w:smallCaps w:val="false"/>
          <w:color w:val="000000"/>
          <w:spacing w:val="4"/>
          <w:sz w:val="20"/>
        </w:rPr>
        <w:t xml:space="preserve">, and </w:t>
      </w:r>
      <w:hyperlink r:id="rId32">
        <w:r>
          <w:rPr>
            <w:rStyle w:val="InternetLink"/>
          </w:rPr>
          <w:t>August 5, 2026</w:t>
        </w:r>
      </w:hyperlink>
      <w:r>
        <w:rPr>
          <w:rFonts w:ascii="Times New Roman;Times;serif" w:hAnsi="Times New Roman;Times;serif"/>
          <w:b w:val="false"/>
          <w:i w:val="false"/>
          <w:caps w:val="false"/>
          <w:smallCaps w:val="false"/>
          <w:color w:val="000000"/>
          <w:spacing w:val="4"/>
          <w:sz w:val="20"/>
        </w:rPr>
        <w:t xml:space="preserve"> (Item 5.02 only); and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2"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w:t>
      </w:r>
      <w:hyperlink r:id="rId33">
        <w:r>
          <w:rPr>
            <w:rStyle w:val="InternetLink"/>
          </w:rPr>
          <w:t>Registration Statement on Form 8-A as filed with the SEC on January 29, 2016</w:t>
        </w:r>
      </w:hyperlink>
      <w:r>
        <w:rPr>
          <w:rFonts w:ascii="Times New Roman;Times;serif" w:hAnsi="Times New Roman;Times;serif"/>
          <w:b w:val="false"/>
          <w:i w:val="false"/>
          <w:caps w:val="false"/>
          <w:smallCaps w:val="false"/>
          <w:color w:val="000000"/>
          <w:spacing w:val="4"/>
          <w:sz w:val="20"/>
        </w:rPr>
        <w:t xml:space="preserve">, as the description therein has been updated and superseded by the description of our capital stock contained in </w:t>
      </w:r>
      <w:hyperlink r:id="rId34">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as filed with the SEC on March 9, 2026, and including any amendments and reports filed for the purpose of updating such description.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3"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contained in a document incorporated by reference into this prospectus shall be deemed to be modified or superseded for purposes of this prospectus to the extent that a statement contained in this prospectus, any future prospectus supplement or in any other subsequently filed document which is also incorporated in this prospectus modifies or replaces such statement. Any statements so modified or superseded shall not be deemed, except as so modified or superseded, to constitute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Editas Medicine,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 Hurley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Cambridge, MA 02141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(617) 401-9000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or any accompanying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119" w:after="283"/>
        <w:jc w:val="center"/>
        <w:rPr>
          <w:caps w:val="false"/>
          <w:smallCaps w:val="false"/>
          <w:color w:val="000000"/>
        </w:rPr>
      </w:pPr>
      <w:r>
        <w:rPr>
          <w:caps w:val="false"/>
          <w:smallCaps w:val="false"/>
          <w:color w:val="000000"/>
        </w:rPr>
        <w:drawing>
          <wp:inline distT="0" distB="0" distL="0" distR="0">
            <wp:extent cx="2219325" cy="923925"/>
            <wp:effectExtent l="0" t="0" r="0" b="0"/>
            <wp:docPr id="2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4" descr=""/>
                    <pic:cNvPicPr>
                      <a:picLocks noChangeAspect="1" noChangeArrowheads="1"/>
                    </pic:cNvPicPr>
                  </pic:nvPicPr>
                  <pic:blipFill>
                    <a:blip r:embed="rId35"/>
                    <a:stretch>
                      <a:fillRect/>
                    </a:stretch>
                  </pic:blipFill>
                  <pic:spPr bwMode="auto">
                    <a:xfrm>
                      <a:off x="0" y="0"/>
                      <a:ext cx="2219325" cy="923925"/>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94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Up to $150,000,000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1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44"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2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110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Leerink Partners</w:t>
      </w:r>
      <w:r>
        <w:rPr>
          <w:rFonts w:ascii="Times New Roman;Times;serif" w:hAnsi="Times New Roman;Times;serif"/>
          <w:b/>
          <w:i w:val="false"/>
          <w:caps w:val="false"/>
          <w:smallCaps w:val="false"/>
          <w:color w:val="000000"/>
          <w:spacing w:val="7"/>
          <w:sz w:val="36"/>
        </w:rPr>
        <w:t xml:space="preserve"> </w:t>
      </w:r>
    </w:p>
    <w:p>
      <w:pPr>
        <w:pStyle w:val="TextBody"/>
        <w:bidi w:val="0"/>
        <w:spacing w:before="119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81"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69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estimates (except in the case of the SEC registration fee) of the amount of fees and expenses to be incurred in connection with the issuance and distribution of the offered securities, other than underwriting discounts and commissions. </w:t>
      </w:r>
    </w:p>
    <w:tbl>
      <w:tblPr>
        <w:tblW w:w="8150" w:type="dxa"/>
        <w:jc w:val="left"/>
        <w:tblInd w:w="1393" w:type="dxa"/>
        <w:tblLayout w:type="fixed"/>
        <w:tblCellMar>
          <w:top w:w="0" w:type="dxa"/>
          <w:left w:w="0" w:type="dxa"/>
          <w:bottom w:w="0" w:type="dxa"/>
          <w:right w:w="0" w:type="dxa"/>
        </w:tblCellMar>
      </w:tblPr>
      <w:tblGrid>
        <w:gridCol w:w="124"/>
        <w:gridCol w:w="6144"/>
        <w:gridCol w:w="109"/>
        <w:gridCol w:w="109"/>
        <w:gridCol w:w="109"/>
        <w:gridCol w:w="226"/>
        <w:gridCol w:w="10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55,240.00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4" w:type="dxa"/>
            <w:tcBorders/>
            <w:vAlign w:val="center"/>
          </w:tcPr>
          <w:p>
            <w:pPr>
              <w:pStyle w:val="TableContents"/>
              <w:bidi w:val="0"/>
              <w:spacing w:before="0" w:after="0"/>
              <w:jc w:val="left"/>
              <w:rPr>
                <w:spacing w:val="4"/>
              </w:rPr>
            </w:pPr>
            <w:r>
              <w:rPr>
                <w:spacing w:val="4"/>
              </w:rPr>
              <w:t xml:space="preserve">Printing and engraving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6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jc w:val="left"/>
              <w:rPr>
                <w:spacing w:val="4"/>
              </w:rPr>
            </w:pPr>
            <w:r>
              <w:rPr>
                <w:spacing w:val="4"/>
              </w:rPr>
              <w:t xml:space="preserve">Accounting services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66" w:type="dxa"/>
            <w:tcBorders/>
            <w:shd w:fill="CCEEFF" w:val="clear"/>
            <w:vAlign w:val="center"/>
          </w:tcPr>
          <w:p>
            <w:pPr>
              <w:pStyle w:val="TableContents"/>
              <w:bidi w:val="0"/>
              <w:spacing w:before="0" w:after="0"/>
              <w:jc w:val="right"/>
              <w:rPr/>
            </w:pPr>
            <w:r>
              <w:rPr/>
              <w:t>​</w:t>
            </w:r>
            <w:r>
              <w:rPr>
                <w:sz w:val="13"/>
              </w:rPr>
              <w:t>(1)</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4" w:type="dxa"/>
            <w:tcBorders/>
            <w:vAlign w:val="center"/>
          </w:tcPr>
          <w:p>
            <w:pPr>
              <w:pStyle w:val="TableContents"/>
              <w:bidi w:val="0"/>
              <w:spacing w:before="0" w:after="0"/>
              <w:jc w:val="left"/>
              <w:rPr>
                <w:spacing w:val="4"/>
              </w:rPr>
            </w:pPr>
            <w:r>
              <w:rPr>
                <w:spacing w:val="4"/>
              </w:rPr>
              <w:t xml:space="preserve">Legal fees of registrant’s counsel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6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jc w:val="left"/>
              <w:rPr>
                <w:spacing w:val="4"/>
              </w:rPr>
            </w:pPr>
            <w:r>
              <w:rPr>
                <w:spacing w:val="4"/>
              </w:rPr>
              <w:t xml:space="preserve">Transfer agent’s, trustee’s and depositary’s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66" w:type="dxa"/>
            <w:tcBorders/>
            <w:shd w:fill="CCEEFF" w:val="clear"/>
            <w:vAlign w:val="center"/>
          </w:tcPr>
          <w:p>
            <w:pPr>
              <w:pStyle w:val="TableContents"/>
              <w:bidi w:val="0"/>
              <w:spacing w:before="0" w:after="0"/>
              <w:jc w:val="right"/>
              <w:rPr/>
            </w:pPr>
            <w:r>
              <w:rPr/>
              <w:t>​</w:t>
            </w:r>
            <w:r>
              <w:rPr>
                <w:sz w:val="13"/>
              </w:rPr>
              <w:t>(1)</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4" w:type="dxa"/>
            <w:tcBorders/>
            <w:vAlign w:val="center"/>
          </w:tcPr>
          <w:p>
            <w:pPr>
              <w:pStyle w:val="TableContents"/>
              <w:bidi w:val="0"/>
              <w:spacing w:before="0" w:after="0"/>
              <w:jc w:val="left"/>
              <w:rPr>
                <w:spacing w:val="4"/>
              </w:rPr>
            </w:pPr>
            <w:r>
              <w:rPr>
                <w:spacing w:val="4"/>
              </w:rPr>
              <w:t xml:space="preserve">Miscellaneous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6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and expenses are calculated based on the securities offered and the number of issuances and accordingly are not estimated at this time and will be reflected in the applicable prospectus supplement. </w:t>
      </w:r>
      <w:r>
        <mc:AlternateContent>
          <mc:Choice Requires="wps">
            <w:drawing>
              <wp:anchor behindDoc="0" distT="9779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is qualified in its entirety by reference to the complete Delaware General Corporation Law (“DGCL”) and our Restated Certificate of Incorporation, as amended (“Certificate”), and Amended and Restated By-laws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person acted in good faith and in a manner he or she reasonably believed to be in or not opposed to the best interests of the corporation, and, in the case of claims, issues and matters as to which such person shall have been adjudged liable to the corporation,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102(b)(7) of the DGCL provides, generally, that our Certificate may contain a provision eliminating or limiting the personal liability of a director or officer to the corporation or its stockholders for monetary damages for breach of fiduciary duty as a director or officer,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approved a form of indemnification agreement that has been executed by each of our directors and executive officers. These indemnification agreements may require us, among other things, to indemnify these directors and executive officers for some expenses, including attorneys’ fees, judgments, fines, and settlement amounts incurred by each of these directors in any action or proceeding arising out of his or her service as one of our directors or officers, or any of our subsidiaries or any other company or enterprise to which the person provides services at our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211"/>
        <w:gridCol w:w="109"/>
        <w:gridCol w:w="109"/>
        <w:gridCol w:w="710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1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0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0"/>
              <w:jc w:val="center"/>
              <w:rPr>
                <w:spacing w:val="4"/>
              </w:rPr>
            </w:pPr>
            <w:r>
              <w:rPr>
                <w:spacing w:val="4"/>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1-2.htm">
              <w:r>
                <w:rPr>
                  <w:rStyle w:val="InternetLink"/>
                  <w:spacing w:val="4"/>
                </w:rPr>
                <w:t>Sales Agreement, dated as of August 31, 2026, by and between the Registrant and Leerink Partners LLC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pPr>
            <w:hyperlink r:id="rId36">
              <w:r>
                <w:rPr>
                  <w:rStyle w:val="InternetLink"/>
                </w:rPr>
                <w:t>Restated Certificate of Incorporation of the Registrant (incorporated by reference to Exhibit 3.1 to the Registrant’s Current Report on Form 8-K filed with the SEC on June 2,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r:id="rId37">
              <w:r>
                <w:rPr>
                  <w:rStyle w:val="InternetLink"/>
                  <w:spacing w:val="4"/>
                </w:rPr>
                <w:t>Amended and Restated By-laws of the Registrant (incorporated by reference to Exhibit 3.1 the Registrant’s Current Report on Form 8-K filed with the SEC on December 10,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r:id="rId38">
              <w:r>
                <w:rPr>
                  <w:rStyle w:val="InternetLink"/>
                  <w:spacing w:val="4"/>
                </w:rPr>
                <w:t>Specimen Stock Certificate evidencing the shares of common stock (incorporated by reference to Exhibit 4.1 to the Registrant’s Registration Statement on Form S-1 filed on January 4,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4-4.htm">
              <w:r>
                <w:rPr>
                  <w:rStyle w:val="InternetLink"/>
                  <w:spacing w:val="4"/>
                </w:rPr>
                <w:t>Form of Senior Indenture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4-5.htm">
              <w:r>
                <w:rPr>
                  <w:rStyle w:val="InternetLink"/>
                  <w:spacing w:val="4"/>
                </w:rPr>
                <w:t>Form of Subordinated Indenture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4-6.htm">
              <w:r>
                <w:rPr>
                  <w:rStyle w:val="InternetLink"/>
                  <w:spacing w:val="4"/>
                </w:rPr>
                <w:t>Form of Senior Note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4-7.htm">
              <w:r>
                <w:rPr>
                  <w:rStyle w:val="InternetLink"/>
                  <w:spacing w:val="4"/>
                </w:rPr>
                <w:t>Form of Subordinated Note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Form of Deposit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Form of Warrant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Form of Subscription Rights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Form of Purchase Contract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Form of Unit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5-1.htm">
              <w:r>
                <w:rPr>
                  <w:rStyle w:val="InternetLink"/>
                  <w:spacing w:val="4"/>
                </w:rPr>
                <w:t>Opinion of Wilmer Cutler Pickering Hale and Dorr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23-1.htm">
              <w:r>
                <w:rPr>
                  <w:rStyle w:val="InternetLink"/>
                  <w:spacing w:val="4"/>
                </w:rPr>
                <w:t>Consent of Ernst &amp; Young LLP,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2_ex5-1.htm">
              <w:r>
                <w:rPr>
                  <w:rStyle w:val="InternetLink"/>
                  <w:spacing w:val="4"/>
                </w:rPr>
                <w:t>Consent of Wilmer Cutler Pickering Hale and Dorr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100" w:right="0" w:hanging="0"/>
              <w:jc w:val="left"/>
              <w:rPr>
                <w:spacing w:val="4"/>
              </w:rPr>
            </w:pPr>
            <w:r>
              <w:rPr>
                <w:spacing w:val="4"/>
              </w:rPr>
              <w:t xml:space="preserve">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SAPOA">
              <w:r>
                <w:rPr>
                  <w:rStyle w:val="InternetLink"/>
                  <w:spacing w:val="4"/>
                </w:rPr>
                <w:t>Powers of Attorney (included in the signature pages to the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100" w:right="0" w:hanging="0"/>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Statement of Eligibility on Form T-1 under the Trust Indenture Act of 1939, as amended, of the Trustee under the Senior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ind w:left="100" w:right="0" w:hanging="0"/>
              <w:jc w:val="left"/>
              <w:rPr>
                <w:spacing w:val="4"/>
              </w:rPr>
            </w:pP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283"/>
              <w:jc w:val="left"/>
              <w:rPr>
                <w:spacing w:val="4"/>
              </w:rPr>
            </w:pPr>
            <w:r>
              <w:rPr>
                <w:spacing w:val="4"/>
              </w:rPr>
              <w:t xml:space="preserve">Statement of Eligibility on Form T-1 under the Trust Indenture Act of 1939, as amended, of the Trustee under the Subordinated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04" w:type="dxa"/>
            <w:tcBorders/>
            <w:tcMar>
              <w:bottom w:w="0" w:type="dxa"/>
            </w:tcMar>
            <w:vAlign w:val="center"/>
          </w:tcPr>
          <w:p>
            <w:pPr>
              <w:pStyle w:val="TableContents"/>
              <w:bidi w:val="0"/>
              <w:spacing w:before="0" w:after="0"/>
              <w:jc w:val="left"/>
              <w:rPr/>
            </w:pPr>
            <w:hyperlink w:anchor="tm2624301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by a Current Report on Form 8-K. </w:t>
      </w:r>
      <w:r>
        <mc:AlternateContent>
          <mc:Choice Requires="wps">
            <w:drawing>
              <wp:anchor behindDoc="0" distT="102870" distB="0" distL="0" distR="0" simplePos="0" locked="0" layoutInCell="1" allowOverlap="1" relativeHeight="209">
                <wp:simplePos x="0" y="0"/>
                <wp:positionH relativeFrom="column">
                  <wp:align>left</wp:align>
                </wp:positionH>
                <wp:positionV relativeFrom="line">
                  <wp:posOffset>635</wp:posOffset>
                </wp:positionV>
                <wp:extent cx="254000" cy="14605"/>
                <wp:effectExtent l="0" t="0" r="0" b="0"/>
                <wp:wrapSquare wrapText="right"/>
                <wp:docPr id="206" name="Frame20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pursuant to Section 305(b)(2) of the Trust Indenture Act of 1939. </w:t>
      </w:r>
      <w:r>
        <mc:AlternateContent>
          <mc:Choice Requires="wps">
            <w:drawing>
              <wp:anchor behindDoc="0" distT="52070" distB="0" distL="0" distR="0" simplePos="0" locked="0" layoutInCell="1" allowOverlap="1" relativeHeight="210">
                <wp:simplePos x="0" y="0"/>
                <wp:positionH relativeFrom="column">
                  <wp:align>left</wp:align>
                </wp:positionH>
                <wp:positionV relativeFrom="line">
                  <wp:posOffset>635</wp:posOffset>
                </wp:positionV>
                <wp:extent cx="254000" cy="14605"/>
                <wp:effectExtent l="0" t="0" r="0" b="0"/>
                <wp:wrapSquare wrapText="right"/>
                <wp:docPr id="207" name="Frame20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2"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2870" distB="0" distL="254000" distR="0" simplePos="0" locked="0" layoutInCell="1" allowOverlap="1" relativeHeight="211">
                <wp:simplePos x="0" y="0"/>
                <wp:positionH relativeFrom="column">
                  <wp:align>left</wp:align>
                </wp:positionH>
                <wp:positionV relativeFrom="line">
                  <wp:posOffset>635</wp:posOffset>
                </wp:positionV>
                <wp:extent cx="368300" cy="14605"/>
                <wp:effectExtent l="0" t="0" r="0" b="0"/>
                <wp:wrapSquare wrapText="right"/>
                <wp:docPr id="208" name="Frame204"/>
                <a:graphic xmlns:a="http://schemas.openxmlformats.org/drawingml/2006/main">
                  <a:graphicData uri="http://schemas.microsoft.com/office/word/2010/wordprocessingShape">
                    <wps:wsp>
                      <wps:cNvSpPr txBox="1"/>
                      <wps:spPr>
                        <a:xfrm>
                          <a:off x="0" y="0"/>
                          <a:ext cx="368300" cy="14605"/>
                        </a:xfrm>
                        <a:prstGeom prst="rect"/>
                        <a:solidFill>
                          <a:srgbClr val="FFFFFF"/>
                        </a:solidFill>
                      </wps:spPr>
                      <wps:txbx>
                        <w:txbxContent>
                          <w:p>
                            <w:pPr>
                              <w:pStyle w:val="TextBody"/>
                              <w:bidi w:val="0"/>
                              <w:spacing w:lineRule="atLeast" w:line="240" w:before="0" w:after="283"/>
                              <w:jc w:val="left"/>
                              <w:rPr/>
                            </w:pPr>
                            <w:r>
                              <w:rPr>
                                <w:spacing w:val="4"/>
                              </w:rPr>
                              <w:t>(a)(1)</w:t>
                            </w:r>
                            <w:r>
                              <w:rPr/>
                              <w:t xml:space="preserve"> </w:t>
                              <w:br/>
                            </w:r>
                          </w:p>
                        </w:txbxContent>
                      </wps:txbx>
                      <wps:bodyPr anchor="t" lIns="0" tIns="0" rIns="0" bIns="0">
                        <a:noAutofit/>
                      </wps:bodyPr>
                    </wps:wsp>
                  </a:graphicData>
                </a:graphic>
              </wp:anchor>
            </w:drawing>
          </mc:Choice>
          <mc:Fallback>
            <w:pict>
              <v:rect style="position:absolute;rotation:-0;width:29pt;height:1.15pt;mso-wrap-distance-left:2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as amended (the “Securities Act”); </w:t>
      </w:r>
      <w:r>
        <mc:AlternateContent>
          <mc:Choice Requires="wps">
            <w:drawing>
              <wp:anchor behindDoc="0" distT="101600" distB="0" distL="622300" distR="0" simplePos="0" locked="0" layoutInCell="1" allowOverlap="1" relativeHeight="212">
                <wp:simplePos x="0" y="0"/>
                <wp:positionH relativeFrom="column">
                  <wp:align>left</wp:align>
                </wp:positionH>
                <wp:positionV relativeFrom="line">
                  <wp:posOffset>635</wp:posOffset>
                </wp:positionV>
                <wp:extent cx="254000" cy="14605"/>
                <wp:effectExtent l="0" t="0" r="0" b="0"/>
                <wp:wrapSquare wrapText="right"/>
                <wp:docPr id="209" name="Frame20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9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w:t>
      </w:r>
      <w:r>
        <mc:AlternateContent>
          <mc:Choice Requires="wps">
            <w:drawing>
              <wp:anchor behindDoc="0" distT="101600" distB="0" distL="622300" distR="0" simplePos="0" locked="0" layoutInCell="1" allowOverlap="1" relativeHeight="213">
                <wp:simplePos x="0" y="0"/>
                <wp:positionH relativeFrom="column">
                  <wp:align>left</wp:align>
                </wp:positionH>
                <wp:positionV relativeFrom="line">
                  <wp:posOffset>635</wp:posOffset>
                </wp:positionV>
                <wp:extent cx="254000" cy="14605"/>
                <wp:effectExtent l="0" t="0" r="0" b="0"/>
                <wp:wrapSquare wrapText="right"/>
                <wp:docPr id="210" name="Frame20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9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lineRule="atLeast" w:line="240" w:before="162"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this registration statement or any material change to such information in this registration statement; </w:t>
      </w:r>
      <w:r>
        <mc:AlternateContent>
          <mc:Choice Requires="wps">
            <w:drawing>
              <wp:anchor behindDoc="0" distT="102870" distB="0" distL="622300" distR="0" simplePos="0" locked="0" layoutInCell="1" allowOverlap="1" relativeHeight="214">
                <wp:simplePos x="0" y="0"/>
                <wp:positionH relativeFrom="column">
                  <wp:align>left</wp:align>
                </wp:positionH>
                <wp:positionV relativeFrom="line">
                  <wp:posOffset>635</wp:posOffset>
                </wp:positionV>
                <wp:extent cx="254000" cy="14605"/>
                <wp:effectExtent l="0" t="0" r="0" b="0"/>
                <wp:wrapSquare wrapText="right"/>
                <wp:docPr id="211" name="Frame207"/>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9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 </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254000" distR="0" simplePos="0" locked="0" layoutInCell="1" allowOverlap="1" relativeHeight="215">
                <wp:simplePos x="0" y="0"/>
                <wp:positionH relativeFrom="column">
                  <wp:align>left</wp:align>
                </wp:positionH>
                <wp:positionV relativeFrom="line">
                  <wp:posOffset>635</wp:posOffset>
                </wp:positionV>
                <wp:extent cx="368300" cy="14605"/>
                <wp:effectExtent l="0" t="0" r="0" b="0"/>
                <wp:wrapSquare wrapText="right"/>
                <wp:docPr id="212" name="Frame208"/>
                <a:graphic xmlns:a="http://schemas.openxmlformats.org/drawingml/2006/main">
                  <a:graphicData uri="http://schemas.microsoft.com/office/word/2010/wordprocessingShape">
                    <wps:wsp>
                      <wps:cNvSpPr txBox="1"/>
                      <wps:spPr>
                        <a:xfrm>
                          <a:off x="0" y="0"/>
                          <a:ext cx="368300" cy="14605"/>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9pt;height:1.15pt;mso-wrap-distance-left:2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254000" distR="0" simplePos="0" locked="0" layoutInCell="1" allowOverlap="1" relativeHeight="216">
                <wp:simplePos x="0" y="0"/>
                <wp:positionH relativeFrom="column">
                  <wp:align>left</wp:align>
                </wp:positionH>
                <wp:positionV relativeFrom="line">
                  <wp:posOffset>635</wp:posOffset>
                </wp:positionV>
                <wp:extent cx="368300" cy="14605"/>
                <wp:effectExtent l="0" t="0" r="0" b="0"/>
                <wp:wrapSquare wrapText="right"/>
                <wp:docPr id="213" name="Frame209"/>
                <a:graphic xmlns:a="http://schemas.openxmlformats.org/drawingml/2006/main">
                  <a:graphicData uri="http://schemas.microsoft.com/office/word/2010/wordprocessingShape">
                    <wps:wsp>
                      <wps:cNvSpPr txBox="1"/>
                      <wps:spPr>
                        <a:xfrm>
                          <a:off x="0" y="0"/>
                          <a:ext cx="368300" cy="14605"/>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9pt;height:1.15pt;mso-wrap-distance-left:2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1600" distB="0" distL="254000" distR="0" simplePos="0" locked="0" layoutInCell="1" allowOverlap="1" relativeHeight="217">
                <wp:simplePos x="0" y="0"/>
                <wp:positionH relativeFrom="column">
                  <wp:align>left</wp:align>
                </wp:positionH>
                <wp:positionV relativeFrom="line">
                  <wp:posOffset>635</wp:posOffset>
                </wp:positionV>
                <wp:extent cx="368300" cy="14605"/>
                <wp:effectExtent l="0" t="0" r="0" b="0"/>
                <wp:wrapSquare wrapText="right"/>
                <wp:docPr id="214" name="Frame210"/>
                <a:graphic xmlns:a="http://schemas.openxmlformats.org/drawingml/2006/main">
                  <a:graphicData uri="http://schemas.microsoft.com/office/word/2010/wordprocessingShape">
                    <wps:wsp>
                      <wps:cNvSpPr txBox="1"/>
                      <wps:spPr>
                        <a:xfrm>
                          <a:off x="0" y="0"/>
                          <a:ext cx="368300" cy="14605"/>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9pt;height:1.15pt;mso-wrap-distance-left:2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a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622300" distR="0" simplePos="0" locked="0" layoutInCell="1" allowOverlap="1" relativeHeight="218">
                <wp:simplePos x="0" y="0"/>
                <wp:positionH relativeFrom="column">
                  <wp:align>left</wp:align>
                </wp:positionH>
                <wp:positionV relativeFrom="line">
                  <wp:posOffset>635</wp:posOffset>
                </wp:positionV>
                <wp:extent cx="254000" cy="14605"/>
                <wp:effectExtent l="0" t="0" r="0" b="0"/>
                <wp:wrapSquare wrapText="right"/>
                <wp:docPr id="215" name="Frame21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9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1600" distB="0" distL="622300" distR="0" simplePos="0" locked="0" layoutInCell="1" allowOverlap="1" relativeHeight="219">
                <wp:simplePos x="0" y="0"/>
                <wp:positionH relativeFrom="column">
                  <wp:align>left</wp:align>
                </wp:positionH>
                <wp:positionV relativeFrom="line">
                  <wp:posOffset>635</wp:posOffset>
                </wp:positionV>
                <wp:extent cx="254000" cy="14605"/>
                <wp:effectExtent l="0" t="0" r="0" b="0"/>
                <wp:wrapSquare wrapText="right"/>
                <wp:docPr id="216" name="Frame21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9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r>
        <mc:AlternateContent>
          <mc:Choice Requires="wps">
            <w:drawing>
              <wp:anchor behindDoc="0" distT="101600" distB="0" distL="254000" distR="0" simplePos="0" locked="0" layoutInCell="1" allowOverlap="1" relativeHeight="220">
                <wp:simplePos x="0" y="0"/>
                <wp:positionH relativeFrom="column">
                  <wp:align>left</wp:align>
                </wp:positionH>
                <wp:positionV relativeFrom="line">
                  <wp:posOffset>635</wp:posOffset>
                </wp:positionV>
                <wp:extent cx="368300" cy="14605"/>
                <wp:effectExtent l="0" t="0" r="0" b="0"/>
                <wp:wrapSquare wrapText="right"/>
                <wp:docPr id="217" name="Frame213"/>
                <a:graphic xmlns:a="http://schemas.openxmlformats.org/drawingml/2006/main">
                  <a:graphicData uri="http://schemas.microsoft.com/office/word/2010/wordprocessingShape">
                    <wps:wsp>
                      <wps:cNvSpPr txBox="1"/>
                      <wps:spPr>
                        <a:xfrm>
                          <a:off x="0" y="0"/>
                          <a:ext cx="368300" cy="14605"/>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9pt;height:1.15pt;mso-wrap-distance-left:2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such undersigned Registrant relating to the offering required to be filed pursuant to Rule 424; </w:t>
      </w:r>
      <w:r>
        <mc:AlternateContent>
          <mc:Choice Requires="wps">
            <w:drawing>
              <wp:anchor behindDoc="0" distT="0" distB="0" distL="622300" distR="0" simplePos="0" locked="0" layoutInCell="1" allowOverlap="1" relativeHeight="221">
                <wp:simplePos x="0" y="0"/>
                <wp:positionH relativeFrom="column">
                  <wp:align>left</wp:align>
                </wp:positionH>
                <wp:positionV relativeFrom="line">
                  <wp:posOffset>635</wp:posOffset>
                </wp:positionV>
                <wp:extent cx="254000" cy="14605"/>
                <wp:effectExtent l="0" t="0" r="0" b="0"/>
                <wp:wrapSquare wrapText="right"/>
                <wp:docPr id="218" name="Frame21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9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such undersigned Registrant or used or referred to by such undersigned Registrant; </w:t>
      </w:r>
      <w:r>
        <mc:AlternateContent>
          <mc:Choice Requires="wps">
            <w:drawing>
              <wp:anchor behindDoc="0" distT="101600" distB="0" distL="62230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9pt;mso-wrap-distance-right:0pt;mso-wrap-distance-top:8pt;mso-wrap-distance-bottom:0pt;margin-top:8pt;mso-position-vertical:top;mso-position-vertical-relative:text;margin-left:49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such undersigned Registrant or its securities provided by or on behalf of such undersigned Registrant; and </w:t>
      </w:r>
      <w:r>
        <mc:AlternateContent>
          <mc:Choice Requires="wps">
            <w:drawing>
              <wp:anchor behindDoc="0" distT="101600" distB="0" distL="622300" distR="0" simplePos="0" locked="0" layoutInCell="1" allowOverlap="1" relativeHeight="223">
                <wp:simplePos x="0" y="0"/>
                <wp:positionH relativeFrom="column">
                  <wp:align>left</wp:align>
                </wp:positionH>
                <wp:positionV relativeFrom="line">
                  <wp:align>top</wp:align>
                </wp:positionV>
                <wp:extent cx="254000" cy="525780"/>
                <wp:effectExtent l="0" t="0" r="0" b="0"/>
                <wp:wrapSquare wrapText="right"/>
                <wp:docPr id="220" name="Frame2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9pt;mso-wrap-distance-right:0pt;mso-wrap-distance-top:8pt;mso-wrap-distance-bottom:0pt;margin-top:8pt;mso-position-vertical:top;mso-position-vertical-relative:text;margin-left:49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such undersigned Registrant to the purchaser. </w:t>
      </w:r>
      <w:r>
        <mc:AlternateContent>
          <mc:Choice Requires="wps">
            <w:drawing>
              <wp:anchor behindDoc="0" distT="101600" distB="0" distL="622300" distR="0" simplePos="0" locked="0" layoutInCell="1" allowOverlap="1" relativeHeight="224">
                <wp:simplePos x="0" y="0"/>
                <wp:positionH relativeFrom="column">
                  <wp:align>left</wp:align>
                </wp:positionH>
                <wp:positionV relativeFrom="line">
                  <wp:align>top</wp:align>
                </wp:positionV>
                <wp:extent cx="254000" cy="525780"/>
                <wp:effectExtent l="0" t="0" r="0" b="0"/>
                <wp:wrapSquare wrapText="right"/>
                <wp:docPr id="221" name="Frame2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9pt;mso-wrap-distance-right:0pt;mso-wrap-distance-top:8pt;mso-wrap-distance-bottom:0pt;margin-top:8pt;mso-position-vertical:top;mso-position-vertical-relative:text;margin-left:49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w:t>
      </w:r>
      <w:r>
        <mc:AlternateContent>
          <mc:Choice Requires="wps">
            <w:drawing>
              <wp:anchor behindDoc="0" distT="101600" distB="0" distL="254000" distR="0" simplePos="0" locked="0" layoutInCell="1" allowOverlap="1" relativeHeight="225">
                <wp:simplePos x="0" y="0"/>
                <wp:positionH relativeFrom="column">
                  <wp:align>left</wp:align>
                </wp:positionH>
                <wp:positionV relativeFrom="line">
                  <wp:align>top</wp:align>
                </wp:positionV>
                <wp:extent cx="3683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w:t>
      </w:r>
      <w:r>
        <mc:AlternateContent>
          <mc:Choice Requires="wps">
            <w:drawing>
              <wp:anchor behindDoc="0" distT="101600" distB="0" distL="6223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9pt;mso-wrap-distance-right:0pt;mso-wrap-distance-top:8pt;mso-wrap-distance-bottom:0pt;margin-top:8pt;mso-position-vertical:top;mso-position-vertical-relative:text;margin-left:49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7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6223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9pt;mso-wrap-distance-right:0pt;mso-wrap-distance-top:8pt;mso-wrap-distance-bottom:0pt;margin-top:8pt;mso-position-vertical:top;mso-position-vertical-relative:text;margin-left:49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254000" distR="0" simplePos="0" locked="0" layoutInCell="1" allowOverlap="1" relativeHeight="228">
                <wp:simplePos x="0" y="0"/>
                <wp:positionH relativeFrom="column">
                  <wp:align>left</wp:align>
                </wp:positionH>
                <wp:positionV relativeFrom="line">
                  <wp:align>top</wp:align>
                </wp:positionV>
                <wp:extent cx="3683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r>
        <mc:AlternateContent>
          <mc:Choice Requires="wps">
            <w:drawing>
              <wp:anchor behindDoc="0" distT="101600" distB="0" distL="254000" distR="0" simplePos="0" locked="0" layoutInCell="1" allowOverlap="1" relativeHeight="229">
                <wp:simplePos x="0" y="0"/>
                <wp:positionH relativeFrom="column">
                  <wp:align>left</wp:align>
                </wp:positionH>
                <wp:positionV relativeFrom="line">
                  <wp:align>top</wp:align>
                </wp:positionV>
                <wp:extent cx="3683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230">
                <wp:simplePos x="0" y="0"/>
                <wp:positionH relativeFrom="column">
                  <wp:align>left</wp:align>
                </wp:positionH>
                <wp:positionV relativeFrom="line">
                  <wp:align>top</wp:align>
                </wp:positionV>
                <wp:extent cx="3683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APOA"/>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August 31,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Editas Medicine,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Gilmore O’Neill </w:t>
      </w:r>
      <w:r>
        <mc:AlternateContent>
          <mc:Choice Requires="wps">
            <w:drawing>
              <wp:anchor behindDoc="0" distT="152400" distB="0" distL="2794000" distR="0" simplePos="0" locked="0" layoutInCell="1" allowOverlap="1" relativeHeight="231">
                <wp:simplePos x="0" y="0"/>
                <wp:positionH relativeFrom="column">
                  <wp:align>left</wp:align>
                </wp:positionH>
                <wp:positionV relativeFrom="line">
                  <wp:align>top</wp:align>
                </wp:positionV>
                <wp:extent cx="254000" cy="525780"/>
                <wp:effectExtent l="0" t="0" r="0" b="0"/>
                <wp:wrapSquare wrapText="right"/>
                <wp:docPr id="228" name="Frame2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Gilmore O’Neill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 AND 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undersigned officers and directors of Editas Medicine, Inc. hereby severally constitute and appoint Gilmore O’Neill and Amy Parison,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Editas Medicine,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064"/>
        <w:gridCol w:w="109"/>
        <w:gridCol w:w="109"/>
        <w:gridCol w:w="4592"/>
        <w:gridCol w:w="109"/>
        <w:gridCol w:w="109"/>
        <w:gridCol w:w="1440"/>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9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4" w:type="dxa"/>
            <w:tcBorders/>
            <w:tcMar>
              <w:bottom w:w="0" w:type="dxa"/>
            </w:tcMar>
            <w:vAlign w:val="center"/>
          </w:tcPr>
          <w:p>
            <w:pPr>
              <w:pStyle w:val="TableContents"/>
              <w:bidi w:val="0"/>
              <w:spacing w:before="0" w:after="0"/>
              <w:jc w:val="left"/>
              <w:rPr>
                <w:spacing w:val="4"/>
              </w:rPr>
            </w:pPr>
            <w:r>
              <w:rPr>
                <w:spacing w:val="4"/>
              </w:rPr>
              <w:t xml:space="preserve">/s/ Gilmore O’Neill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Gilmore O’Neill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and Director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0" w:type="dxa"/>
            <w:tcBorders/>
            <w:tcMar>
              <w:bottom w:w="0" w:type="dxa"/>
            </w:tcMar>
            <w:vAlign w:val="center"/>
          </w:tcPr>
          <w:p>
            <w:pPr>
              <w:pStyle w:val="TableContents"/>
              <w:bidi w:val="0"/>
              <w:spacing w:before="0" w:after="0"/>
              <w:jc w:val="center"/>
              <w:rPr>
                <w:spacing w:val="4"/>
              </w:rPr>
            </w:pPr>
            <w:r>
              <w:rPr>
                <w:spacing w:val="4"/>
              </w:rPr>
              <w:t xml:space="preserve">August 31,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4" w:type="dxa"/>
            <w:tcBorders/>
            <w:tcMar>
              <w:bottom w:w="0" w:type="dxa"/>
            </w:tcMar>
            <w:vAlign w:val="center"/>
          </w:tcPr>
          <w:p>
            <w:pPr>
              <w:pStyle w:val="TableContents"/>
              <w:bidi w:val="0"/>
              <w:spacing w:before="0" w:after="0"/>
              <w:jc w:val="left"/>
              <w:rPr>
                <w:spacing w:val="4"/>
              </w:rPr>
            </w:pPr>
            <w:r>
              <w:rPr>
                <w:spacing w:val="4"/>
              </w:rPr>
              <w:t xml:space="preserve">/s/ Amy Parison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Amy Parison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283"/>
              <w:jc w:val="left"/>
              <w:rPr>
                <w:spacing w:val="4"/>
              </w:rPr>
            </w:pPr>
            <w:r>
              <w:rPr>
                <w:spacing w:val="4"/>
              </w:rPr>
              <w:t xml:space="preserve">Senior Vice President and Chief Financial Officer (principal financial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0" w:type="dxa"/>
            <w:tcBorders/>
            <w:tcMar>
              <w:bottom w:w="0" w:type="dxa"/>
            </w:tcMar>
            <w:vAlign w:val="center"/>
          </w:tcPr>
          <w:p>
            <w:pPr>
              <w:pStyle w:val="TableContents"/>
              <w:bidi w:val="0"/>
              <w:spacing w:before="0" w:after="0"/>
              <w:jc w:val="center"/>
              <w:rPr>
                <w:spacing w:val="4"/>
              </w:rPr>
            </w:pPr>
            <w:r>
              <w:rPr>
                <w:spacing w:val="4"/>
              </w:rPr>
              <w:t xml:space="preserve">August 31,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4" w:type="dxa"/>
            <w:tcBorders/>
            <w:tcMar>
              <w:bottom w:w="0" w:type="dxa"/>
            </w:tcMar>
            <w:vAlign w:val="center"/>
          </w:tcPr>
          <w:p>
            <w:pPr>
              <w:pStyle w:val="TableContents"/>
              <w:bidi w:val="0"/>
              <w:spacing w:before="0" w:after="0"/>
              <w:jc w:val="left"/>
              <w:rPr>
                <w:spacing w:val="4"/>
              </w:rPr>
            </w:pPr>
            <w:r>
              <w:rPr>
                <w:spacing w:val="4"/>
              </w:rPr>
              <w:t xml:space="preserve">/s/ Jessica Hopfield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Jessica Hopfield,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283"/>
              <w:jc w:val="left"/>
              <w:rPr>
                <w:spacing w:val="4"/>
              </w:rPr>
            </w:pPr>
            <w:r>
              <w:rPr>
                <w:spacing w:val="4"/>
              </w:rPr>
              <w:t xml:space="preserve">Chair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0" w:type="dxa"/>
            <w:tcBorders/>
            <w:tcMar>
              <w:bottom w:w="0" w:type="dxa"/>
            </w:tcMar>
            <w:vAlign w:val="center"/>
          </w:tcPr>
          <w:p>
            <w:pPr>
              <w:pStyle w:val="TableContents"/>
              <w:bidi w:val="0"/>
              <w:spacing w:before="0" w:after="0"/>
              <w:jc w:val="center"/>
              <w:rPr>
                <w:spacing w:val="4"/>
              </w:rPr>
            </w:pPr>
            <w:r>
              <w:rPr>
                <w:spacing w:val="4"/>
              </w:rPr>
              <w:t xml:space="preserve">August 31,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4" w:type="dxa"/>
            <w:tcBorders/>
            <w:tcMar>
              <w:bottom w:w="0" w:type="dxa"/>
            </w:tcMar>
            <w:vAlign w:val="center"/>
          </w:tcPr>
          <w:p>
            <w:pPr>
              <w:pStyle w:val="TableContents"/>
              <w:bidi w:val="0"/>
              <w:spacing w:before="0" w:after="0"/>
              <w:jc w:val="left"/>
              <w:rPr>
                <w:spacing w:val="4"/>
              </w:rPr>
            </w:pPr>
            <w:r>
              <w:rPr>
                <w:spacing w:val="4"/>
              </w:rPr>
              <w:t xml:space="preserve">/s/ Bernadette Connaughton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Bernadette Connaughton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0" w:type="dxa"/>
            <w:tcBorders/>
            <w:tcMar>
              <w:bottom w:w="0" w:type="dxa"/>
            </w:tcMar>
            <w:vAlign w:val="center"/>
          </w:tcPr>
          <w:p>
            <w:pPr>
              <w:pStyle w:val="TableContents"/>
              <w:bidi w:val="0"/>
              <w:spacing w:before="0" w:after="0"/>
              <w:jc w:val="center"/>
              <w:rPr>
                <w:spacing w:val="4"/>
              </w:rPr>
            </w:pPr>
            <w:r>
              <w:rPr>
                <w:spacing w:val="4"/>
              </w:rPr>
              <w:t xml:space="preserve">August 31,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4" w:type="dxa"/>
            <w:tcBorders/>
            <w:tcMar>
              <w:bottom w:w="0" w:type="dxa"/>
            </w:tcMar>
            <w:vAlign w:val="center"/>
          </w:tcPr>
          <w:p>
            <w:pPr>
              <w:pStyle w:val="TableContents"/>
              <w:bidi w:val="0"/>
              <w:spacing w:before="0" w:after="0"/>
              <w:jc w:val="left"/>
              <w:rPr>
                <w:spacing w:val="4"/>
              </w:rPr>
            </w:pPr>
            <w:r>
              <w:rPr>
                <w:spacing w:val="4"/>
              </w:rPr>
              <w:t xml:space="preserve">/s/ Patrick Ellinor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Patrick Ellinor,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0" w:type="dxa"/>
            <w:tcBorders/>
            <w:tcMar>
              <w:bottom w:w="0" w:type="dxa"/>
            </w:tcMar>
            <w:vAlign w:val="center"/>
          </w:tcPr>
          <w:p>
            <w:pPr>
              <w:pStyle w:val="TableContents"/>
              <w:bidi w:val="0"/>
              <w:spacing w:before="0" w:after="0"/>
              <w:jc w:val="center"/>
              <w:rPr>
                <w:spacing w:val="4"/>
              </w:rPr>
            </w:pPr>
            <w:r>
              <w:rPr>
                <w:spacing w:val="4"/>
              </w:rPr>
              <w:t xml:space="preserve">August 31,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91" w:type="dxa"/>
        <w:jc w:val="left"/>
        <w:tblInd w:w="1393" w:type="dxa"/>
        <w:tblLayout w:type="fixed"/>
        <w:tblCellMar>
          <w:top w:w="0" w:type="dxa"/>
          <w:left w:w="0" w:type="dxa"/>
          <w:bottom w:w="28" w:type="dxa"/>
          <w:right w:w="0" w:type="dxa"/>
        </w:tblCellMar>
      </w:tblPr>
      <w:tblGrid>
        <w:gridCol w:w="124"/>
        <w:gridCol w:w="2307"/>
        <w:gridCol w:w="109"/>
        <w:gridCol w:w="109"/>
        <w:gridCol w:w="974"/>
        <w:gridCol w:w="109"/>
        <w:gridCol w:w="109"/>
        <w:gridCol w:w="179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30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07" w:type="dxa"/>
            <w:tcBorders/>
            <w:tcMar>
              <w:bottom w:w="0" w:type="dxa"/>
            </w:tcMar>
            <w:vAlign w:val="center"/>
          </w:tcPr>
          <w:p>
            <w:pPr>
              <w:pStyle w:val="TableContents"/>
              <w:bidi w:val="0"/>
              <w:spacing w:before="0" w:after="0"/>
              <w:jc w:val="left"/>
              <w:rPr>
                <w:spacing w:val="4"/>
              </w:rPr>
            </w:pPr>
            <w:r>
              <w:rPr>
                <w:spacing w:val="4"/>
              </w:rPr>
              <w:t xml:space="preserve">/s/ Andrew Hirsch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Andrew Hirsch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spacing w:val="4"/>
              </w:rPr>
            </w:pPr>
            <w:r>
              <w:rPr>
                <w:spacing w:val="4"/>
              </w:rPr>
              <w:t xml:space="preserve">August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07" w:type="dxa"/>
            <w:tcBorders/>
            <w:tcMar>
              <w:bottom w:w="0" w:type="dxa"/>
            </w:tcMar>
            <w:vAlign w:val="center"/>
          </w:tcPr>
          <w:p>
            <w:pPr>
              <w:pStyle w:val="TableContents"/>
              <w:bidi w:val="0"/>
              <w:spacing w:before="0" w:after="0"/>
              <w:jc w:val="left"/>
              <w:rPr>
                <w:spacing w:val="4"/>
              </w:rPr>
            </w:pPr>
            <w:r>
              <w:rPr>
                <w:spacing w:val="4"/>
              </w:rPr>
              <w:t xml:space="preserve">/s/ David Scadden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David Scadden,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pPr>
            <w:r>
              <w:rPr>
                <w:spacing w:val="4"/>
              </w:rPr>
              <w:t>August 31,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36" w:name="tm2624301d2_ex1-2.htm"/>
      <w:bookmarkStart w:id="37" w:name="kstm2624301d2_ex12"/>
      <w:bookmarkEnd w:id="36"/>
      <w:bookmarkEnd w:id="37"/>
      <w:r>
        <w:rPr/>
        <w:t> </w:t>
      </w:r>
      <w:r>
        <w:br w:type="page"/>
      </w:r>
    </w:p>
    <w:p>
      <w:pPr>
        <w:pStyle w:val="TextBody"/>
        <w:bidi w:val="0"/>
        <w:jc w:val="right"/>
        <w:rPr>
          <w:b/>
        </w:rPr>
      </w:pPr>
      <w:r>
        <w:rPr>
          <w:b/>
        </w:rPr>
        <w:t>Exhibit 1.2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EDITAS MEDICINE,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Editas Medicine,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Leerink Partners LLC (the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the Agent shares of common stock, $0.0001 par value per share, of the Company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subject to the limitations set forth in Section 5(c)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 set forth in Section 5(c)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on August 31, 2026 and after such Registration Statement has been declared effective by the Commission, although nothing in this Agreement shall be construed as requiring the Company to issue any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will file, in accordance with the provisions of the Securities Act of 1933, as amended, and the rules and regulations thereunder (collectively,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 including (a)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and (b) a prospectus specifically relating to the Placement Shares to be issued from time to time pursuant to this Agreement (the “</w:t>
      </w:r>
      <w:r>
        <w:rPr>
          <w:rFonts w:ascii="Times New Roman;Times;Serif" w:hAnsi="Times New Roman;Times;Serif"/>
          <w:b/>
          <w:i w:val="false"/>
          <w:caps w:val="false"/>
          <w:smallCaps w:val="false"/>
          <w:sz w:val="20"/>
          <w:u w:val="single"/>
        </w:rPr>
        <w:t>ATM Prospectus</w:t>
      </w:r>
      <w:r>
        <w:rPr>
          <w:rFonts w:ascii="Times New Roman;Times;Serif" w:hAnsi="Times New Roman;Times;Serif"/>
          <w:b w:val="false"/>
          <w:i w:val="false"/>
          <w:caps w:val="false"/>
          <w:smallCaps w:val="false"/>
          <w:sz w:val="20"/>
        </w:rPr>
        <w:t>”) which incorporates by reference documents that the Company has filed or will file in accordance with the provisions of the Exchange Act. The Company will furnish to the Agent, for use by the Agent, copies of the ATM Prospectus included as part of such registration statement at the time it becomes effective. The Company may file one or more additional registration statements from time to time that will contain a base prospectus and related prospectus or prospectus supplement, if applicable, with respect to the Placement Shares.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The ATM Prospectus or any additional prospectus or prospectus supplement with respect to the Placement Shares, including all documents incorporated therein by reference, included in the Registration Statement, as it may be supplemented by a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Times;Serif" w:hAnsi="Times New Roman;Times;Serif"/>
          <w:b/>
          <w:i w:val="false"/>
          <w:caps w:val="false"/>
          <w:smallCaps w:val="false"/>
          <w:sz w:val="20"/>
          <w:u w:val="single"/>
        </w:rPr>
        <w:t>Rule 433</w:t>
      </w:r>
      <w:r>
        <w:rPr>
          <w:rFonts w:ascii="Times New Roman;Times;Serif" w:hAnsi="Times New Roman;Times;Serif"/>
          <w:b w:val="false"/>
          <w:i w:val="false"/>
          <w:caps w:val="false"/>
          <w:smallCaps w:val="false"/>
          <w:sz w:val="20"/>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Registration Statement, the ATM Prospectus, any prospectus supplement, the Prospectus or any issuer free writing prospectus shall be deemed to refer to and include the documents, if any, that are or are deemed to be incorporated by reference therein (the “</w:t>
      </w:r>
      <w:r>
        <w:rPr>
          <w:rFonts w:ascii="Times New Roman;Times;Serif" w:hAnsi="Times New Roman;Times;Serif"/>
          <w:b/>
          <w:i w:val="false"/>
          <w:caps w:val="false"/>
          <w:smallCaps w:val="false"/>
          <w:sz w:val="20"/>
          <w:u w:val="single"/>
        </w:rPr>
        <w:t>Incorporated Documents</w:t>
      </w:r>
      <w:r>
        <w:rPr>
          <w:rFonts w:ascii="Times New Roman;Times;Serif" w:hAnsi="Times New Roman;Times;Serif"/>
          <w:b w:val="false"/>
          <w:i w:val="false"/>
          <w:caps w:val="false"/>
          <w:smallCaps w:val="false"/>
          <w:sz w:val="20"/>
        </w:rPr>
        <w:t>”), including, unless the context otherwise requires, the documents, if any, filed as exhibits to such Incorporated Documents. Any reference herein to the terms “amend,” “amendment” or “supplement” with respect to the Registration Statement, the ATM Prospectus, any prospectus supplement, the Prospectus or any issuer free writing prospectus shall be deemed to refer to and include the filing of any document under the Exchange Act on or after the most-recent effective date of the Registration Statement, or the respective dates of the ATM Prospectus, any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 The Company’s obligations under this Agreement to furnish, provide, deliver or make available (and all other references of like import) copies of any document shall be deemed satisfied if the same is filed with the Commission through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any Placement Shares through the Agent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email notice (or other method mutually agreed to in writing by the parties) (each such notice,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must originate from one of the individuals authorized to act on behalf of the Company and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(with a copy to each of the other individuals from the Company listed on such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and shall be addressed to each of the recipients from the Agent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may be updated by either party from time to time by sending a written notice containing a revised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to the other party in the manner provided in Section 12 (including by email correspondence to each of the individuals of the Company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Times New Roman;Times;Serif" w:hAnsi="Times New Roman;Times;Serif"/>
          <w:b/>
          <w:i w:val="false"/>
          <w:caps w:val="false"/>
          <w:smallCaps w:val="false"/>
          <w:sz w:val="20"/>
          <w:u w:val="single"/>
        </w:rPr>
        <w:t>Schedule 3</w:t>
      </w:r>
      <w:r>
        <w:rPr>
          <w:rFonts w:ascii="Times New Roman;Times;Serif" w:hAnsi="Times New Roman;Times;Serif"/>
          <w:b w:val="false"/>
          <w:i w:val="false"/>
          <w:caps w:val="false"/>
          <w:smallCaps w:val="false"/>
          <w:sz w:val="20"/>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Sale of Placement Shares by the Agent</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Times;Serif" w:hAnsi="Times New Roman;Times;Serif"/>
          <w:b/>
          <w:i w:val="false"/>
          <w:caps w:val="false"/>
          <w:smallCaps w:val="false"/>
          <w:sz w:val="20"/>
          <w:u w:val="single"/>
        </w:rPr>
        <w:t>Nasdaq</w:t>
      </w:r>
      <w:r>
        <w:rPr>
          <w:rFonts w:ascii="Times New Roman;Times;Serif" w:hAnsi="Times New Roman;Times;Serif"/>
          <w:b w:val="false"/>
          <w:i w:val="false"/>
          <w:caps w:val="false"/>
          <w:smallCaps w:val="false"/>
          <w:sz w:val="20"/>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Common Stock or to or through a market maker. If expressly authorized by the Company (including in a Placement Notice), the Agent may also sell Placement Shares in negotiated transactions. Notwithstanding the provisions of Section 6(nn),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Common Stock is purchased and sold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or the Agent may, upon notice to the other party in writing (including by email correspondence to each of the individuals of the other party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suspend any sale of Placement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suspension shall not affect or impair either party’s obligations with 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to the other party in writing (including by email correspondence to each of the individuals of the other party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if receipt of such correspondence is actually acknowledged by any of the individuals to whom the notice is sent, other than via auto-reply). Receipt of such correspondence shall not be unnecessarily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during any period in which the Company is, or could be reasonably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Settlement and Delivery of the Placement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Trading Day (or such earlier day as is industry practice or as is required for regular-way trading) following the date on which such sales are made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Times;Serif" w:hAnsi="Times New Roman;Times;Serif"/>
          <w:b/>
          <w:i w:val="false"/>
          <w:caps w:val="false"/>
          <w:smallCaps w:val="false"/>
          <w:sz w:val="20"/>
          <w:u w:val="single"/>
        </w:rPr>
        <w:t>DWAC</w:t>
      </w:r>
      <w:r>
        <w:rPr>
          <w:rFonts w:ascii="Times New Roman;Times;Serif" w:hAnsi="Times New Roman;Times;Serif"/>
          <w:b w:val="false"/>
          <w:i w:val="false"/>
          <w:caps w:val="false"/>
          <w:smallCaps w:val="false"/>
          <w:sz w:val="20"/>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reasonable and documented expense (including reasonable and documented legal fees and expenses), as incurred, arising out of or in connection with such default by the Company or its transfer agent (if applicable) and (iii) pay to the Agent any commission, discount or other compensation to which it would otherwise have been entitled absent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val="false"/>
          <w:caps w:val="false"/>
          <w:smallCaps w:val="false"/>
          <w:sz w:val="20"/>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Agent in writing, or (v) the dollar amount of shares of Common Stock for which the Company has filed the Prospectus.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Registration Statement or the Prospectus, the Company represents and warrants to, and agrees with, the Agent that as of the date of this Agreement, and as of (i) each Representation Date (as defined in Section 7(m)) for which no waiver is in effect, (ii) each date on which a Placement Notice is given, (iii) the date and time of each sale of any Placement Shares pursuant to this Agreement and (iv) each Settlement Date (each such time or date referred to in clauses (i) through (iv), an “</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transactions contemplated by this Agreement meet the requirements for and comply with the conditions for the use of Form S-3 (including General Instructions I.A and I.B.1.) under the Securities Act. The Registration Statement will be filed with the Commission and will be declared effective by the Commission under the Securities Act prior to the issuance of any Placement Notices by the Company. At the time the Registration Statement becomes effective, the Company will meet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ATM Prospectus. The Company has not received, and has no notice from the Commission of, any notice pursuant to Rule 401(g)(1) under the Securities Act objecting to the use of the shelf registration statement form. No stop order of the Commission preventing or suspending the use of the ATM Prospectus, any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Registration Statement and any post-effective amendment thereto, at the time it becomes effective, at each deemed effective date with respect to the Agent pursuant to Rule 430B(f)(2) under the Securities Act and as of each Applicable Time, will comply in all material respects with the requirements of the Securities Act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ATM Prospectus and any amendment or supplement thereto, when so filed with the Commission under Rule 424(b) under the Securities Act, and as of each Applicable Time, will comply in all material respects with the requirements of the Securities Act, and the ATM Prospectus, any prospectus supplement, Prospectus or issuer free writing prospectus (or any amendments or supplements to any of the foregoing) furnished to the Agent for use in connection with the offering of the Placement Shares will be identical to the electronically transmitted copies thereof filed with the Commission pursuant to EDGAR, except to the extent permitted by Regulation S-T. Neither the ATM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At the time of filing the Registration Statement and (ii) at the time of the execution of this Agreement (with such date being used as the determination date for purposes of this clause (ii)), the Company is not and will not be an “ineligible issuer” (as defined in Rule 405), without taking account of any determination by the Commission pursuant to Rule 405 that it is not necessary that the Company be considered an ineligible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issuer free writing prospectus, as of its issue date and as of each Applicable Time,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Except for the Agent, there is no broker, finder or other party that is entitled to receive from the Company or any of its subsidiaries any brokerage or finder’s fee or other fee or commission as a result of any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been duly incorporated, is validly existing as a corporation in good standing under the laws of the State of Delaware, has the corporate power and authority to own or lease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subsidiary of 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and are owned directly by the Company, free and clear of all liens, encumbrances, equities or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has the authorized and outstanding capitalization as set forth in the Company’s annual report on Form 10-K for the most recent fiscal year or, if later, the Company’s quarterly report on Form 10-Q for the most recent fiscal quarter, as of the dates referred to therein (subject, in each case, to the issuance of Placement Shares under this Agreement, the issuance of shares of Common Stock upon exercise of share options and warrants disclosed as outstanding as of the date hereof in the Registration Statement and the Prospectus and the grant of options under existing share option plans described in the Registration Statement and the Prospectus). The authorized capital stock of the Company conforms in all material respects as to legal matters to the description thereof contained in the Prospectus.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Times New Roman;Times;Serif" w:hAnsi="Times New Roman;Times;Serif"/>
          <w:b/>
          <w:i w:val="false"/>
          <w:caps w:val="false"/>
          <w:smallCaps w:val="false"/>
          <w:sz w:val="20"/>
          <w:u w:val="single"/>
        </w:rPr>
        <w:t>Stock Plans</w:t>
      </w:r>
      <w:r>
        <w:rPr>
          <w:rFonts w:ascii="Times New Roman;Times;Serif" w:hAnsi="Times New Roman;Times;Serif"/>
          <w:b w:val="false"/>
          <w:i w:val="false"/>
          <w:caps w:val="false"/>
          <w:smallCaps w:val="false"/>
          <w:sz w:val="20"/>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Stock under the Company’s amended and restated certificate of incorporation or amended and restated bylaws or any agreement or other instrument to which the Company is a party or otherwise filed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“Business—Intellectual Property,” “Business—Our Collaborations and Licensing Strategy,” “Business—Government Regulation and Licensure of Products,” “Legal Proceedings,” and “Description of Capital Stock,” insofar as such statements summarize legal matters, agreements, documents or proceedings discussed therein, are accurate summaries in all material respects of such legal matters, agreements, documents or proceedings. Except as described in the Prospectus or as would not reasonably be expected to have a material adverse effect on the Company and its subsidiaries, taken as a whole,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is not, and after giving effect to the offering and sale of the Placement Shares and the application of the proceeds thereof as described in the Prospectus will not be, required to register as an “investment company” as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execution and delivery by the Company of, and the performance by the Company of its obligations under, this Agreement will not contravene any provision of the certificate of incorporation or by-laws of the Company, as amended, or any agreement or other instrument binding upon the Company or any of its subsidiaries that is material to the Company and its subsidiaries, taken as a whole, or any applicable law or statute or any judgment, order or decree of any governmental body, agency or court having jurisdiction over the Company or any subsidiary, and no consent, approval, authorization or order of, or qualification with, any governmental body or agency is required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Inc. (“FINRA”) in connection with the offer and 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 The Company and its subsidiaries have not incurred any material liability or obligation, direct or contingent, nor entered into any material transaction; (ii) the Company has not purchased any of its outstanding capital stock other than purchases of restricted common stock of the Company, which are individually and in the aggregate immaterial to the Company, pursuant to contractual rights of the Company in connection with the termination of the employment with the Company of the holders thereof, nor declared, paid or otherwise made any dividend or distribution of any kind on its capital stock other than ordinary and customary dividends; and (iii) there has not been any material change in the capital stock, short-term debt or long-term debt of the Company and its subsidiaries, except in each case as described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There has not occurred any material adverse change, or any development that would reasonably be expected to result in a material adverse change, in the condition, financial or otherwise, or in the earnings, business or operations of the Company and its subsidiaries, taken as a whole, from that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other than any such rights that are described in the Prospectus and have been validly waived in connection with the filing of the Registration Statement and the 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during the periods involved. The other financial data set forth or incorporated by reference in the Registration Statement and the Prospectus is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therein as required. The Company and its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and the Prospectus. Any third-party statistical and market-related data included or incorporated by reference in the Registration Statement and the Prospectus were obtained or derived from sources which the Company reasonably believes are reliable and accurate.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Times;Serif" w:hAnsi="Times New Roman;Times;Serif"/>
          <w:b/>
          <w:i w:val="false"/>
          <w:caps w:val="false"/>
          <w:smallCaps w:val="false"/>
          <w:sz w:val="20"/>
          <w:u w:val="single"/>
        </w:rPr>
        <w:t>PCAOB</w:t>
      </w:r>
      <w:r>
        <w:rPr>
          <w:rFonts w:ascii="Times New Roman;Times;Serif" w:hAnsi="Times New Roman;Times;Serif"/>
          <w:b w:val="false"/>
          <w:i w:val="false"/>
          <w:caps w:val="false"/>
          <w:smallCaps w:val="false"/>
          <w:sz w:val="20"/>
        </w:rPr>
        <w:t>”), has participated in or otherwise aided the preparation of, or audited, the financial statements, supporting schedules or other financial data filed with the Commission as a part of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Prospectus and proceedings that would not have a material adverse effect on the Company and its subsidiaries, taken as a whole, or on the power or ability of the Company to perform its obligations under this Agreement or to consummate the transactions contemplated by the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are described in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in each case except as described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Neither the Company nor any of its subsidiaries is (i) in violation of any provision of its own certificate of incorporation or by-laws, (ii) in default, and, to the knowledge of the Company, no event has occurred that, with notice or lapse of time or both, would constitute such a default, in the due performance or observance of any term, covenant or condition contained in any agreement or other instrument binding upon the Company or any of its subsidiaries, in either case to the extent that such default has had or would reasonably be expected to have a material adverse effect on the Company and its subsidiaries, taken as a whole, or (iii) in violation of any applicable law or statute or any judgment, order or decree of any governmental body, agency or court having jurisdiction over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of Ernst &amp; Young LLP, who have certified certain financial statements of the Company, and PricewaterhouseCoopers LLP is an independent registered public accounting firm with respect to the Company within the meaning of the Securities Act and the applicable rules and regulations thereunder adopted by the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All Company and each of its subsidiaries has filed all federal, state, local and foreign tax returns required to be filed through the date of this Agreement or has requested extensions thereof (except where the failure to file would not, individually or in the aggregate, have a material adverse effect on the Company and its subsidiaries, taken as a whole) and has paid all taxes required to be paid thereon (except for cases in which the failure to file or pay would not, individually or in the aggregate, have a material adverse effect on the Company and its subsidiaries, taken as a whole, or, except as currently being contested in good faith and for which reserves required by GAAP have been created in the financial statements of the Company), and no tax deficiency has been determined adversely to the Company or any of its subsidiaries which has had (nor does the Company or any of its subsidiaries have any notice or knowledge of any tax deficiency which could reasonably be expected to be determined adversely to the Company or its subsidiaries and which would reasonably be expected to have), individually or in the aggregate,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No material labor dispute with the employees of the Company or any of its subsidiaries exists, except as described in the Prospectus, or, to the knowledge of the Company, is imminent; and the Company is not aware of any existing, threatened or imminent labor disturbance by the employees of any of its principal suppliers, manufacturers or contractors that would reasonably be likely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each of its subsidiaries is insured by insurers of recognized financial responsibility against such losses and risks and in such amounts as are, in the reasonable judgment of the Company, prudent and customary in the business in which it is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Prospectus, and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 The Company and its subsidiaries (i) are, and at all times have been, in compliance in all material respects with all statutes, rules, regulations, standards, guidelines and orders administered or issued by any Regulatory Authority or applicable to the ownership, testing, development, manufacture, packaging, processing, use, distribution, storage, import, export or disposal of any product manufactured or distributed by the Company or any of its subsidiaries (collectively, “</w:t>
      </w:r>
      <w:r>
        <w:rPr>
          <w:rFonts w:ascii="Times New Roman;Times;Serif" w:hAnsi="Times New Roman;Times;Serif"/>
          <w:b/>
          <w:i w:val="false"/>
          <w:caps w:val="false"/>
          <w:smallCaps w:val="false"/>
          <w:sz w:val="20"/>
          <w:u w:val="single"/>
        </w:rPr>
        <w:t>Applicable Laws</w:t>
      </w:r>
      <w:r>
        <w:rPr>
          <w:rFonts w:ascii="Times New Roman;Times;Serif" w:hAnsi="Times New Roman;Times;Serif"/>
          <w:b w:val="false"/>
          <w:i w:val="false"/>
          <w:caps w:val="false"/>
          <w:smallCaps w:val="false"/>
          <w:sz w:val="20"/>
        </w:rPr>
        <w:t>”), and (ii) have not received any FDA Form 483, written notice of adverse finding, warning letter, untitled letter or other correspondence or written notice from any court or arbitrator or governmental or regulatory body, agency or authority alleging or asserting non-compliance with (x) any Applicable Laws or (y) any licenses, exemptions, certificates, approvals, clearances, authorizations, permits and supplements or amendments thereto required by any such Applicable Laws. Neither the Company nor any of its subsidiaries has received written notice of any claim, action, suit, proceeding, hearing, enforcement, investigation, arbitration or other action from any court or arbitrator or governmental or regulatory body, agency or authority or third party alleging that any operation or activity is in material violation of any Applicable Laws, and, to the knowledge of the Company, no such notice of any claim, action, suit, proceeding, hearing, enforcement, investigation, arbitration or other action is threatened. Neither the Company nor any of its subsidiaries is a party to any corporate integrity agreements, monitoring agreements, consent decrees, settlement orders, or similar agreements with or imposed by any governmental or regulatory body, agency or authority. Additionally, to the Company’s knowledge, none of the employees, officers or directors of the Company or any of its subsidiaries has been excluded, suspended or debarred from participation in any U.S. federal health care program, clinical or pre-clinical research or comparable foreign program or is subject to a governmental inquiry, investigation, proceeding, or other similar action that could reasonably be expected to result in debarment, suspension, or exclusion.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and each of its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Neither the Company nor any of its subsidiaries, nor any director or officer thereof, nor, to the Company’s knowledge, any employee or affiliate of the Company or any of its subsidiaries or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Times;Serif" w:hAnsi="Times New Roman;Times;Serif"/>
          <w:b/>
          <w:i w:val="false"/>
          <w:caps w:val="false"/>
          <w:smallCaps w:val="false"/>
          <w:sz w:val="20"/>
          <w:u w:val="single"/>
        </w:rPr>
        <w:t>Government Official</w:t>
      </w:r>
      <w:r>
        <w:rPr>
          <w:rFonts w:ascii="Times New Roman;Times;Serif" w:hAnsi="Times New Roman;Times;Serif"/>
          <w:b w:val="false"/>
          <w:i w:val="false"/>
          <w:caps w:val="false"/>
          <w:smallCaps w:val="false"/>
          <w:sz w:val="20"/>
        </w:rPr>
        <w:t>”), or to any person in violation of any applicable anti-corruption laws; (ii) the Company and its subsidiaries and, to the Company’s knowledge, their respective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w:t>
      </w:r>
      <w:r>
        <w:rPr>
          <w:rFonts w:ascii="Times New Roman;Times;Serif" w:hAnsi="Times New Roman;Times;Serif"/>
          <w:b/>
          <w:i w:val="false"/>
          <w:caps w:val="false"/>
          <w:smallCaps w:val="false"/>
          <w:sz w:val="20"/>
          <w:u w:val="single"/>
        </w:rPr>
        <w:t>UNSC</w:t>
      </w:r>
      <w:r>
        <w:rPr>
          <w:rFonts w:ascii="Times New Roman;Times;Serif" w:hAnsi="Times New Roman;Times;Serif"/>
          <w:b w:val="false"/>
          <w:i w:val="false"/>
          <w:caps w:val="false"/>
          <w:smallCaps w:val="false"/>
          <w:sz w:val="20"/>
        </w:rPr>
        <w:t>”), the European Union, His Majesty’s Treasury (“</w:t>
      </w:r>
      <w:r>
        <w:rPr>
          <w:rFonts w:ascii="Times New Roman;Times;Serif" w:hAnsi="Times New Roman;Times;Serif"/>
          <w:b/>
          <w:i w:val="false"/>
          <w:caps w:val="false"/>
          <w:smallCaps w:val="false"/>
          <w:sz w:val="20"/>
          <w:u w:val="single"/>
        </w:rPr>
        <w:t>HMT</w:t>
      </w:r>
      <w:r>
        <w:rPr>
          <w:rFonts w:ascii="Times New Roman;Times;Serif" w:hAnsi="Times New Roman;Times;Serif"/>
          <w:b w:val="false"/>
          <w:i w:val="false"/>
          <w:caps w:val="false"/>
          <w:smallCaps w:val="false"/>
          <w:sz w:val="20"/>
        </w:rPr>
        <w:t>”) or other relevant sanctions authority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target of Sanctions, including, without limitation, Cuba, Iran, North Korea, the Crimea Region and the non-government controlled areas of the Zaporizhzhia and Kherson Regions of Ukraine, the so-called Donetsk People’s Republic, the so-called Luhansk People’s Republic and any other Covered Region of Ukraine identified pursuant to Executive Order 14065 (each, a “</w:t>
      </w:r>
      <w:r>
        <w:rPr>
          <w:rFonts w:ascii="Times New Roman;Times;Serif" w:hAnsi="Times New Roman;Times;Serif"/>
          <w:b/>
          <w:i w:val="false"/>
          <w:caps w:val="false"/>
          <w:smallCaps w:val="false"/>
          <w:sz w:val="20"/>
          <w:u w:val="single"/>
        </w:rPr>
        <w:t>Sanctioned Country</w:t>
      </w:r>
      <w:r>
        <w:rPr>
          <w:rFonts w:ascii="Times New Roman;Times;Serif" w:hAnsi="Times New Roman;Times;Serif"/>
          <w:b w:val="false"/>
          <w:i w:val="false"/>
          <w:caps w:val="false"/>
          <w:smallCaps w:val="false"/>
          <w:sz w:val="20"/>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incorporation,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Except as described in the Prospectus, the Company and its subsidiaries own or possess, or believe they can acquire on commercially reasonable terms, adequate rights to use all patents, patent rights, licenses, copyrights, know-how (including trade secrets and other unpatented and/or unpatentable proprietary or confidential information, systems or procedures), trademarks, service marks, trade names, domain names and other similar intellectual property or proprietary rights (including all registrations and applications for registration of, and all goodwill associated with, the foregoing) (collectively,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in each case necessary for the conduct of the business of the Company and its subsidiaries in all material respects as currently conducted and as proposed to be conducted as described in the Prospectus. Except as described in the Prospectus and to the knowledge of the Company, neither the Company nor any of its subsidiaries has infringed, misappropriated or otherwise violated any Intellectual Property of any third party except as would not reasonably be expected to result in a material adverse effect on the Company and its subsidiaries, taken as a whole. Except as described in the Prospectus, neither the Company nor any of its subsidiaries has received any written notice of infringement, misappropriation or other violation of, or conflict with, any Intellectual Property of any third party, or any written notice challenging the validity, enforceability or scope of any Intellectual Property owned by, or exclusively licensed to, the Company or any of its subsidiaries, in each case, which, individually or in the aggregate, if the subject of an unfavorable decision, ruling or finding, would have a material adverse effect on the Company and its subsidiaries, taken as a whole. Except as described in the Prospectus, to the knowledge of the Company, all material Intellectual Property owned by, or exclusively licensed to, the Company and its subsidiaries is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(i) The feasibility, pre-clinical or clinical trials and other studies or tests (x) conducted by or on behalf of or sponsored by the Company or any of its subsidiaries, or (y) in which the Company or any of its subsidiaries has participated, that are described in the Prospectus, or the results of which are referred to in the Prospectus, as applicable, were, and if still pending, are being conducted in all material respects in accordance with standard medical and scientific research standards and procedures for products or product candidates comparable to those being developed by the Company or any of its subsidiaries and all applicable statutes and all applicable rules, regulations and guidance documents of the U.S. Food and Drug Administration (“</w:t>
      </w:r>
      <w:r>
        <w:rPr>
          <w:rFonts w:ascii="Times New Roman;Times;Serif" w:hAnsi="Times New Roman;Times;Serif"/>
          <w:b/>
          <w:i w:val="false"/>
          <w:caps w:val="false"/>
          <w:smallCaps w:val="false"/>
          <w:sz w:val="20"/>
          <w:u w:val="single"/>
        </w:rPr>
        <w:t>FDA</w:t>
      </w:r>
      <w:r>
        <w:rPr>
          <w:rFonts w:ascii="Times New Roman;Times;Serif" w:hAnsi="Times New Roman;Times;Serif"/>
          <w:b w:val="false"/>
          <w:i w:val="false"/>
          <w:caps w:val="false"/>
          <w:smallCaps w:val="false"/>
          <w:sz w:val="20"/>
        </w:rPr>
        <w:t>”) and comparable regulatory agencies outside of the United States to which they are subject (collectively, the “</w:t>
      </w:r>
      <w:r>
        <w:rPr>
          <w:rFonts w:ascii="Times New Roman;Times;Serif" w:hAnsi="Times New Roman;Times;Serif"/>
          <w:b/>
          <w:i w:val="false"/>
          <w:caps w:val="false"/>
          <w:smallCaps w:val="false"/>
          <w:sz w:val="20"/>
          <w:u w:val="single"/>
        </w:rPr>
        <w:t>Regulatory Authorities</w:t>
      </w:r>
      <w:r>
        <w:rPr>
          <w:rFonts w:ascii="Times New Roman;Times;Serif" w:hAnsi="Times New Roman;Times;Serif"/>
          <w:b w:val="false"/>
          <w:i w:val="false"/>
          <w:caps w:val="false"/>
          <w:smallCaps w:val="false"/>
          <w:sz w:val="20"/>
        </w:rPr>
        <w:t>”) and current Good Clinical Practices and Good Laboratory Practices; (ii) the descriptions in the Prospectus of the results of such trials, studies and tests are, in all material respects, accurate and complete descriptions and fairly present the material data derived therefrom; (iii) the Company has no knowledge of any other trials, studies or tests (x) conducted by or on behalf of or sponsored by the Company or any of its subsidiaries, or (y) in which the Company or any of its subsidiaries has participated, not described in the Prospectus, the results of which are materially inconsistent with or raise questions concerning the validity of the results described or referred to in the Prospectus; (iv) the Company and its subsidiaries have operated at all times and are currently in compliance in all material respects with all applicable statutes, rules, regulations, standards, guidelines and orders administered or issued by any Regulatory Authority; and (v) neither the Company nor any of its subsidiaries has received any written notices, correspondence or other communications from the Regulatory Authorities or any court or arbitrator or other governmental or regulatory body, agency or authority requiring or threatening the termination, modification or suspension of any feasibility, clinical or pre-clinical trials or other studies or tests that are described in the Prospectus or the results of which are referred to in the Prospectus, other than ordinary course communications with respect to modifications in connection with the design and implementation of such trials and tests, and there are no reasonable grounds for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Neither the Company nor any of its subsidiaries has failed to file with the Regulatory Authorities any required filing, declaration, listing, registration, report or submission with respect to the Company’s or any subsidiary’s product candidates or feasibility, pre-clinical or clinical trials or other studies or tests that are described or referred to in the Prospectus; all such filings, declarations, listings, registrations, reports or submissions were in compliance in all material respects with applicable laws when filed; and no deficiencies regarding material compliance with applicable law have been asserted by any applicable Regulatory Authority with respect to any such filings, declarations, listings, registrations, reports or submissions.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The Company acknowledges and agrees that the Agent has informed the Company that the Agent may, to the extent permitted under the Securities Act and the Exchange Act, purchase and sell shares of Common Stock for its own account while this Agreement is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 Company is not a party to any agreement with an agent or underwriter for any other “at the market” or continuous equity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Neither the Company nor, to the Company’s knowledge, any of its affiliates (within the meaning of Rule 144 under the Securities Act) has, prior to the date hereof, made any offer or sale of any securities which could reasonably be expected to be “integrated” (within the meaning of the Securities Act) with the offer and sale of the Placement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To the knowledge of the Company, there has been no (A) security breach, (B) unauthorized destruction, loss, distribution, use, access, disablement or modification, or (C) misappropriation or other compromise or misuse (each of the foregoing subsections (A)-(C), a “</w:t>
      </w:r>
      <w:r>
        <w:rPr>
          <w:rFonts w:ascii="Times New Roman;Times;Serif" w:hAnsi="Times New Roman;Times;Serif"/>
          <w:b/>
          <w:i w:val="false"/>
          <w:caps w:val="false"/>
          <w:smallCaps w:val="false"/>
          <w:sz w:val="20"/>
          <w:u w:val="single"/>
        </w:rPr>
        <w:t>Breach</w:t>
      </w:r>
      <w:r>
        <w:rPr>
          <w:rFonts w:ascii="Times New Roman;Times;Serif" w:hAnsi="Times New Roman;Times;Serif"/>
          <w:b w:val="false"/>
          <w:i w:val="false"/>
          <w:caps w:val="false"/>
          <w:smallCaps w:val="false"/>
          <w:sz w:val="20"/>
        </w:rPr>
        <w:t>”) of or relating to any of the Company’s or its subsidiaries’ respective information technology or computer systems, networks, hardware, software, data (including Personal Data (as defined below) and the data of its customers, employees, suppliers, vendors and any third party data maintained by or on behalf of the Company or any of its subsidiaries), equipment or technology (collectively, the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and (y) neither the Company nor any of its subsidiaries has been notified of, or has any knowledge of, any event or condition that would reasonably be expected to result in, any Breach of the IT Systems and Data, except as would not, in the case of this clause (i), individually or in the aggregate, have a material adverse effect; (ii) the Company and each of its subsidiaries has complied, and is presently in compliance, with all (A) applicable laws and statutes and all judgments, orders, rules and regulations of any court or arbitrator or governmental or regulatory authority and (B) internal and external-facing policies and (C) contractual obligations, in each case relating to (x) the collection, use, transfer, import, export, storage, protection, disposal and/or disclosure of personally identifiable, household, confidential or regulated data or information (“</w:t>
      </w:r>
      <w:r>
        <w:rPr>
          <w:rFonts w:ascii="Times New Roman;Times;Serif" w:hAnsi="Times New Roman;Times;Serif"/>
          <w:b/>
          <w:i w:val="false"/>
          <w:caps w:val="false"/>
          <w:smallCaps w:val="false"/>
          <w:sz w:val="20"/>
          <w:u w:val="single"/>
        </w:rPr>
        <w:t>Data Security Obligations</w:t>
      </w:r>
      <w:r>
        <w:rPr>
          <w:rFonts w:ascii="Times New Roman;Times;Serif" w:hAnsi="Times New Roman;Times;Serif"/>
          <w:b w:val="false"/>
          <w:i w:val="false"/>
          <w:caps w:val="false"/>
          <w:smallCaps w:val="false"/>
          <w:sz w:val="20"/>
        </w:rPr>
        <w:t>”, and such data and information, “</w:t>
      </w:r>
      <w:r>
        <w:rPr>
          <w:rFonts w:ascii="Times New Roman;Times;Serif" w:hAnsi="Times New Roman;Times;Serif"/>
          <w:b/>
          <w:i w:val="false"/>
          <w:caps w:val="false"/>
          <w:smallCaps w:val="false"/>
          <w:sz w:val="20"/>
          <w:u w:val="single"/>
        </w:rPr>
        <w:t>Personal Data</w:t>
      </w:r>
      <w:r>
        <w:rPr>
          <w:rFonts w:ascii="Times New Roman;Times;Serif" w:hAnsi="Times New Roman;Times;Serif"/>
          <w:b w:val="false"/>
          <w:i w:val="false"/>
          <w:caps w:val="false"/>
          <w:smallCaps w:val="false"/>
          <w:sz w:val="20"/>
        </w:rPr>
        <w:t>”), (y) the privacy and security of the IT Systems and Data or (z) the protection of the IT Systems and Data from any Breach, except as would not, in the case of this clause (ii), individually or in the aggregate, have a material adverse effect; (iii) the Company and each of its subsidiaries has taken commercially reasonable steps to protect the IT Systems and Data, including by establishing, maintaining, implementing and complying with reasonable information technology, information security, cyber security and data protection controls, policies and procedures and technology, including oversight, access controls, encryption, technological and physical safeguards and business continuity/disaster recovery and security plans, that the Company reasonably believes are consistent with industry standards and practices and are designed to protect against and prevent any Breach of the IT Systems and Data; (iv) neither the Company nor any of its subsidiaries has received any complaint regarding any non-compliance with any Data Security Obligation by the Company or any of its subsidiaries; and (v) there is no action, suit or proceeding by or before any court or governmental agency, authority or body pending or, to the knowledge of the Company, threatened alleging non-compliance with any Data Security Obligation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Agent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related to the Placement Shares or for additional information related to the Placement Shares;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in writing thereto within two Business Days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related to the Placement Shares or any amendment or supplements to the Prospectus or for additional information related to the offering of the Placement Shares or for additional information related to the Registration Statement with respect to the Placement Shares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in all material respects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delay the filing of any amendment or supplement, if in the judgment of the Company, it is in the best interest of the Company to do so. If the Company has omitted any information with respect to the Placement Shares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Agent and its counsel (at the reasonable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reasonable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 which requirement shall be satisfied by the timely filing with the Commission of the Company’s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Placement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and documented fees and disbursements of the Agent’s outside legal counsel (A) in an amount not to exceed $75,000 arising out of executing this Agreement and the Company’s delivery of the initial certificate pursuant to Section 7(m), (B) in an amount not to exceed $25,000 in connection with each Representation Date (as defined below) related to a filing of an annual report on Form 10-K on which the Company is required to provide a certificate pursuant to Section 7(m) and (C) in an amount not to exceed $15,000 in connection with each other Representation Date on which the Company is required to provide a certificate pursuant to Section 7(m) (in addition to the fees and associated expenses referred to in clause (vii)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third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tenth day immediately following the final Settlement Date with respect to Placement Shares sold pursuant to such Placement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or vesting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or strategic alliances or offered and sold in a privately negotiated transaction to vendors, customers, strategic partners or potential strategic partners conducted in a manner so as not to be integrated with the offering of Common Stock contemplated by this Agreement and occurring after the date of this Agreement which are not issued for capital raising purposes. Notwithstanding the foregoing provisions, nothing herein shall be construed to restrict the Company’s ability, or require the Company to provide notice to the Agent, to file a registration statement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xml:space="preserve">. The Company agrees that on or prior to such dates as the Securities Act shall require with respect to the Placement Shares,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On or prior to the date on which the Company first delivers a Placement Notice pursuant to this agreement (the “</w:t>
      </w:r>
      <w:r>
        <w:rPr>
          <w:rFonts w:ascii="Times New Roman;Times;Serif" w:hAnsi="Times New Roman;Times;Serif"/>
          <w:b/>
          <w:i w:val="false"/>
          <w:caps w:val="false"/>
          <w:smallCaps w:val="false"/>
          <w:sz w:val="20"/>
          <w:u w:val="single"/>
        </w:rPr>
        <w:t>First Placement Notice Date</w:t>
      </w:r>
      <w:r>
        <w:rPr>
          <w:rFonts w:ascii="Times New Roman;Times;Serif" w:hAnsi="Times New Roman;Times;Serif"/>
          <w:b w:val="false"/>
          <w:i w:val="false"/>
          <w:caps w:val="false"/>
          <w:smallCaps w:val="false"/>
          <w:sz w:val="20"/>
        </w:rPr>
        <w:t>”) and each time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amends or supplements (other than a prospectus supplement relating solely to an offering of securities other than the Placement Shares)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10-K under the Exchange Act (including any Form 10-K/A containing amended financial information or a material amendment to the previously filed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files a quarterly report on Form 10-Q under the Exchange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files a current report on Form 8-K containing amended financial information (other than an earnings release that is “furnished” pursuant to Item 2.02 or Item 7.01 of Form 8-K) under the Exchange Act (each date of filing of one or more of the documents referred to in clauses (i) through (iv) shall be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Times;Serif" w:hAnsi="Times New Roman;Times;Serif"/>
          <w:b/>
          <w:i w:val="false"/>
          <w:caps w:val="false"/>
          <w:smallCaps w:val="false"/>
          <w:sz w:val="20"/>
          <w:u w:val="single"/>
        </w:rPr>
        <w:t>Exhibit 7(m)</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Times;Serif" w:hAnsi="Times New Roman;Times;Serif"/>
          <w:b/>
          <w:i w:val="false"/>
          <w:caps w:val="false"/>
          <w:smallCaps w:val="false"/>
          <w:sz w:val="20"/>
          <w:u w:val="single"/>
        </w:rPr>
        <w:t>Exhibit 7(m)</w:t>
      </w:r>
      <w:r>
        <w:rPr>
          <w:rFonts w:ascii="Times New Roman;Times;Serif" w:hAnsi="Times New Roman;Times;Serif"/>
          <w:b w:val="false"/>
          <w:i w:val="false"/>
          <w:caps w:val="false"/>
          <w:smallCaps w:val="false"/>
          <w:sz w:val="20"/>
        </w:rPr>
        <w:t>, dated the date of such Placement Notice. Within two Trading Days of each Representation Date, the Company shall have furnished to the Agent such further information, certificates and documents as the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On or prior to the First Placement Notice Date and on or prior to any date on which the Company is obligated to deliver a certificate pursuant to Section 7(m) for which no waiver is applicable, the Company shall cause to be furnished to the Agent the written opinion and negative assurance letter of Wilmer Cutler Pickering Hale and Dorr LLP, counsel to the Company, or such other counsel satisfactory to the Agent (“</w:t>
      </w:r>
      <w:r>
        <w:rPr>
          <w:rFonts w:ascii="Times New Roman;Times;Serif" w:hAnsi="Times New Roman;Times;Serif"/>
          <w:b/>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Intellectual Property Opinions</w:t>
      </w:r>
      <w:r>
        <w:rPr>
          <w:rFonts w:ascii="Times New Roman;Times;Serif" w:hAnsi="Times New Roman;Times;Serif"/>
          <w:b w:val="false"/>
          <w:i w:val="false"/>
          <w:caps w:val="false"/>
          <w:smallCaps w:val="false"/>
          <w:sz w:val="20"/>
        </w:rPr>
        <w:t>. On or prior to the First Placement Notice Date and on or prior to any date on which the Company is obligated to deliver a certificate pursuant to Section 7(m) for which no waiver is applicable, the Company shall cause to be furnished to the Agent the written opinions of (i) Choate Hall &amp; Stewart LLP, (ii) Perkins Coie LLP and (iii) McCarter &amp; English, counsel for the Company with respect to intellectual property matters, or such other intellectual property counsel satisfactory to the Agent (“</w:t>
      </w:r>
      <w:r>
        <w:rPr>
          <w:rFonts w:ascii="Times New Roman;Times;Serif" w:hAnsi="Times New Roman;Times;Serif"/>
          <w:b/>
          <w:i w:val="false"/>
          <w:caps w:val="false"/>
          <w:smallCaps w:val="false"/>
          <w:sz w:val="20"/>
          <w:u w:val="single"/>
        </w:rPr>
        <w:t>Intellectual Property Counsel</w:t>
      </w:r>
      <w:r>
        <w:rPr>
          <w:rFonts w:ascii="Times New Roman;Times;Serif" w:hAnsi="Times New Roman;Times;Serif"/>
          <w:b w:val="false"/>
          <w:i w:val="false"/>
          <w:caps w:val="false"/>
          <w:smallCaps w:val="false"/>
          <w:sz w:val="20"/>
        </w:rPr>
        <w:t xml:space="preserve">”), in form and substance satisfactory to the Agent and its counsel, dated the date that the opinion letters are required to be delivered, modified, as necessary, to relate to the Registration Statement and the Prospectus as then amended or supplemented;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lieu of such written opinions for subsequent Representation Dates, Intellectual Property Counsel may furnish the Agent with letter(s) to the effect that the Agent may rely on prior opinion letter(s) delivered by such counsel under this Section 7(o) to the same extent as if such letter(s) were dated the date of such opinion letter(s) (except that statements in such prior opinion letter shall be deemed to relate to the Registration Statement and the Prospectus as amended or supplemented at such Representation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On or prior to the First Placement Notice Date and on or prior to any date on which the Company is obligated to deliver a certificate pursuant to Section 7(m) for which no waiver is applicable, the Company shall cause its independent registered public accounting firm(s) who has audited or reviewed the financial statements included or incorporated by reference in the Registration Statement (and any other independent accountants whose report is included in the Registration Statement or the Prospectus) to furnish the Agent letters (the “</w:t>
      </w:r>
      <w:r>
        <w:rPr>
          <w:rFonts w:ascii="Times New Roman;Times;Serif" w:hAnsi="Times New Roman;Times;Serif"/>
          <w:b/>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Letters are delivered, which shall meet the requirements set forth in this Section 7(p);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requested by the Agent, the Company shall cause Comfort Letters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firms shall (i) confirm that they are an independent registered public accounting firm within the meaning of the Securities Act and the PCAOB, (ii) state, as of such date, the conclusions and findings of each such firm with respect to the financial information and other matters ordinarily covered by accountants’ “comfort letters” to underwriters in connection with registered public offerings (the first such letters, the “</w:t>
      </w:r>
      <w:r>
        <w:rPr>
          <w:rFonts w:ascii="Times New Roman;Times;Serif" w:hAnsi="Times New Roman;Times;Serif"/>
          <w:b/>
          <w:i w:val="false"/>
          <w:caps w:val="false"/>
          <w:smallCaps w:val="false"/>
          <w:sz w:val="20"/>
          <w:u w:val="single"/>
        </w:rPr>
        <w:t>Initial Comfort Letters</w:t>
      </w:r>
      <w:r>
        <w:rPr>
          <w:rFonts w:ascii="Times New Roman;Times;Serif" w:hAnsi="Times New Roman;Times;Serif"/>
          <w:b w:val="false"/>
          <w:i w:val="false"/>
          <w:caps w:val="false"/>
          <w:smallCaps w:val="false"/>
          <w:sz w:val="20"/>
        </w:rPr>
        <w:t>”) and (iii) update the Initial Comfort Letters with any information that would have been included in the Initial Comfort Letters had they been given on such date and modified as necessary to relate to the Registration Statement and the Prospectus, as amended and supplemented to the date of such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bid for and purchase shares of Common Stock in accordance with Rule 10b-18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shall maintain, or cause to be maintained, insurance in such amounts and covering such risks as is reasonable and customary for the business for which it is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Securities Act and Exchange Act</w:t>
      </w:r>
      <w:r>
        <w:rPr>
          <w:rFonts w:ascii="Times New Roman;Times;Serif" w:hAnsi="Times New Roman;Times;Serif"/>
          <w:b w:val="false"/>
          <w:i w:val="false"/>
          <w:caps w:val="false"/>
          <w:smallCaps w:val="false"/>
          <w:sz w:val="20"/>
        </w:rPr>
        <w:t>. The Company will use its reasonable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Blue Sky and Other Qualifications</w:t>
      </w:r>
      <w:r>
        <w:rPr>
          <w:rFonts w:ascii="Times New Roman;Times;Serif" w:hAnsi="Times New Roman;Times;Serif"/>
          <w:b w:val="false"/>
          <w:i w:val="false"/>
          <w:caps w:val="false"/>
          <w:smallCaps w:val="false"/>
          <w:sz w:val="20"/>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reasonably designate and to maintain such qualifications and exemptions in effect for so long as required for the distribution of the Placement Shares (but in no event for less than one year from the date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of 2002,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Renewal of Registration Statement.</w:t>
      </w:r>
      <w:r>
        <w:rPr>
          <w:rFonts w:ascii="Times New Roman;Times;Serif" w:hAnsi="Times New Roman;Times;Serif"/>
          <w:b w:val="false"/>
          <w:i w:val="false"/>
          <w:caps w:val="false"/>
          <w:smallCaps w:val="false"/>
          <w:sz w:val="20"/>
        </w:rPr>
        <w:t xml:space="preserve"> If, immediately prior to the third anniversary of the initial effective date of the Registration Statement (the “</w:t>
      </w:r>
      <w:r>
        <w:rPr>
          <w:rFonts w:ascii="Times New Roman;Times;Serif" w:hAnsi="Times New Roman;Times;Serif"/>
          <w:b/>
          <w:i w:val="false"/>
          <w:caps w:val="false"/>
          <w:smallCaps w:val="false"/>
          <w:sz w:val="20"/>
          <w:u w:val="single"/>
        </w:rPr>
        <w:t>Renewal Date</w:t>
      </w:r>
      <w:r>
        <w:rPr>
          <w:rFonts w:ascii="Times New Roman;Times;Serif" w:hAnsi="Times New Roman;Times;Serif"/>
          <w:b w:val="false"/>
          <w:i w:val="false"/>
          <w:caps w:val="false"/>
          <w:smallCaps w:val="false"/>
          <w:sz w:val="20"/>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General Instruction I.B.6. of Form S-3</w:t>
      </w:r>
      <w:r>
        <w:rPr>
          <w:rFonts w:ascii="Times New Roman;Times;Serif" w:hAnsi="Times New Roman;Times;Serif"/>
          <w:b w:val="false"/>
          <w:i w:val="false"/>
          <w:caps w:val="false"/>
          <w:smallCaps w:val="false"/>
          <w:sz w:val="20"/>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delay the filing of any such prospectus supplement as long as no Placement Notice is in effect or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Tax Indemnity</w:t>
      </w:r>
      <w:r>
        <w:rPr>
          <w:rFonts w:ascii="Times New Roman;Times;Serif" w:hAnsi="Times New Roman;Times;Serif"/>
          <w:b w:val="false"/>
          <w:i w:val="false"/>
          <w:caps w:val="false"/>
          <w:smallCaps w:val="false"/>
          <w:sz w:val="20"/>
        </w:rPr>
        <w:t>. The Company will indemnify and hold harmless the Agent against any documentary, stamp or similar issue tax, including any interest and penalties, on the issue and 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has engaged and will maintain, at its sole expense, a transfer agent and registrar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all offers and sales of Placement Shares (i) that have been issued pursuant to all prior Placement Notices and (ii) that will be issued pursuant to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The Company shall have filed with the Commission the ATM Prospectus not later than the Commission’s close of business on the second Business Day following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change, or any development involving a prospective material adverse change, in the condition, financial or otherwise, or in the earnings, business or operations of the Company and its subsidiaries, taken as a whole,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Company Counsel Legal Opinions</w:t>
      </w:r>
      <w:r>
        <w:rPr>
          <w:rFonts w:ascii="Times New Roman;Times;Serif" w:hAnsi="Times New Roman;Times;Serif"/>
          <w:b w:val="false"/>
          <w:i w:val="false"/>
          <w:caps w:val="false"/>
          <w:smallCaps w:val="false"/>
          <w:sz w:val="20"/>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Agent’s Counsel Legal Opinion</w:t>
      </w:r>
      <w:r>
        <w:rPr>
          <w:rFonts w:ascii="Times New Roman;Times;Serif" w:hAnsi="Times New Roman;Times;Serif"/>
          <w:b w:val="false"/>
          <w:i w:val="false"/>
          <w:caps w:val="false"/>
          <w:smallCaps w:val="false"/>
          <w:sz w:val="20"/>
        </w:rPr>
        <w:t>. The Agent shall have received from Davis Polk &amp; Wardwell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The Agent shall have received the Comfort Letters required to be delivered pursuant to Section 7(p) on or before the date on which such delivery of such Comfort Letters is required pursuant to Section 7(p).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Certificate of the Chief Financial Officer</w:t>
      </w:r>
      <w:r>
        <w:rPr>
          <w:rFonts w:ascii="Times New Roman;Times;Serif" w:hAnsi="Times New Roman;Times;Serif"/>
          <w:b w:val="false"/>
          <w:i w:val="false"/>
          <w:caps w:val="false"/>
          <w:smallCaps w:val="false"/>
          <w:sz w:val="20"/>
        </w:rPr>
        <w:t>. On each date on which the Company is required to deliver a certificate pursuant to Section 7(m), if reasonably requested by the Agent, the Agent shall have received a certificate, dated the respective date of delivery thereof and addressed to the Agent, of the Company’s chief financial officer with respect to certain financial data contained in the Prospectus, providing “management comfort” with respect to such information, in form and substance reasonably satisfactory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The Agent shall have received the certificate required to be delivered pursuant to Section 7(m) on or before the date on which delivery of such certificate is required pursuant to Section 7(m).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The Common Stock shall be duly listed, and admitted and authorized for trading, subject to official notice of issuance, on Nasdaq. Trading in the Common Stock shall not have been suspended on, and the Common Stock shall not have been delisted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Either (i) the Placement Shares shall have been approved for listing on Nasdaq, subject only to notice of issuance, or (ii) the Company shall have filed an application for listing of the Placement Shares on Nasdaq at, or prior to, the First Placement Notice Date and Nasdaq shall not have provided any objections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FINRA shall have raised no objection to the terms of the offering contemplated hereby and the amount of compensation allowable or payable to the Agent as described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There shall not have occurred any event that would permit the Agent to terminate this Agreement pursuant to Section 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of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or (y) the omission or alleged omission to state in any such document a material fact required to be stated therein or necessary to make the statements therein (solely with respect to the Prospectus,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Agent Indemnification</w:t>
      </w:r>
      <w:r>
        <w:rPr>
          <w:rFonts w:ascii="Times New Roman;Times;Serif" w:hAnsi="Times New Roman;Times;Serif"/>
          <w:b w:val="false"/>
          <w:i w:val="false"/>
          <w:caps w:val="false"/>
          <w:smallCaps w:val="false"/>
          <w:sz w:val="20"/>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 Without Consent if Failure to Reimburse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If an indemnified party shall have requested an indemnifying party to reimburse the indemnified party for reasonable and documented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Agent shall have the right, by giving notice as hereinafter specified, at any time to terminate this Agreement if (i) any material adverse change, or any development that could reasonably be expected to result in a material adverse change, in the condition, financial or otherwise, or in the earnings, business or operations of the Company and its subsidiaries, taken as a whole,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Section 11, this Agreement shall automatically terminate upon the issuance and sale of all of the Placement Shares through the Agent on the terms and subject to the conditions set forth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Section 7(g), Section 9, Section 10, Section 11(f), Section 16 and Section 17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Sections 11(a), (b), (c), or (d) above or otherwise by mutual agreement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termination by mutual agreement shall in all cases be deemed to provide that Section 7(g), Section 9, Section 10, Section 11(f), Section 16 and Section 17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remain obligated to reimburse the Agent’s expenses pursuant to Section 7(g).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Peter M. Fry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LegalNotice@leerink.com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Editas Medicine,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Hurley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Massachusetts 02141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Secretary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legal@editasmed.com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Wilmer Cutler Pickering Hale and Dorr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State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02109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Stuart M. Falber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Stuart.Falber@wilmerhale.com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Nasdaq and commercial banks in the City of New York are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i w:val="false"/>
          <w:caps w:val="false"/>
          <w:smallCaps w:val="false"/>
          <w:sz w:val="20"/>
          <w:u w:val="single"/>
        </w:rPr>
        <w:t>Electronic Notice</w:t>
      </w:r>
      <w:r>
        <w:rPr>
          <w:rFonts w:ascii="Times New Roman;Times;Serif" w:hAnsi="Times New Roman;Times;Serif"/>
          <w:b w:val="false"/>
          <w:i w:val="false"/>
          <w:caps w:val="false"/>
          <w:smallCaps w:val="false"/>
          <w:sz w:val="20"/>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Times;Serif" w:hAnsi="Times New Roman;Times;Serif"/>
          <w:b/>
          <w:i w:val="false"/>
          <w:caps w:val="false"/>
          <w:smallCaps w:val="false"/>
          <w:sz w:val="20"/>
          <w:u w:val="single"/>
        </w:rPr>
        <w:t>Nonelectronic Notice</w:t>
      </w:r>
      <w:r>
        <w:rPr>
          <w:rFonts w:ascii="Times New Roman;Times;Serif" w:hAnsi="Times New Roman;Times;Serif"/>
          <w:b w:val="false"/>
          <w:i w:val="false"/>
          <w:caps w:val="false"/>
          <w:smallCaps w:val="false"/>
          <w:sz w:val="20"/>
        </w:rPr>
        <w:t>”), which shall be sent to the requesting party within 10 days of receipt of the written request for Nonelectronic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Agent may assign its rights and obligations hereunder to an affiliate of the Agent without obtaining the Company’s consent, so long as such affiliate is a registered broker-dealer.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Adjustments for Share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Entire Agreement; Amendment; Severability; Waiver</w:t>
      </w:r>
      <w:r>
        <w:rPr>
          <w:rFonts w:ascii="Times New Roman;Times;Serif" w:hAnsi="Times New Roman;Times;Serif"/>
          <w:b w:val="false"/>
          <w:i w:val="false"/>
          <w:caps w:val="false"/>
          <w:smallCaps w:val="false"/>
          <w:sz w:val="20"/>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of this Agreement may be amended by either party from time to time by sending a notice containing a revised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to the other party in the manner provided in Section 12 and, upon such amendment, all references herein to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shall automatically be deemed to refer to such amended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GOVERNING LAW AND TIME; WAIVER OF JURY TRIAL</w:t>
      </w:r>
      <w:r>
        <w:rPr>
          <w:rFonts w:ascii="Times New Roman;Times;Serif" w:hAnsi="Times New Roman;Times;Serif"/>
          <w:b/>
          <w:i w:val="false"/>
          <w:caps w:val="false"/>
          <w:smallCaps w:val="false"/>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section and exhibit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defined in the singular shall have a comparable meaning when used in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“hereof,” “hereto,” “herein” and “hereunder” and words of similar import, when used in this Agreement, shall refer to this Agreement as a whole and not to any particular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Wherever the word “include,” “includes” or “including” is used in this Agreement, it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herein to any gender shall include each other gender.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Times;Serif" w:hAnsi="Times New Roman;Times;Serif"/>
          <w:b/>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capable of evaluating, and understanding and understands and accepts, the terms, risks and conditions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Agent’s Information</w:t>
      </w:r>
      <w:r>
        <w:rPr>
          <w:rFonts w:ascii="Times New Roman;Times;Serif" w:hAnsi="Times New Roman;Times;Serif"/>
          <w:b w:val="false"/>
          <w:i w:val="false"/>
          <w:caps w:val="false"/>
          <w:smallCaps w:val="false"/>
          <w:sz w:val="20"/>
        </w:rPr>
        <w:t>.  As used in this Agreement, “</w:t>
      </w:r>
      <w:r>
        <w:rPr>
          <w:rFonts w:ascii="Times New Roman;Times;Serif" w:hAnsi="Times New Roman;Times;Serif"/>
          <w:b/>
          <w:i w:val="false"/>
          <w:caps w:val="false"/>
          <w:smallCaps w:val="false"/>
          <w:sz w:val="20"/>
          <w:u w:val="single"/>
        </w:rPr>
        <w:t>Agent’s Information</w:t>
      </w:r>
      <w:r>
        <w:rPr>
          <w:rFonts w:ascii="Times New Roman;Times;Serif" w:hAnsi="Times New Roman;Times;Serif"/>
          <w:b w:val="false"/>
          <w:i w:val="false"/>
          <w:caps w:val="false"/>
          <w:smallCaps w:val="false"/>
          <w:sz w:val="20"/>
        </w:rPr>
        <w:t>” means solely the following information in the Registration Statement and the Prospectus: the last sentence of the sixth paragraph and the eighth paragraph under the heading “Plan of Distribution” in the ATM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320"/>
        <w:gridCol w:w="5045"/>
      </w:tblGrid>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EDITAS MEDICINE, INC.</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Amy Parison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Amy Parison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first-above written:</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LEERINK PARTNERS LLC</w:t>
            </w:r>
          </w:p>
        </w:tc>
      </w:tr>
      <w:tr>
        <w:trPr/>
        <w:tc>
          <w:tcPr>
            <w:tcW w:w="75" w:type="dxa"/>
            <w:tcBorders/>
            <w:vAlign w:val="center"/>
          </w:tcPr>
          <w:p>
            <w:pPr>
              <w:pStyle w:val="TableContents"/>
              <w:bidi w:val="0"/>
              <w:spacing w:before="0" w:after="283"/>
              <w:jc w:val="left"/>
              <w:rPr/>
            </w:pPr>
            <w:r>
              <w:rPr/>
              <w:t> </w:t>
            </w:r>
          </w:p>
        </w:tc>
        <w:tc>
          <w:tcPr>
            <w:tcW w:w="53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M. Fry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Peter M. Fry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Managing Director, Head of Alternative Equities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PLACEMENT NOTICE</w:t>
      </w:r>
    </w:p>
    <w:tbl>
      <w:tblPr>
        <w:tblW w:w="5770" w:type="dxa"/>
        <w:jc w:val="left"/>
        <w:tblInd w:w="0" w:type="dxa"/>
        <w:tblLayout w:type="fixed"/>
        <w:tblCellMar>
          <w:top w:w="0" w:type="dxa"/>
          <w:left w:w="0" w:type="dxa"/>
          <w:bottom w:w="0" w:type="dxa"/>
          <w:right w:w="0" w:type="dxa"/>
        </w:tblCellMar>
      </w:tblPr>
      <w:tblGrid>
        <w:gridCol w:w="710"/>
        <w:gridCol w:w="5060"/>
      </w:tblGrid>
      <w:tr>
        <w:trPr/>
        <w:tc>
          <w:tcPr>
            <w:tcW w:w="5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Editas Medicine, Inc.</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LLC</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—At the Market Offering—Placement Notice</w:t>
            </w:r>
          </w:p>
        </w:tc>
      </w:tr>
      <w:tr>
        <w:trPr/>
        <w:tc>
          <w:tcPr>
            <w:tcW w:w="577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Sales Agreement, dated August 31, 2026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by and between Editas Medicine,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Leerink Partners LLC (“</w:t>
      </w:r>
      <w:r>
        <w:rPr>
          <w:rFonts w:ascii="Times New Roman;Times;Serif" w:hAnsi="Times New Roman;Times;Serif"/>
          <w:b/>
          <w:i w:val="false"/>
          <w:caps w:val="false"/>
          <w:smallCaps w:val="false"/>
          <w:sz w:val="20"/>
          <w:u w:val="single"/>
        </w:rPr>
        <w:t>Leerink Partners</w:t>
      </w:r>
      <w:r>
        <w:rPr>
          <w:rFonts w:ascii="Times New Roman;Times;Serif" w:hAnsi="Times New Roman;Times;Serif"/>
          <w:b w:val="false"/>
          <w:i w:val="false"/>
          <w:caps w:val="false"/>
          <w:smallCaps w:val="false"/>
          <w:sz w:val="20"/>
        </w:rPr>
        <w:t>”), I hereby request on behalf of the Company that Leerink Partners sell up to [ ] shares of common stock, $0.0001 par value per share, of the Company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xml:space="preserve">”), at a minimum market price of $      per share[;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Gilmore O’Neill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Parison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Damien Grierson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Leerink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Civitarese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pay Leerink Partners compensation in cash up to 3% of the gross proceeds from the sales of Placement Shares pursuant to the terms of the Sales Agreement of which this </w:t>
      </w:r>
      <w:r>
        <w:rPr>
          <w:rFonts w:ascii="Times New Roman;Times;Serif" w:hAnsi="Times New Roman;Times;Serif"/>
          <w:b/>
          <w:i w:val="false"/>
          <w:caps w:val="false"/>
          <w:smallCaps w:val="false"/>
          <w:sz w:val="20"/>
          <w:u w:val="single"/>
        </w:rPr>
        <w:t>Schedule 3</w:t>
      </w:r>
      <w:r>
        <w:rPr>
          <w:rFonts w:ascii="Times New Roman;Times;Serif" w:hAnsi="Times New Roman;Times;Serif"/>
          <w:b w:val="false"/>
          <w:i w:val="false"/>
          <w:caps w:val="false"/>
          <w:smallCaps w:val="false"/>
          <w:sz w:val="20"/>
        </w:rPr>
        <w:t xml:space="preserve">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Gilmore O’Neill, the duly qualified and elected Chief Executive Officer of Editas Medicine,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Amy Parison, the duly qualified and elected Chief Financial Officer of the Company, does hereby certify in his respective capacity and on behalf of the Company, pursuant to Section 7(m) of the Sales Agreement, dated August 31, 2026 (the “</w:t>
      </w:r>
      <w:r>
        <w:rPr>
          <w:rFonts w:ascii="Times New Roman;Times;Serif" w:hAnsi="Times New Roman;Times;Serif"/>
          <w:b/>
          <w:i w:val="false"/>
          <w:caps w:val="false"/>
          <w:smallCaps w:val="false"/>
          <w:sz w:val="20"/>
          <w:u w:val="single"/>
        </w:rPr>
        <w:t>Sales Agreement</w:t>
      </w:r>
      <w:r>
        <w:rPr>
          <w:rFonts w:ascii="Times New Roman;Times;Serif" w:hAnsi="Times New Roman;Times;Serif"/>
          <w:b w:val="false"/>
          <w:i w:val="false"/>
          <w:caps w:val="false"/>
          <w:smallCaps w:val="false"/>
          <w:sz w:val="20"/>
        </w:rPr>
        <w:t>”), by and between the Company and Leerink Partners LLC, that, after due inquiry, to the best of the knowledge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all agreements and satisfied all conditions on its part to be performed or satisfied pursuant to the Sales Agreement at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has been no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does not possess any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Wilmer Cutler Pickering Hale and Dorr LLP, counsel to the Company, and Davis Polk &amp; Wardwell LLP, counsel to the Agent, is entitled to rely upon this certificate in connection with the opinions given by such firms pursuant to Sections 8(f) and 8(g), respectively, of the Sales Agreement. Capitalized terms used but not defined herein shall have the meanings ascribed to them in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in such individual’s respective capacity as Chief Executive Officer or Chief Financial Officer of the Company, has executed this Officers’ Certificate on behalf of the Company.</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320"/>
        <w:gridCol w:w="249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Gilmore O’Neill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7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Amy Parison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Company Signature Page to 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bookmarkStart w:id="38" w:name="tm2624301d2_ex4-4.htm"/>
      <w:bookmarkStart w:id="39" w:name="kstm2624301d2_ex44"/>
      <w:bookmarkEnd w:id="38"/>
      <w:bookmarkEnd w:id="3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Editas Medicine,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CROSS-REFERENCE TABLE</w:t>
      </w:r>
      <w:r>
        <w:rPr>
          <w:rFonts w:ascii="Times New Roman;Times;Serif" w:hAnsi="Times New Roman;Times;Serif"/>
          <w:b/>
          <w:i w:val="false"/>
          <w:caps w:val="false"/>
          <w:smallCaps w:val="false"/>
          <w:position w:val="7"/>
          <w:sz w:val="16"/>
          <w:sz w:val="20"/>
          <w:u w:val="single"/>
        </w:rPr>
        <w:t>1</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28" w:type="dxa"/>
          <w:right w:w="0" w:type="dxa"/>
        </w:tblCellMar>
      </w:tblPr>
      <w:tblGrid>
        <w:gridCol w:w="1700"/>
        <w:gridCol w:w="60"/>
        <w:gridCol w:w="1055"/>
      </w:tblGrid>
      <w:tr>
        <w:trPr/>
        <w:tc>
          <w:tcPr>
            <w:tcW w:w="17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of</w:t>
              <w:br/>
              <w:t>Trust Indenture Act</w:t>
              <w:br/>
              <w:t>of 1939, as amended</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Section of</w:t>
              <w:br/>
              <w:t>Indenture</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6.09</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6.08</w:t>
              <w:br/>
              <w:t>6.10</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Inapplicable</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6.13</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6.13</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Inapplicable</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4.01</w:t>
              <w:br/>
              <w:t>4.04</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4.04(c)</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4.04(c)</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4.03</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4.03</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4.03</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4.03</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4.02</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Inapplicable</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2.04</w:t>
              <w:br/>
              <w:t>8.04</w:t>
              <w:br/>
              <w:t>9.01(c)</w:t>
              <w:br/>
              <w:t>10.01(b)</w:t>
              <w:br/>
              <w:t>11.05</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Inapplicable</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314(e)</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11.05</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314(f)</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Inapplicable</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6.01</w:t>
              <w:br/>
              <w:t>6.02</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5.11</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6.01</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6.01</w:t>
              <w:br/>
              <w:t>6.02</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315(e)</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5.12</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5.09</w:t>
              <w:br/>
              <w:t>5.10</w:t>
              <w:br/>
              <w:t>7.04</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5.06</w:t>
              <w:br/>
              <w:t>5.10</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7.02</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5.04</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3.04</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This Cross-Reference Table does not constitute part of the Indenture and shall not have any bearing on the interpretation of any of its terms or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679" w:type="dxa"/>
        <w:jc w:val="left"/>
        <w:tblInd w:w="0" w:type="dxa"/>
        <w:tblLayout w:type="fixed"/>
        <w:tblCellMar>
          <w:top w:w="0" w:type="dxa"/>
          <w:left w:w="0" w:type="dxa"/>
          <w:bottom w:w="0" w:type="dxa"/>
          <w:right w:w="0" w:type="dxa"/>
        </w:tblCellMar>
      </w:tblPr>
      <w:tblGrid>
        <w:gridCol w:w="1102"/>
        <w:gridCol w:w="7047"/>
        <w:gridCol w:w="530"/>
      </w:tblGrid>
      <w:tr>
        <w:trPr/>
        <w:tc>
          <w:tcPr>
            <w:tcW w:w="8149" w:type="dxa"/>
            <w:gridSpan w:val="2"/>
            <w:tcBorders/>
            <w:vAlign w:val="center"/>
          </w:tcPr>
          <w:p>
            <w:pPr>
              <w:pStyle w:val="TableContents"/>
              <w:bidi w:val="0"/>
              <w:spacing w:before="0" w:after="283"/>
              <w:ind w:left="0" w:right="0" w:hanging="144"/>
              <w:jc w:val="left"/>
              <w:rPr>
                <w:caps w:val="false"/>
                <w:smallCaps w:val="false"/>
              </w:rPr>
            </w:pPr>
            <w:r>
              <w:rPr>
                <w:caps w:val="false"/>
                <w:smallCaps w:val="false"/>
              </w:rPr>
              <w:t> </w:t>
            </w:r>
          </w:p>
        </w:tc>
        <w:tc>
          <w:tcPr>
            <w:tcW w:w="530" w:type="dxa"/>
            <w:tcBorders/>
            <w:vAlign w:val="center"/>
          </w:tcPr>
          <w:p>
            <w:pPr>
              <w:pStyle w:val="TableContents"/>
              <w:bidi w:val="0"/>
              <w:spacing w:before="0" w:after="283"/>
              <w:ind w:left="0" w:right="0" w:hanging="144"/>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81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DEFINITIONS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Defined</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2" w:type="dxa"/>
            <w:tcBorders/>
            <w:vAlign w:val="center"/>
          </w:tcPr>
          <w:p>
            <w:pPr>
              <w:pStyle w:val="TableContents"/>
              <w:bidi w:val="0"/>
              <w:spacing w:before="0" w:after="283"/>
              <w:jc w:val="left"/>
              <w:rPr>
                <w:caps w:val="false"/>
                <w:smallCaps w:val="false"/>
              </w:rPr>
            </w:pPr>
            <w:r>
              <w:rPr>
                <w:caps w:val="false"/>
                <w:smallCaps w:val="false"/>
              </w:rPr>
              <w:t> </w:t>
            </w:r>
          </w:p>
        </w:tc>
        <w:tc>
          <w:tcPr>
            <w:tcW w:w="7047"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Generally</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Trustee’s Certificate of Authentication</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Unlimited; Issuable in Series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and Delivery of Securities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Securities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 and Date of Securities; Payments of Interest</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Transfer and Exchange</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Defaced, Destroyed, Lost and Stolen Securities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Securities; Destruction Thereof</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2" w:type="dxa"/>
            <w:tcBorders/>
            <w:vAlign w:val="center"/>
          </w:tcPr>
          <w:p>
            <w:pPr>
              <w:pStyle w:val="TableContents"/>
              <w:bidi w:val="0"/>
              <w:spacing w:before="0" w:after="283"/>
              <w:jc w:val="left"/>
              <w:rPr>
                <w:caps w:val="false"/>
                <w:smallCaps w:val="false"/>
              </w:rPr>
            </w:pPr>
            <w:r>
              <w:rPr>
                <w:caps w:val="false"/>
                <w:smallCaps w:val="false"/>
              </w:rPr>
              <w:t> </w:t>
            </w:r>
          </w:p>
        </w:tc>
        <w:tc>
          <w:tcPr>
            <w:tcW w:w="7047"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81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COVENANTS OF THE ISSUER</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 for Payments, Etc</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to Fill a Vacancy in Office of Trustee</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Statement to Trustee</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02" w:type="dxa"/>
            <w:tcBorders/>
            <w:vAlign w:val="center"/>
          </w:tcPr>
          <w:p>
            <w:pPr>
              <w:pStyle w:val="TableContents"/>
              <w:bidi w:val="0"/>
              <w:spacing w:before="0" w:after="283"/>
              <w:jc w:val="left"/>
              <w:rPr>
                <w:caps w:val="false"/>
                <w:smallCaps w:val="false"/>
              </w:rPr>
            </w:pPr>
            <w:r>
              <w:rPr>
                <w:caps w:val="false"/>
                <w:smallCaps w:val="false"/>
              </w:rPr>
              <w:t> </w:t>
            </w:r>
          </w:p>
        </w:tc>
        <w:tc>
          <w:tcPr>
            <w:tcW w:w="7047"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81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SECURITYHOLDERS LISTS AND REPORTS BY THE ISSUER AND THE TRUSTEE</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to Furnish Trustee Information as to Names and Addresses of Securityholders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Issuer</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Trustee</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of Information; Communication with Securityholders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102" w:type="dxa"/>
            <w:tcBorders/>
            <w:vAlign w:val="center"/>
          </w:tcPr>
          <w:p>
            <w:pPr>
              <w:pStyle w:val="TableContents"/>
              <w:bidi w:val="0"/>
              <w:spacing w:before="0" w:after="283"/>
              <w:jc w:val="left"/>
              <w:rPr>
                <w:caps w:val="false"/>
                <w:smallCaps w:val="false"/>
              </w:rPr>
            </w:pPr>
            <w:r>
              <w:rPr>
                <w:caps w:val="false"/>
                <w:smallCaps w:val="false"/>
              </w:rPr>
              <w:t> </w:t>
            </w:r>
          </w:p>
        </w:tc>
        <w:tc>
          <w:tcPr>
            <w:tcW w:w="7047"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81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REMEDIES OF THE TRUSTEE AND SECURITYHOLDERS ON EVENT OF DEFAULT</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 Defined; Acceleration of Maturity; Waiver of Default</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Debt by Trustee; Trustee May Prove Debt</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Suits for Enforcement</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Restoration of Rights on Abandonment of Proceedings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Suits by Securityholders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7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Right of Securityholders to Institute Certain Suits</w:t>
            </w:r>
          </w:p>
        </w:tc>
        <w:tc>
          <w:tcPr>
            <w:tcW w:w="5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1160"/>
        <w:gridCol w:w="7955"/>
        <w:gridCol w:w="245"/>
      </w:tblGrid>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and Remedies Cumulative; Delay or Omission Not Waiver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Holders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Give Notice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Court to Require Filing of Undertaking to Pay Costs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9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CONCERNING THE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and Responsibilities of the Trustee; During Default; Prior to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the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Not Responsible for Recitals, Disposition of Securities or Application of Proceeds Thereof</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Agents May Hold Securities; Collections,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Moneys Held by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Indemnification of Trustee and Its Prior Claim</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Trustee to Rely on Officer’s Certificate,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Disqualification; Conflicting Interests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for Appointment as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Conversion, Consolidation or Succession to Business of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Preferential Collection of Claims Against the Issuer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9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CONCERNING THE SECURITYHOLDERS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Action Taken by Securityholders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of Instruments and of Holding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to Be Treated as Owners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Owned by Issuer Deemed Not Outstanding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Revocation of Action Taken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9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SUPPLEMENTAL INDENTURES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Without Consent of Securityholders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 Consent of Securityholders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Given to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Securities in Respect of Supplemental Indentures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9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CONSOLIDATION, MERGER, SALE OR CONVEYANCE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May Consolidate, Etc., on Certain Terms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Issuer Substituted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9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SATISFACTION AND DISCHARGE OF INDENTURE; DEFEASANCE; UNCLAIMED MONEYS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of Indenture;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05" w:type="dxa"/>
        <w:jc w:val="left"/>
        <w:tblInd w:w="0" w:type="dxa"/>
        <w:tblLayout w:type="fixed"/>
        <w:tblCellMar>
          <w:top w:w="0" w:type="dxa"/>
          <w:left w:w="0" w:type="dxa"/>
          <w:bottom w:w="0" w:type="dxa"/>
          <w:right w:w="0" w:type="dxa"/>
        </w:tblCellMar>
      </w:tblPr>
      <w:tblGrid>
        <w:gridCol w:w="1160"/>
        <w:gridCol w:w="6800"/>
        <w:gridCol w:w="245"/>
      </w:tblGrid>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by Trustee of Funds Deposited for Payment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Moneys Held by Paying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of Moneys Held by Trustee and Paying Agent Unclaimed for Two Years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 for U.S. Government Obligations and Foreign Government Obligations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80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79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MISCELLANEOUS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Indenture for the Sole Benefit of Parties and Holders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 of Issuer Bound by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Demands on Issuer, Trustee and Holders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Certificates and Opinions of Counsel; Statements to Be Contained Therein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Due on Saturdays, Sundays and Holidays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of Any Provision of Indenture With Trust Indenture Act of 1939</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Law to Govern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Headings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Successor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80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44"/>
              <w:jc w:val="right"/>
              <w:rPr>
                <w:caps w:val="false"/>
                <w:smallCaps w:val="false"/>
              </w:rPr>
            </w:pPr>
            <w:r>
              <w:rPr>
                <w:caps w:val="false"/>
                <w:smallCaps w:val="false"/>
              </w:rPr>
              <w:t> </w:t>
            </w:r>
          </w:p>
        </w:tc>
      </w:tr>
      <w:tr>
        <w:trPr/>
        <w:tc>
          <w:tcPr>
            <w:tcW w:w="79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 REDEMPTION OF SECURITIES AND SINKING FUNDS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Partial Redemptions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Securities Called for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Certain Securities from Eligibility for Selection for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and Optional Sinking Funds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_________ between Editas Medicine, Inc., a Delaware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________, a _______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may from time to time duly authorize the issue of its unsecured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to provide, among other things, for the authentication, delivery and administration of the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 xml:space="preserve">Certain Terms Defined. </w:t>
      </w:r>
      <w:r>
        <w:rPr>
          <w:rFonts w:ascii="Times New Roman;Times;Serif" w:hAnsi="Times New Roman;Times;Serif"/>
          <w:b w:val="false"/>
          <w:i w:val="false"/>
          <w:caps w:val="false"/>
          <w:smallCaps w:val="false"/>
          <w:sz w:val="20"/>
        </w:rPr>
        <w:t>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Times;Serif" w:hAnsi="Times New Roman;Times;Serif"/>
          <w:b/>
          <w:i w:val="false"/>
          <w:caps w:val="false"/>
          <w:smallCaps w:val="false"/>
          <w:sz w:val="20"/>
        </w:rPr>
        <w:t>generally accepted accounting principles</w:t>
      </w:r>
      <w:r>
        <w:rPr>
          <w:rFonts w:ascii="Times New Roman;Times;Serif" w:hAnsi="Times New Roman;Times;Serif"/>
          <w:b w:val="false"/>
          <w:i w:val="false"/>
          <w:caps w:val="false"/>
          <w:smallCaps w:val="false"/>
          <w:sz w:val="20"/>
        </w:rPr>
        <w:t>”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xml:space="preserve"> means any additional amounts that are required by this Indenture or by any Security, under circumstances specified herein or therein, to be paid by the Issuer in respect of certain taxes, assessments or other governmental charges imposed on Holders specified therein and which are owing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Procedures</w:t>
      </w:r>
      <w:r>
        <w:rPr>
          <w:rFonts w:ascii="Times New Roman;Times;Serif" w:hAnsi="Times New Roman;Times;Serif"/>
          <w:b w:val="false"/>
          <w:i w:val="false"/>
          <w:caps w:val="false"/>
          <w:smallCaps w:val="false"/>
          <w:sz w:val="20"/>
        </w:rPr>
        <w:t>” means, with respect to a Depositary, as to any matter at any time, the policies and procedures of such Depositary, if any, that are applicable to such matter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either the Board of Directors of the Issuer or any committee of such Board duly authorized to act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one or more resolutions, certified by the secretary or an assistant secretary of the Issuer to have been duly adopted by the Board of Directors and to be in full force and effect,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xml:space="preserve">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shares of common stock, par value $0.0001 per share, of the Issuer as the same exists at the date of execution and delivery of this Indenture or as such stock may be reconstituted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principally administered, which office is, at the date as of which this Indenture is dated, located at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Global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w:t>
      </w:r>
      <w:r>
        <w:rPr>
          <w:rFonts w:ascii="Times New Roman;Times;Serif" w:hAnsi="Times New Roman;Times;Serif"/>
          <w:b w:val="false"/>
          <w:i w:val="false"/>
          <w:caps w:val="false"/>
          <w:smallCaps w:val="false"/>
          <w:sz w:val="20"/>
        </w:rPr>
        <w:t>” means the currency of the United States of America as at the time of payment is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any event or condition specified as such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Currency</w:t>
      </w:r>
      <w:r>
        <w:rPr>
          <w:rFonts w:ascii="Times New Roman;Times;Serif" w:hAnsi="Times New Roman;Times;Serif"/>
          <w:b w:val="false"/>
          <w:i w:val="false"/>
          <w:caps w:val="false"/>
          <w:smallCaps w:val="false"/>
          <w:sz w:val="20"/>
        </w:rPr>
        <w:t>” means a currency issued by the government of a country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Government Obligation”</w:t>
      </w:r>
      <w:r>
        <w:rPr>
          <w:rFonts w:ascii="Times New Roman;Times;Serif" w:hAnsi="Times New Roman;Times;Serif"/>
          <w:b w:val="false"/>
          <w:i w:val="false"/>
          <w:caps w:val="false"/>
          <w:smallCaps w:val="false"/>
          <w:sz w:val="20"/>
        </w:rPr>
        <w:t xml:space="preserve"> means (a) a direct obligation of the government of a 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means a Security evidencing all or a part of a series of Securities, issued to the Depositary for such series in accordance with Section 2.04, and bearing the legend prescribed in Section 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holder of Securities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or other similar terms mean the Person in whose name such Security is registered in the Security register kept by the Issuer for that purpose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unless the context otherwise requires, refers to interest, and when used with respect to non-interest bearing Securities, refers to interest payable after maturity, if 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with respect to any Security, means the Stated Maturity of an installment of interest 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Editas Medicine, Inc., a Delaware corporation, and, subject to Article 9,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Order</w:t>
      </w:r>
      <w:r>
        <w:rPr>
          <w:rFonts w:ascii="Times New Roman;Times;Serif" w:hAnsi="Times New Roman;Times;Serif"/>
          <w:b w:val="false"/>
          <w:i w:val="false"/>
          <w:caps w:val="false"/>
          <w:smallCaps w:val="false"/>
          <w:sz w:val="20"/>
        </w:rPr>
        <w:t>” means a written statement, request or order of the Issuer signed in its name by the chairman of the Board of Directors, the president or any vice president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xml:space="preserve"> shall have the meaning set forth in Section 5.01(c).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such Security or (b) the date of any Security (or portion thereof) for which such Security was issued (directly or indirectly) on registration of transfer, exchange or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shall, subject to the provisions of Section 7.04, mean, as of any particular time, all Securities authenticated and delivered by the Trustee under this Indenture, except</w:t>
      </w:r>
    </w:p>
    <w:p>
      <w:pPr>
        <w:pStyle w:val="TextBody"/>
        <w:bidi w:val="0"/>
        <w:spacing w:before="0" w:after="0"/>
        <w:ind w:left="0" w:right="0" w:hanging="0"/>
        <w:jc w:val="left"/>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23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theretofore cancelled by the Trustee or delivered to the Trustee for cancellation;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such Securities, or portions thereof, are to be redeemed prior to the maturity thereof, notice of such redemption shall have been given as herein provided, or provision satisfactory to the Trustee shall have been made for giving such notice;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23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as to which Legal Defeasance shall have been effected pursuant to Section 10.01(b);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partnership, limited liability company, joint venture, association, joint stock company, trust,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whenever used with reference to the Securities or any Security or any portion thereof, shall be deemed to include “and premium,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shall have the meaning set forth in Section 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or, as the case may be, Securities that have been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shall have the meaning set forth in Section 4.01(b).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 of 1939</w:t>
      </w:r>
      <w:r>
        <w:rPr>
          <w:rFonts w:ascii="Times New Roman;Times;Serif" w:hAnsi="Times New Roman;Times;Serif"/>
          <w:b w:val="false"/>
          <w:i w:val="false"/>
          <w:caps w:val="false"/>
          <w:smallCaps w:val="false"/>
          <w:sz w:val="20"/>
        </w:rPr>
        <w:t>” (except as otherwise provided in Sections 8.01 and 8.02) means the Trust Indenture Act of 1939 as in force at the date as of which this Indenture was originally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identified as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hereof and, subject to the provisions of Article 6, shall also include any successor trustee.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also mean or include each Person who is then a trustee hereunder and if at any time there is more than one such Person,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used with respect to the Securities of any series shall mean the trustee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w:t>
      </w:r>
      <w:r>
        <w:rPr>
          <w:rFonts w:ascii="Times New Roman;Times;Serif" w:hAnsi="Times New Roman;Times;Serif"/>
          <w:b w:val="false"/>
          <w:i w:val="false"/>
          <w:caps w:val="false"/>
          <w:smallCaps w:val="false"/>
          <w:sz w:val="20"/>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 when used with respect to the Issuer or the Trustee, means any vice president, whether or not designated by a number or a word or words added before or after the title of “vice president”.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the yield to maturity on a series of securities, calculated at the time of issuance of such series, or, if applicable, at the most recent redetermination of interest on such series, and calculated in accordance with accepted financial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br/>
        <w:t>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 xml:space="preserve">Forms Generally. </w:t>
      </w:r>
      <w:r>
        <w:rPr>
          <w:rFonts w:ascii="Times New Roman;Times;Serif" w:hAnsi="Times New Roman;Times;Serif"/>
          <w:b w:val="false"/>
          <w:i w:val="false"/>
          <w:caps w:val="false"/>
          <w:smallCaps w:val="false"/>
          <w:sz w:val="20"/>
        </w:rPr>
        <w:t>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 xml:space="preserve">Form of Trustee’s Certificate of Authentication. </w:t>
      </w:r>
      <w:r>
        <w:rPr>
          <w:rFonts w:ascii="Times New Roman;Times;Serif" w:hAnsi="Times New Roman;Times;Serif"/>
          <w:b w:val="false"/>
          <w:i w:val="false"/>
          <w:caps w:val="false"/>
          <w:smallCaps w:val="false"/>
          <w:sz w:val="20"/>
        </w:rPr>
        <w:t>The Trustee’s certificate of authentication on all Securities shall be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320"/>
        <w:gridCol w:w="1550"/>
      </w:tblGrid>
      <w:tr>
        <w:trPr/>
        <w:tc>
          <w:tcPr>
            <w:tcW w:w="75" w:type="dxa"/>
            <w:tcBorders/>
            <w:vAlign w:val="center"/>
          </w:tcPr>
          <w:p>
            <w:pPr>
              <w:pStyle w:val="TableContents"/>
              <w:bidi w:val="0"/>
              <w:spacing w:before="0" w:after="283"/>
              <w:jc w:val="left"/>
              <w:rPr/>
            </w:pPr>
            <w:r>
              <w:rPr/>
              <w:t> </w:t>
            </w:r>
          </w:p>
        </w:tc>
        <w:tc>
          <w:tcPr>
            <w:tcW w:w="187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caps w:val="false"/>
          <w:smallCaps w:val="false"/>
          <w:sz w:val="20"/>
        </w:rPr>
        <w:t>Amount Unlimited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Issuable in Series. </w:t>
      </w: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3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Securities of the series (which may be part of a series of Securities previously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the principal of the Securities of the series is payable or the method used to determine those dates and the right, if any, to extend such date or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the principal of and any interest on Securities of the series shall be payable (if other than as provided in Section 3.02);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denominations of $2,000 and any integral multiple of $1,000 in excess thereof, the denominations in which Securities of the series shall be issuable;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principal amount thereof, the portion of the principal amount of Securities of the series which shall be payable upon declaration of acceleration of the maturity thereof;</w:t>
            </w:r>
          </w:p>
        </w:tc>
      </w:tr>
    </w:tbl>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0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Dollars, the currency, currencies or currency units in which the Securities of the series are denominated;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currency in which the Securities of the series are denominated, the currency in which payment of the principal of or interest on the Securities of such series shall be payable;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tc>
      </w:tr>
    </w:tbl>
    <w:p>
      <w:pPr>
        <w:pStyle w:val="TextBody"/>
        <w:bidi w:val="0"/>
        <w:spacing w:before="0" w:after="0"/>
        <w:ind w:left="0" w:right="0" w:hanging="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245"/>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6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Sections 10.01(b) or 10.01(c) are inapplicable to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the Issuer will pay Additional Amounts on the Securities and, if so, whether the Issuer will have the option to redeem such Securities rather than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trustees, authenticating or paying agents, transfer agents or registrars or any other agents with respect to the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events of default or covenants with respect to the Securities of such series in addition to or in lieu of those contained in this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0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caps w:val="false"/>
          <w:smallCaps w:val="false"/>
          <w:sz w:val="20"/>
        </w:rPr>
        <w:t xml:space="preserve">Authentication and Delivery of Securities. </w:t>
      </w:r>
      <w:r>
        <w:rPr>
          <w:rFonts w:ascii="Times New Roman;Times;Serif" w:hAnsi="Times New Roman;Times;Serif"/>
          <w:b w:val="false"/>
          <w:i w:val="false"/>
          <w:caps w:val="false"/>
          <w:smallCaps w:val="false"/>
          <w:sz w:val="20"/>
        </w:rPr>
        <w:t>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Issuer Order requesting such authentication and setting forth delivery instructions if the Securities are not to be delivered to the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Board Resolution, Officer’s Certificate and/or executed supplemental indenture referred to in Sections 2.01 and 2.03 by or pursuant to which the forms and terms of the Securities were established;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tc>
      </w:tr>
    </w:tbl>
    <w:p>
      <w:pPr>
        <w:pStyle w:val="TextBody"/>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24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Opinion of Counsel to the effect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or forms and terms of such Securities have been established pursuant to Sections 2.01 and 2.03 and comply with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authentication and delivery of such Securities by the Trustee are authorized under the provisions of this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Securities when authenticated and delivered by the Trustee and issued by the Issuer in the manner and subject to any conditions specified in such Opinion of Counsel, will constitute valid and binding obligations of the Issuer,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covering such other matters as the Trustee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caps w:val="false"/>
          <w:smallCaps w:val="false"/>
          <w:sz w:val="20"/>
        </w:rPr>
        <w:t>Execution of Securities</w:t>
      </w:r>
      <w:r>
        <w:rPr>
          <w:rFonts w:ascii="Times New Roman;Times;Serif" w:hAnsi="Times New Roman;Times;Serif"/>
          <w:b w:val="false"/>
          <w:i w:val="false"/>
          <w:caps w:val="false"/>
          <w:smallCaps w:val="false"/>
          <w:sz w:val="20"/>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caps w:val="false"/>
          <w:smallCaps w:val="false"/>
          <w:sz w:val="20"/>
        </w:rPr>
        <w:t>Certificate of Authentication</w:t>
      </w:r>
      <w:r>
        <w:rPr>
          <w:rFonts w:ascii="Times New Roman;Times;Serif" w:hAnsi="Times New Roman;Times;Serif"/>
          <w:b w:val="false"/>
          <w:i w:val="false"/>
          <w:caps w:val="false"/>
          <w:smallCaps w:val="false"/>
          <w:sz w:val="20"/>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 The Securities of each series shall bear interest, if any, from the date, and such interest shall be payable on the dates, established as contemplated by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caps w:val="false"/>
          <w:smallCaps w:val="false"/>
          <w:sz w:val="20"/>
        </w:rPr>
        <w:t>Registration, Transfer and Exchange</w:t>
      </w:r>
      <w:r>
        <w:rPr>
          <w:rFonts w:ascii="Times New Roman;Times;Serif" w:hAnsi="Times New Roman;Times;Serif"/>
          <w:b w:val="false"/>
          <w:i w:val="false"/>
          <w:caps w:val="false"/>
          <w:smallCaps w:val="false"/>
          <w:sz w:val="20"/>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Depositary a new Global Security in a denomination equal to the difference, if any, between the principal amount of the surrendered Global Security and the aggregate principal amount of Securities authenticated and delivered pursuant to clause (i)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Issuer, evidencing the same debt, and entitled to the same benefits under this Indenture, as the Securities surrendered upon such transfer or exchange.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caps w:val="false"/>
          <w:smallCaps w:val="false"/>
          <w:sz w:val="20"/>
        </w:rPr>
        <w:t xml:space="preserve">Mutilated, Defaced, Destroyed, Lost and Stolen Securities. </w:t>
      </w:r>
      <w:r>
        <w:rPr>
          <w:rFonts w:ascii="Times New Roman;Times;Serif" w:hAnsi="Times New Roman;Times;Serif"/>
          <w:b w:val="false"/>
          <w:i w:val="false"/>
          <w:caps w:val="false"/>
          <w:smallCaps w:val="false"/>
          <w:sz w:val="20"/>
        </w:rPr>
        <w:t>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rPr>
        <w:t xml:space="preserve">Cancellation of Securities; Destruction Thereof. </w:t>
      </w:r>
      <w:r>
        <w:rPr>
          <w:rFonts w:ascii="Times New Roman;Times;Serif" w:hAnsi="Times New Roman;Times;Serif"/>
          <w:b w:val="false"/>
          <w:i w:val="false"/>
          <w:caps w:val="false"/>
          <w:smallCaps w:val="false"/>
          <w:sz w:val="20"/>
        </w:rPr>
        <w:t>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rPr>
        <w:t xml:space="preserve">Temporary Securities. </w:t>
      </w:r>
      <w:r>
        <w:rPr>
          <w:rFonts w:ascii="Times New Roman;Times;Serif" w:hAnsi="Times New Roman;Times;Serif"/>
          <w:b w:val="false"/>
          <w:i w:val="false"/>
          <w:caps w:val="false"/>
          <w:smallCaps w:val="false"/>
          <w:sz w:val="20"/>
        </w:rPr>
        <w:t>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rPr>
        <w:t xml:space="preserve">CUSIP Numbers. </w:t>
      </w:r>
      <w:r>
        <w:rPr>
          <w:rFonts w:ascii="Times New Roman;Times;Serif" w:hAnsi="Times New Roman;Times;Serif"/>
          <w:b w:val="false"/>
          <w:i w:val="false"/>
          <w:caps w:val="false"/>
          <w:smallCaps w:val="false"/>
          <w:sz w:val="20"/>
        </w:rPr>
        <w:t>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br/>
        <w:t>COVENANTS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 xml:space="preserve">Payment of Principal and Interest. </w:t>
      </w:r>
      <w:r>
        <w:rPr>
          <w:rFonts w:ascii="Times New Roman;Times;Serif" w:hAnsi="Times New Roman;Times;Serif"/>
          <w:b w:val="false"/>
          <w:i w:val="false"/>
          <w:caps w:val="false"/>
          <w:smallCaps w:val="false"/>
          <w:sz w:val="20"/>
        </w:rPr>
        <w:t>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Offices for Payments, Etc</w:t>
      </w:r>
      <w:r>
        <w:rPr>
          <w:rFonts w:ascii="Times New Roman;Times;Serif" w:hAnsi="Times New Roman;Times;Serif"/>
          <w:b w:val="false"/>
          <w:i w:val="false"/>
          <w:caps w:val="false"/>
          <w:smallCaps w:val="false"/>
          <w:sz w:val="20"/>
        </w:rPr>
        <w:t>. The Issuer will maintain (i) in _______,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maintain in __________, an agency where notices and demands to or upon the Issuer in respect of the Securities of any series or this Indenture may be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 location of any of the above agencies, presentations and demands may be made and notices may be served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 xml:space="preserve">Appointment to Fill a Vacancy in Office of Trustee. </w:t>
      </w:r>
      <w:r>
        <w:rPr>
          <w:rFonts w:ascii="Times New Roman;Times;Serif" w:hAnsi="Times New Roman;Times;Serif"/>
          <w:b w:val="false"/>
          <w:i w:val="false"/>
          <w:caps w:val="false"/>
          <w:smallCaps w:val="false"/>
          <w:sz w:val="20"/>
        </w:rPr>
        <w:t>The Issuer, whenever necessary to avoid or fill a vacancy in the office of Trustee, will appoint, in the manner provided in Section 6.10, a Trustee, so that there shall at all times be a Trustee with respect to each series of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 xml:space="preserve">Paying Agents. </w:t>
      </w:r>
      <w:r>
        <w:rPr>
          <w:rFonts w:ascii="Times New Roman;Times;Serif" w:hAnsi="Times New Roman;Times;Serif"/>
          <w:b w:val="false"/>
          <w:i w:val="false"/>
          <w:caps w:val="false"/>
          <w:smallCaps w:val="false"/>
          <w:sz w:val="20"/>
        </w:rPr>
        <w:t>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will give the Trustee notice of any failure by the Issuer (or by any other obligor on the Securities of such series) to make any payment of the principal of or interest on the Securities of such series when the same shall be due and payable,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at any time during the continuance of any such failure, upon the written request of the Trustee, it will forthwith pay to the Trustee all sums so held in trust by such paying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the agreement to hold sums in trust as provided in this Section is subject to the provisions of Sections 10.03 and 10.04.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 xml:space="preserve">Written Statement to Trustee. </w:t>
      </w:r>
      <w:r>
        <w:rPr>
          <w:rFonts w:ascii="Times New Roman;Times;Serif" w:hAnsi="Times New Roman;Times;Serif"/>
          <w:b w:val="false"/>
          <w:i w:val="false"/>
          <w:caps w:val="false"/>
          <w:smallCaps w:val="false"/>
          <w:sz w:val="20"/>
        </w:rPr>
        <w:t>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br/>
        <w:t>SECURITYHOLDERS LISTS AND REPORTS BY THE ISSUER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 xml:space="preserve">Issuer to Furnish Trustee Information as to Names and Addresses of Securityholders. </w:t>
      </w:r>
      <w:r>
        <w:rPr>
          <w:rFonts w:ascii="Times New Roman;Times;Serif" w:hAnsi="Times New Roman;Times;Serif"/>
          <w:b w:val="false"/>
          <w:i w:val="false"/>
          <w:caps w:val="false"/>
          <w:smallCaps w:val="false"/>
          <w:sz w:val="20"/>
        </w:rPr>
        <w:t>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such other times as the Trustee may request in writing, within 30 days after receipt by the Issuer of any such request as of a date not more than 15 days prior to the time such information is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and so long as the Trustee shall be the Security registrar (the “</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for such series, such list shall not be required to be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 xml:space="preserve">Reports by the Issuer. </w:t>
      </w:r>
      <w:r>
        <w:rPr>
          <w:rFonts w:ascii="Times New Roman;Times;Serif" w:hAnsi="Times New Roman;Times;Serif"/>
          <w:b w:val="false"/>
          <w:i w:val="false"/>
          <w:caps w:val="false"/>
          <w:smallCaps w:val="false"/>
          <w:sz w:val="20"/>
        </w:rPr>
        <w:t>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caps w:val="false"/>
          <w:smallCaps w:val="false"/>
          <w:sz w:val="20"/>
        </w:rPr>
        <w:t xml:space="preserve">Reports by the Trustee. </w:t>
      </w:r>
      <w:r>
        <w:rPr>
          <w:rFonts w:ascii="Times New Roman;Times;Serif" w:hAnsi="Times New Roman;Times;Serif"/>
          <w:b w:val="false"/>
          <w:i w:val="false"/>
          <w:caps w:val="false"/>
          <w:smallCaps w:val="false"/>
          <w:sz w:val="20"/>
        </w:rPr>
        <w:t>Any Trustee’s report required under Section 313(a) of the Trust Indenture Act of 1939 shall be transmitted on or before ______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caps w:val="false"/>
          <w:smallCaps w:val="false"/>
          <w:sz w:val="20"/>
        </w:rPr>
        <w:t xml:space="preserve">Preservation of Information; Communication with Securityholders. </w:t>
      </w:r>
      <w:r>
        <w:rPr>
          <w:rFonts w:ascii="Times New Roman;Times;Serif" w:hAnsi="Times New Roman;Times;Serif"/>
          <w:b w:val="false"/>
          <w:i w:val="false"/>
          <w:caps w:val="false"/>
          <w:smallCaps w:val="false"/>
          <w:sz w:val="20"/>
        </w:rPr>
        <w:t>(a)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pStyle w:val="TextBody"/>
        <w:bidi w:val="0"/>
        <w:spacing w:before="0" w:after="0"/>
        <w:ind w:left="0" w:right="0" w:hanging="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245"/>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destroy any list furnished to it as provided in Section 4.01 upon receipt of a new list so furnished.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br/>
        <w:t>REMEDIES OF THE TRUSTEE AND SECURITYHOLDERS ON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rPr>
        <w:t xml:space="preserve">Event of Default Defined; Acceleration of Maturity; Waiver of Default.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hereunder;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tc>
      </w:tr>
    </w:tbl>
    <w:p>
      <w:pPr>
        <w:pStyle w:val="TextBody"/>
        <w:bidi w:val="0"/>
        <w:spacing w:before="0" w:after="0"/>
        <w:ind w:left="0" w:right="0" w:hanging="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20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5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provided for in such series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 xml:space="preserve">Collection of Debt by Trustee; Trustee May Prove Debt. </w:t>
      </w:r>
      <w:r>
        <w:rPr>
          <w:rFonts w:ascii="Times New Roman;Times;Serif" w:hAnsi="Times New Roman;Times;Serif"/>
          <w:b w:val="false"/>
          <w:i w:val="false"/>
          <w:caps w:val="false"/>
          <w:smallCaps w:val="false"/>
          <w:sz w:val="20"/>
        </w:rPr>
        <w:t>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caps w:val="false"/>
          <w:smallCaps w:val="false"/>
          <w:sz w:val="20"/>
        </w:rPr>
        <w:t xml:space="preserve">Application of Proceeds. </w:t>
      </w:r>
      <w:r>
        <w:rPr>
          <w:rFonts w:ascii="Times New Roman;Times;Serif" w:hAnsi="Times New Roman;Times;Serif"/>
          <w:b w:val="false"/>
          <w:i w:val="false"/>
          <w:caps w:val="false"/>
          <w:smallCaps w:val="false"/>
          <w:sz w:val="20"/>
        </w:rPr>
        <w:t>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First: </w:t>
      </w:r>
      <w:r>
        <w:rPr>
          <w:rFonts w:ascii="Times New Roman;Times;Serif" w:hAnsi="Times New Roman;Times;Serif"/>
          <w:b w:val="false"/>
          <w:i w:val="false"/>
          <w:caps w:val="false"/>
          <w:smallCaps w:val="false"/>
          <w:sz w:val="20"/>
        </w:rPr>
        <w:t>To the payment of all amounts due to the Trustee or any predecessor trustee pursuant to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Second: </w:t>
      </w:r>
      <w:r>
        <w:rPr>
          <w:rFonts w:ascii="Times New Roman;Times;Serif" w:hAnsi="Times New Roman;Times;Serif"/>
          <w:b w:val="false"/>
          <w:i w:val="false"/>
          <w:caps w:val="false"/>
          <w:smallCaps w:val="false"/>
          <w:sz w:val="20"/>
        </w:rPr>
        <w:t>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Third: </w:t>
      </w:r>
      <w:r>
        <w:rPr>
          <w:rFonts w:ascii="Times New Roman;Times;Serif" w:hAnsi="Times New Roman;Times;Serif"/>
          <w:b w:val="false"/>
          <w:i w:val="false"/>
          <w:caps w:val="false"/>
          <w:smallCaps w:val="false"/>
          <w:sz w:val="20"/>
        </w:rPr>
        <w:t>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Fourth: </w:t>
      </w:r>
      <w:r>
        <w:rPr>
          <w:rFonts w:ascii="Times New Roman;Times;Serif" w:hAnsi="Times New Roman;Times;Serif"/>
          <w:b w:val="false"/>
          <w:i w:val="false"/>
          <w:caps w:val="false"/>
          <w:smallCaps w:val="false"/>
          <w:sz w:val="20"/>
        </w:rPr>
        <w:t>To the payment of the remainder, if any, to the Issuer or any other Person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caps w:val="false"/>
          <w:smallCaps w:val="false"/>
          <w:sz w:val="20"/>
        </w:rPr>
        <w:t>Suits for Enforcement</w:t>
      </w:r>
      <w:r>
        <w:rPr>
          <w:rFonts w:ascii="Times New Roman;Times;Serif" w:hAnsi="Times New Roman;Times;Serif"/>
          <w:b w:val="false"/>
          <w:i w:val="false"/>
          <w:caps w:val="false"/>
          <w:smallCaps w:val="false"/>
          <w:sz w:val="20"/>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caps w:val="false"/>
          <w:smallCaps w:val="false"/>
          <w:sz w:val="20"/>
        </w:rPr>
        <w:t>Restoration of Rights on Abandonment of Proceedings</w:t>
      </w:r>
      <w:r>
        <w:rPr>
          <w:rFonts w:ascii="Times New Roman;Times;Serif" w:hAnsi="Times New Roman;Times;Serif"/>
          <w:b w:val="false"/>
          <w:i w:val="false"/>
          <w:caps w:val="false"/>
          <w:smallCaps w:val="false"/>
          <w:sz w:val="20"/>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caps w:val="false"/>
          <w:smallCaps w:val="false"/>
          <w:sz w:val="20"/>
        </w:rPr>
        <w:t>Limitations on Suits by Securityholders</w:t>
      </w:r>
      <w:r>
        <w:rPr>
          <w:rFonts w:ascii="Times New Roman;Times;Serif" w:hAnsi="Times New Roman;Times;Serif"/>
          <w:b w:val="false"/>
          <w:i w:val="false"/>
          <w:caps w:val="false"/>
          <w:smallCaps w:val="false"/>
          <w:sz w:val="20"/>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caps w:val="false"/>
          <w:smallCaps w:val="false"/>
          <w:sz w:val="20"/>
        </w:rPr>
        <w:t>Unconditional Right of Securityholders to Institute Certain Suits</w:t>
      </w:r>
      <w:r>
        <w:rPr>
          <w:rFonts w:ascii="Times New Roman;Times;Serif" w:hAnsi="Times New Roman;Times;Serif"/>
          <w:b w:val="false"/>
          <w:i w:val="false"/>
          <w:caps w:val="false"/>
          <w:smallCaps w:val="false"/>
          <w:sz w:val="20"/>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caps w:val="false"/>
          <w:smallCaps w:val="false"/>
          <w:sz w:val="20"/>
        </w:rPr>
        <w:t>Powers and Remedies Cumulative; Delay or Omission Not Waiver of Default</w:t>
      </w:r>
      <w:r>
        <w:rPr>
          <w:rFonts w:ascii="Times New Roman;Times;Serif" w:hAnsi="Times New Roman;Times;Serif"/>
          <w:b w:val="false"/>
          <w:i w:val="false"/>
          <w:caps w:val="false"/>
          <w:smallCaps w:val="false"/>
          <w:sz w:val="20"/>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caps w:val="false"/>
          <w:smallCaps w:val="false"/>
          <w:sz w:val="20"/>
        </w:rPr>
        <w:t>Control by Holders of Securities</w:t>
      </w:r>
      <w:r>
        <w:rPr>
          <w:rFonts w:ascii="Times New Roman;Times;Serif" w:hAnsi="Times New Roman;Times;Serif"/>
          <w:b w:val="false"/>
          <w:i w:val="false"/>
          <w:caps w:val="false"/>
          <w:smallCaps w:val="false"/>
          <w:sz w:val="20"/>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shall impair the right of the Trustee in its discretion to take any action deemed proper by the Trustee and which is not inconsistent with such direction or directions by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caps w:val="false"/>
          <w:smallCaps w:val="false"/>
          <w:sz w:val="20"/>
        </w:rPr>
        <w:t>Trustee to Give Notice of Default</w:t>
      </w:r>
      <w:r>
        <w:rPr>
          <w:rFonts w:ascii="Times New Roman;Times;Serif" w:hAnsi="Times New Roman;Times;Serif"/>
          <w:b w:val="false"/>
          <w:i w:val="false"/>
          <w:caps w:val="false"/>
          <w:smallCaps w:val="false"/>
          <w:sz w:val="20"/>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Times;Serif" w:hAnsi="Times New Roman;Times;Serif"/>
          <w:b/>
          <w:i w:val="false"/>
          <w:caps w:val="false"/>
          <w:smallCaps w:val="false"/>
          <w:sz w:val="20"/>
        </w:rPr>
        <w:t>defaults</w:t>
      </w:r>
      <w:r>
        <w:rPr>
          <w:rFonts w:ascii="Times New Roman;Times;Serif" w:hAnsi="Times New Roman;Times;Serif"/>
          <w:b w:val="false"/>
          <w:i w:val="false"/>
          <w:caps w:val="false"/>
          <w:smallCaps w:val="false"/>
          <w:sz w:val="20"/>
        </w:rPr>
        <w:t xml:space="preserve">” for the purpose of this Section being hereby defined to mean any event or condition which is, or with notice or lapse of time or both would become, an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caps w:val="false"/>
          <w:smallCaps w:val="false"/>
          <w:sz w:val="20"/>
        </w:rPr>
        <w:t>Right of Court to Require Filing of Undertaking to Pay Costs</w:t>
      </w:r>
      <w:r>
        <w:rPr>
          <w:rFonts w:ascii="Times New Roman;Times;Serif" w:hAnsi="Times New Roman;Times;Serif"/>
          <w:b w:val="false"/>
          <w:i w:val="false"/>
          <w:caps w:val="false"/>
          <w:smallCaps w:val="false"/>
          <w:sz w:val="20"/>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b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 xml:space="preserve">Duties and Responsibilities of the Trustee; During Default; Prior to Default. </w:t>
      </w:r>
      <w:r>
        <w:rPr>
          <w:rFonts w:ascii="Times New Roman;Times;Serif" w:hAnsi="Times New Roman;Times;Serif"/>
          <w:b w:val="false"/>
          <w:i w:val="false"/>
          <w:caps w:val="false"/>
          <w:smallCaps w:val="false"/>
          <w:sz w:val="20"/>
        </w:rPr>
        <w:t>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 xml:space="preserve">Certain Rights of the Trustee. </w:t>
      </w:r>
      <w:r>
        <w:rPr>
          <w:rFonts w:ascii="Times New Roman;Times;Serif" w:hAnsi="Times New Roman;Times;Serif"/>
          <w:b w:val="false"/>
          <w:i w:val="false"/>
          <w:caps w:val="false"/>
          <w:smallCaps w:val="false"/>
          <w:sz w:val="20"/>
        </w:rPr>
        <w:t>In furtherance of and subject to the Trust Indenture Act of 1939 and subject to Section 6.01: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left"/>
              <w:rPr/>
            </w:pPr>
            <w:r>
              <w:rPr/>
              <w:t>the Trustee shall not be liable for any error of judgment made in good faith by a Responsible Officer or Responsible Officers of the Trustee, unless it shall be proved that the Trustee was negligent in ascertaining the pertinent facts;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left"/>
              <w:rPr/>
            </w:pPr>
            <w:r>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left"/>
              <w:rPr/>
            </w:pPr>
            <w:r>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283"/>
              <w:jc w:val="left"/>
              <w:rPr/>
            </w:pPr>
            <w:r>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left"/>
              <w:rPr/>
            </w:pPr>
            <w:r>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(g)</w:t>
            </w:r>
          </w:p>
        </w:tc>
        <w:tc>
          <w:tcPr>
            <w:tcW w:w="9928" w:type="dxa"/>
            <w:tcBorders/>
            <w:vAlign w:val="center"/>
          </w:tcPr>
          <w:p>
            <w:pPr>
              <w:pStyle w:val="TableContents"/>
              <w:bidi w:val="0"/>
              <w:spacing w:before="0" w:after="283"/>
              <w:jc w:val="left"/>
              <w:rPr/>
            </w:pPr>
            <w:r>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(h)</w:t>
            </w:r>
          </w:p>
        </w:tc>
        <w:tc>
          <w:tcPr>
            <w:tcW w:w="9936" w:type="dxa"/>
            <w:tcBorders/>
            <w:vAlign w:val="center"/>
          </w:tcPr>
          <w:p>
            <w:pPr>
              <w:pStyle w:val="TableContents"/>
              <w:bidi w:val="0"/>
              <w:spacing w:before="0" w:after="283"/>
              <w:jc w:val="left"/>
              <w:rPr/>
            </w:pPr>
            <w:r>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left"/>
              <w:rPr/>
            </w:pPr>
            <w:r>
              <w:rPr/>
              <w:t>the Trustee shall not be liable for any action taken or omitted by it in good faith and believed by it to be authorized or within the discretion, rights or powers conferred upon it by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(j)</w:t>
            </w:r>
          </w:p>
        </w:tc>
        <w:tc>
          <w:tcPr>
            <w:tcW w:w="10007" w:type="dxa"/>
            <w:tcBorders/>
            <w:vAlign w:val="center"/>
          </w:tcPr>
          <w:p>
            <w:pPr>
              <w:pStyle w:val="TableContents"/>
              <w:bidi w:val="0"/>
              <w:spacing w:before="0" w:after="283"/>
              <w:jc w:val="left"/>
              <w:rPr/>
            </w:pPr>
            <w:r>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i/>
              </w:rPr>
              <w:t>provided</w:t>
            </w:r>
            <w:r>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(k)</w:t>
            </w:r>
          </w:p>
        </w:tc>
        <w:tc>
          <w:tcPr>
            <w:tcW w:w="9931" w:type="dxa"/>
            <w:tcBorders/>
            <w:vAlign w:val="center"/>
          </w:tcPr>
          <w:p>
            <w:pPr>
              <w:pStyle w:val="TableContents"/>
              <w:bidi w:val="0"/>
              <w:spacing w:before="0" w:after="283"/>
              <w:jc w:val="left"/>
              <w:rPr/>
            </w:pPr>
            <w:r>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 xml:space="preserve">Trustee Not Responsible for Recitals, Disposition of Securities or Application of Proceeds Thereof. </w:t>
      </w:r>
      <w:r>
        <w:rPr>
          <w:rFonts w:ascii="Times New Roman;Times;Serif" w:hAnsi="Times New Roman;Times;Serif"/>
          <w:b w:val="false"/>
          <w:i w:val="false"/>
          <w:caps w:val="false"/>
          <w:smallCaps w:val="false"/>
          <w:sz w:val="20"/>
        </w:rPr>
        <w:t>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rPr>
        <w:t xml:space="preserve">Trustee and Agents May Hold Securities; Collections, Etc. </w:t>
      </w:r>
      <w:r>
        <w:rPr>
          <w:rFonts w:ascii="Times New Roman;Times;Serif" w:hAnsi="Times New Roman;Times;Serif"/>
          <w:b w:val="false"/>
          <w:i w:val="false"/>
          <w:caps w:val="false"/>
          <w:smallCaps w:val="false"/>
          <w:sz w:val="20"/>
        </w:rPr>
        <w:t>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rPr>
        <w:t xml:space="preserve">Moneys Held by Trustee. </w:t>
      </w:r>
      <w:r>
        <w:rPr>
          <w:rFonts w:ascii="Times New Roman;Times;Serif" w:hAnsi="Times New Roman;Times;Serif"/>
          <w:b w:val="false"/>
          <w:i w:val="false"/>
          <w:caps w:val="false"/>
          <w:smallCaps w:val="false"/>
          <w:sz w:val="20"/>
        </w:rPr>
        <w:t>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rPr>
        <w:t xml:space="preserve">Compensation and Indemnification of Trustee and Its Prior Claim. </w:t>
      </w:r>
      <w:r>
        <w:rPr>
          <w:rFonts w:ascii="Times New Roman;Times;Serif" w:hAnsi="Times New Roman;Times;Serif"/>
          <w:b w:val="false"/>
          <w:i w:val="false"/>
          <w:caps w:val="false"/>
          <w:smallCaps w:val="false"/>
          <w:sz w:val="20"/>
        </w:rPr>
        <w:t>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rPr>
        <w:t xml:space="preserve">Right of Trustee to Rely on Officer’s Certificate, Etc. </w:t>
      </w:r>
      <w:r>
        <w:rPr>
          <w:rFonts w:ascii="Times New Roman;Times;Serif" w:hAnsi="Times New Roman;Times;Serif"/>
          <w:b w:val="false"/>
          <w:i w:val="false"/>
          <w:caps w:val="false"/>
          <w:smallCaps w:val="false"/>
          <w:sz w:val="20"/>
        </w:rPr>
        <w:t>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rPr>
        <w:t xml:space="preserve">Disqualification; Conflicting Interests. </w:t>
      </w: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Issuer shall in all respects comply with the provisions of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rPr>
        <w:t xml:space="preserve">Persons Eligible for Appointment as Trustee. </w:t>
      </w:r>
      <w:r>
        <w:rPr>
          <w:rFonts w:ascii="Times New Roman;Times;Serif" w:hAnsi="Times New Roman;Times;Serif"/>
          <w:b w:val="false"/>
          <w:i w:val="false"/>
          <w:caps w:val="false"/>
          <w:smallCaps w:val="false"/>
          <w:sz w:val="20"/>
        </w:rPr>
        <w:t>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Resignation and Removal; Appointment of Successor Trustee.</w:t>
      </w:r>
      <w:r>
        <w:rPr>
          <w:rFonts w:ascii="Times New Roman;Times;Serif" w:hAnsi="Times New Roman;Times;Serif"/>
          <w:b w:val="false"/>
          <w:i w:val="false"/>
          <w:caps w:val="false"/>
          <w:smallCaps w:val="false"/>
          <w:sz w:val="20"/>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65"/>
        <w:gridCol w:w="9567"/>
      </w:tblGrid>
      <w:tr>
        <w:trPr/>
        <w:tc>
          <w:tcPr>
            <w:tcW w:w="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pPr>
            <w:r>
              <w:rPr/>
              <w:t>(b)</w:t>
            </w:r>
          </w:p>
        </w:tc>
        <w:tc>
          <w:tcPr>
            <w:tcW w:w="9567" w:type="dxa"/>
            <w:tcBorders/>
            <w:vAlign w:val="center"/>
          </w:tcPr>
          <w:p>
            <w:pPr>
              <w:pStyle w:val="TableContents"/>
              <w:bidi w:val="0"/>
              <w:spacing w:before="0" w:after="283"/>
              <w:jc w:val="left"/>
              <w:rPr/>
            </w:pPr>
            <w:r>
              <w:rPr/>
              <w:t>In case at any time any of the following shall occur: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left"/>
              <w:rPr/>
            </w:pPr>
            <w:r>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left"/>
              <w:rPr/>
            </w:pPr>
            <w:r>
              <w:rPr/>
              <w:t>the Trustee shall cease to be eligible in accordance with the provisions of Section 310(a) of the Trust Indenture Act of 1939 and shall fail to resign after written request therefor by the Issuer or by any Securityholder;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(iii)</w:t>
            </w:r>
          </w:p>
        </w:tc>
        <w:tc>
          <w:tcPr>
            <w:tcW w:w="9874" w:type="dxa"/>
            <w:tcBorders/>
            <w:vAlign w:val="center"/>
          </w:tcPr>
          <w:p>
            <w:pPr>
              <w:pStyle w:val="TableContents"/>
              <w:bidi w:val="0"/>
              <w:spacing w:before="0" w:after="283"/>
              <w:jc w:val="left"/>
              <w:rPr/>
            </w:pPr>
            <w:r>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left"/>
              <w:rPr/>
            </w:pPr>
            <w:r>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left"/>
              <w:rPr/>
            </w:pPr>
            <w:r>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 xml:space="preserve">Acceptance of Appointment by Successor Trustee. </w:t>
      </w:r>
      <w:r>
        <w:rPr>
          <w:rFonts w:ascii="Times New Roman;Times;Serif" w:hAnsi="Times New Roman;Times;Serif"/>
          <w:b w:val="false"/>
          <w:i w:val="false"/>
          <w:caps w:val="false"/>
          <w:smallCaps w:val="false"/>
          <w:sz w:val="20"/>
        </w:rPr>
        <w:t>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caps w:val="false"/>
          <w:smallCaps w:val="false"/>
          <w:sz w:val="20"/>
        </w:rPr>
        <w:t xml:space="preserve">Merger, Conversion, Consolidation or Succession to Business of Trustee. </w:t>
      </w:r>
      <w:r>
        <w:rPr>
          <w:rFonts w:ascii="Times New Roman;Times;Serif" w:hAnsi="Times New Roman;Times;Serif"/>
          <w:b w:val="false"/>
          <w:i w:val="false"/>
          <w:caps w:val="false"/>
          <w:smallCaps w:val="false"/>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caps w:val="false"/>
          <w:smallCaps w:val="false"/>
          <w:sz w:val="20"/>
        </w:rPr>
        <w:t>Preferential Collection of Claims Against the Issuer</w:t>
      </w:r>
      <w:r>
        <w:rPr>
          <w:rFonts w:ascii="Times New Roman;Times;Serif" w:hAnsi="Times New Roman;Times;Serif"/>
          <w:b w:val="false"/>
          <w:i w:val="false"/>
          <w:caps w:val="false"/>
          <w:smallCaps w:val="false"/>
          <w:sz w:val="20"/>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br/>
        <w:t>CONCERNING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rPr>
        <w:t xml:space="preserve">Evidence of Action Taken by Securityholders. </w:t>
      </w:r>
      <w:r>
        <w:rPr>
          <w:rFonts w:ascii="Times New Roman;Times;Serif" w:hAnsi="Times New Roman;Times;Serif"/>
          <w:b w:val="false"/>
          <w:i w:val="false"/>
          <w:caps w:val="false"/>
          <w:smallCaps w:val="false"/>
          <w:sz w:val="20"/>
        </w:rPr>
        <w:t>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rPr>
        <w:t xml:space="preserve">Proof of Execution of Instruments and of Holding of Securities. </w:t>
      </w:r>
      <w:r>
        <w:rPr>
          <w:rFonts w:ascii="Times New Roman;Times;Serif" w:hAnsi="Times New Roman;Times;Serif"/>
          <w:b w:val="false"/>
          <w:i w:val="false"/>
          <w:caps w:val="false"/>
          <w:smallCaps w:val="false"/>
          <w:sz w:val="20"/>
        </w:rPr>
        <w:t>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caps w:val="false"/>
          <w:smallCaps w:val="false"/>
          <w:sz w:val="20"/>
        </w:rPr>
        <w:t xml:space="preserve">Holders to Be Treated as Owners. </w:t>
      </w:r>
      <w:r>
        <w:rPr>
          <w:rFonts w:ascii="Times New Roman;Times;Serif" w:hAnsi="Times New Roman;Times;Serif"/>
          <w:b w:val="false"/>
          <w:i w:val="false"/>
          <w:caps w:val="false"/>
          <w:smallCaps w:val="false"/>
          <w:sz w:val="20"/>
        </w:rPr>
        <w:t>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caps w:val="false"/>
          <w:smallCaps w:val="false"/>
          <w:sz w:val="20"/>
        </w:rPr>
        <w:t xml:space="preserve">Securities Owned by Issuer Deemed Not Outstanding. </w:t>
      </w:r>
      <w:r>
        <w:rPr>
          <w:rFonts w:ascii="Times New Roman;Times;Serif" w:hAnsi="Times New Roman;Times;Serif"/>
          <w:b w:val="false"/>
          <w:i w:val="false"/>
          <w:caps w:val="false"/>
          <w:smallCaps w:val="false"/>
          <w:sz w:val="20"/>
        </w:rPr>
        <w:t>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caps w:val="false"/>
          <w:smallCaps w:val="false"/>
          <w:sz w:val="20"/>
        </w:rPr>
        <w:t xml:space="preserve">Right of Revocation of Action Taken. </w:t>
      </w:r>
      <w:r>
        <w:rPr>
          <w:rFonts w:ascii="Times New Roman;Times;Serif" w:hAnsi="Times New Roman;Times;Serif"/>
          <w:b w:val="false"/>
          <w:i w:val="false"/>
          <w:caps w:val="false"/>
          <w:smallCaps w:val="false"/>
          <w:sz w:val="20"/>
        </w:rPr>
        <w:t>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rPr>
        <w:t xml:space="preserve">Supplemental Indentures Without Consent of Securityholders. </w:t>
      </w:r>
      <w:r>
        <w:rPr>
          <w:rFonts w:ascii="Times New Roman;Times;Serif" w:hAnsi="Times New Roman;Times;Serif"/>
          <w:b w:val="false"/>
          <w:i w:val="false"/>
          <w:caps w:val="false"/>
          <w:smallCaps w:val="false"/>
          <w:sz w:val="20"/>
        </w:rPr>
        <w:t>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left"/>
              <w:rPr/>
            </w:pPr>
            <w:r>
              <w:rPr/>
              <w:t>to convey, transfer, assign, mortgage or pledge to the Trustee as security for the Securities of one or more series any property or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left"/>
              <w:rPr/>
            </w:pPr>
            <w:r>
              <w:rPr/>
              <w:t>to evidence the succession of another Person to the Issuer, or successive successions, and the assumption by such successor of the covenants, agreements and obligations of the Issuer pursuant to, or to otherwise comply with, Article 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left"/>
              <w:rPr/>
            </w:pPr>
            <w:r>
              <w:rPr/>
              <w:t>to comply with the requirements of the Commission in order to effect or maintain the qualification of this Indenture under the Trust Indenture Act of 1939,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left"/>
              <w:rPr/>
            </w:pPr>
            <w:r>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i/>
              </w:rPr>
              <w:t>provided</w:t>
            </w:r>
            <w:r>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left"/>
              <w:rPr/>
            </w:pPr>
            <w:r>
              <w:rPr/>
              <w:t>to cure any ambiguity, defect or inconsistency, or to conform this Indenture or any supplemental indenture to the description of the Securities set forth in any prospectus, prospectus supplement or offering memorandum related to such series of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54"/>
        <w:gridCol w:w="9797"/>
      </w:tblGrid>
      <w:tr>
        <w:trPr/>
        <w:tc>
          <w:tcPr>
            <w:tcW w:w="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(f)</w:t>
            </w:r>
          </w:p>
        </w:tc>
        <w:tc>
          <w:tcPr>
            <w:tcW w:w="9797" w:type="dxa"/>
            <w:tcBorders/>
            <w:vAlign w:val="center"/>
          </w:tcPr>
          <w:p>
            <w:pPr>
              <w:pStyle w:val="TableContents"/>
              <w:bidi w:val="0"/>
              <w:spacing w:before="0" w:after="283"/>
              <w:jc w:val="left"/>
              <w:rPr/>
            </w:pPr>
            <w:r>
              <w:rPr/>
              <w:t>to provide for or add guarantors for the Securities of one or more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7"/>
        <w:gridCol w:w="9847"/>
      </w:tblGrid>
      <w:tr>
        <w:trPr/>
        <w:tc>
          <w:tcPr>
            <w:tcW w:w="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(g)</w:t>
            </w:r>
          </w:p>
        </w:tc>
        <w:tc>
          <w:tcPr>
            <w:tcW w:w="9847" w:type="dxa"/>
            <w:tcBorders/>
            <w:vAlign w:val="center"/>
          </w:tcPr>
          <w:p>
            <w:pPr>
              <w:pStyle w:val="TableContents"/>
              <w:bidi w:val="0"/>
              <w:spacing w:before="0" w:after="283"/>
              <w:jc w:val="left"/>
              <w:rPr/>
            </w:pPr>
            <w:r>
              <w:rPr/>
              <w:t>to establish the form or terms of Securities of any series as permitted by Sections 2.01 and 2.03;</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(h)</w:t>
            </w:r>
          </w:p>
        </w:tc>
        <w:tc>
          <w:tcPr>
            <w:tcW w:w="9934" w:type="dxa"/>
            <w:tcBorders/>
            <w:vAlign w:val="center"/>
          </w:tcPr>
          <w:p>
            <w:pPr>
              <w:pStyle w:val="TableContents"/>
              <w:bidi w:val="0"/>
              <w:spacing w:before="0" w:after="283"/>
              <w:jc w:val="left"/>
              <w:rPr/>
            </w:pPr>
            <w:r>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left"/>
              <w:rPr/>
            </w:pPr>
            <w:r>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(j)</w:t>
            </w:r>
          </w:p>
        </w:tc>
        <w:tc>
          <w:tcPr>
            <w:tcW w:w="9942" w:type="dxa"/>
            <w:tcBorders/>
            <w:vAlign w:val="center"/>
          </w:tcPr>
          <w:p>
            <w:pPr>
              <w:pStyle w:val="TableContents"/>
              <w:bidi w:val="0"/>
              <w:spacing w:before="0" w:after="283"/>
              <w:jc w:val="left"/>
              <w:rPr/>
            </w:pPr>
            <w:r>
              <w:rPr/>
              <w:t>to make any change to the Securities of any series so long as no Securities of such series are Outstanding;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(k)</w:t>
            </w:r>
          </w:p>
        </w:tc>
        <w:tc>
          <w:tcPr>
            <w:tcW w:w="9891" w:type="dxa"/>
            <w:tcBorders/>
            <w:vAlign w:val="center"/>
          </w:tcPr>
          <w:p>
            <w:pPr>
              <w:pStyle w:val="TableContents"/>
              <w:bidi w:val="0"/>
              <w:spacing w:before="0" w:after="283"/>
              <w:jc w:val="left"/>
              <w:rPr/>
            </w:pPr>
            <w:r>
              <w:rPr/>
              <w:t>to make any other change that does not adversely affect the interests of the Holders of the Securities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without the consent of the Holders of any of the Securities at the time Outstanding, notwithstanding any of the provisions of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rPr>
        <w:t xml:space="preserve">Supplemental Indentures With Consent of Securityholders. </w:t>
      </w:r>
      <w:r>
        <w:rPr>
          <w:rFonts w:ascii="Times New Roman;Times;Serif" w:hAnsi="Times New Roman;Times;Serif"/>
          <w:b w:val="false"/>
          <w:i w:val="false"/>
          <w:caps w:val="false"/>
          <w:smallCaps w:val="false"/>
          <w:sz w:val="20"/>
        </w:rPr>
        <w:t xml:space="preserve">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caps w:val="false"/>
          <w:smallCaps w:val="false"/>
          <w:sz w:val="20"/>
        </w:rPr>
        <w:t xml:space="preserve">Effect of Supplemental Indenture. </w:t>
      </w:r>
      <w:r>
        <w:rPr>
          <w:rFonts w:ascii="Times New Roman;Times;Serif" w:hAnsi="Times New Roman;Times;Serif"/>
          <w:b w:val="false"/>
          <w:i w:val="false"/>
          <w:caps w:val="false"/>
          <w:smallCaps w:val="false"/>
          <w:sz w:val="20"/>
        </w:rPr>
        <w:t>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caps w:val="false"/>
          <w:smallCaps w:val="false"/>
          <w:sz w:val="20"/>
        </w:rPr>
        <w:t xml:space="preserve">Documents to Be Given to Trustee. </w:t>
      </w:r>
      <w:r>
        <w:rPr>
          <w:rFonts w:ascii="Times New Roman;Times;Serif" w:hAnsi="Times New Roman;Times;Serif"/>
          <w:b w:val="false"/>
          <w:i w:val="false"/>
          <w:caps w:val="false"/>
          <w:smallCaps w:val="false"/>
          <w:sz w:val="20"/>
        </w:rPr>
        <w:t>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caps w:val="false"/>
          <w:smallCaps w:val="false"/>
          <w:sz w:val="20"/>
        </w:rPr>
        <w:t xml:space="preserve">Notation on Securities in Respect of Supplemental Indentures. </w:t>
      </w:r>
      <w:r>
        <w:rPr>
          <w:rFonts w:ascii="Times New Roman;Times;Serif" w:hAnsi="Times New Roman;Times;Serif"/>
          <w:b w:val="false"/>
          <w:i w:val="false"/>
          <w:caps w:val="false"/>
          <w:smallCaps w:val="false"/>
          <w:sz w:val="20"/>
        </w:rPr>
        <w:t>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br/>
        <w:t>CONSOLIDATION, MERGER, SALE OR CONVEYANCE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caps w:val="false"/>
          <w:smallCaps w:val="false"/>
          <w:sz w:val="20"/>
        </w:rPr>
        <w:t xml:space="preserve">Issuer May Consolidate, Etc., on Certain Terms. </w:t>
      </w:r>
      <w:r>
        <w:rPr>
          <w:rFonts w:ascii="Times New Roman;Times;Serif" w:hAnsi="Times New Roman;Times;Serif"/>
          <w:b w:val="false"/>
          <w:i w:val="false"/>
          <w:caps w:val="false"/>
          <w:smallCaps w:val="false"/>
          <w:sz w:val="20"/>
        </w:rPr>
        <w:t>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caps w:val="false"/>
          <w:smallCaps w:val="false"/>
          <w:sz w:val="20"/>
        </w:rPr>
        <w:t xml:space="preserve">Successor Issuer Substituted. </w:t>
      </w:r>
      <w:r>
        <w:rPr>
          <w:rFonts w:ascii="Times New Roman;Times;Serif" w:hAnsi="Times New Roman;Times;Serif"/>
          <w:b w:val="false"/>
          <w:i w:val="false"/>
          <w:caps w:val="false"/>
          <w:smallCaps w:val="false"/>
          <w:sz w:val="20"/>
        </w:rPr>
        <w:t>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lease or conveyance, such changes in phraseology and form (but not in substance) may be made in the Securities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br/>
        <w:t>SATISFACTION AND DISCHARGE OF INDENTURE; DEFEASANCE; UNCLAIMED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caps w:val="false"/>
          <w:smallCaps w:val="false"/>
          <w:sz w:val="20"/>
        </w:rPr>
        <w:t>Satisfaction and Discharge of Indenture; Defeasance.</w:t>
      </w:r>
      <w:r>
        <w:rPr>
          <w:rFonts w:ascii="Times New Roman;Times;Serif" w:hAnsi="Times New Roman;Times;Serif"/>
          <w:b w:val="false"/>
          <w:i w:val="false"/>
          <w:caps w:val="false"/>
          <w:smallCaps w:val="false"/>
          <w:sz w:val="20"/>
        </w:rPr>
        <w:t xml:space="preserve"> (a)  If at any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left"/>
              <w:rPr/>
            </w:pPr>
            <w:r>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7" w:type="dxa"/>
            <w:tcBorders/>
            <w:vAlign w:val="center"/>
          </w:tcPr>
          <w:p>
            <w:pPr>
              <w:pStyle w:val="TableContents"/>
              <w:bidi w:val="0"/>
              <w:spacing w:before="0" w:after="283"/>
              <w:jc w:val="left"/>
              <w:rPr/>
            </w:pPr>
            <w:r>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(iii)</w:t>
            </w:r>
          </w:p>
        </w:tc>
        <w:tc>
          <w:tcPr>
            <w:tcW w:w="9868" w:type="dxa"/>
            <w:tcBorders/>
            <w:vAlign w:val="center"/>
          </w:tcPr>
          <w:p>
            <w:pPr>
              <w:pStyle w:val="TableContents"/>
              <w:bidi w:val="0"/>
              <w:spacing w:before="0" w:after="283"/>
              <w:jc w:val="left"/>
              <w:rPr/>
            </w:pPr>
            <w:r>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(A)</w:t>
            </w:r>
          </w:p>
        </w:tc>
        <w:tc>
          <w:tcPr>
            <w:tcW w:w="9874" w:type="dxa"/>
            <w:tcBorders/>
            <w:vAlign w:val="center"/>
          </w:tcPr>
          <w:p>
            <w:pPr>
              <w:pStyle w:val="TableContents"/>
              <w:bidi w:val="0"/>
              <w:spacing w:before="0" w:after="283"/>
              <w:jc w:val="left"/>
              <w:rPr/>
            </w:pPr>
            <w:r>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left"/>
              <w:rPr/>
            </w:pPr>
            <w:r>
              <w:rPr/>
              <w:t>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left"/>
              <w:rPr/>
            </w:pPr>
            <w:r>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b/>
              </w:rPr>
              <w:t>Legal Defeasance</w:t>
            </w:r>
            <w:r>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left"/>
              <w:rPr/>
            </w:pPr>
            <w:r>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b/>
              </w:rPr>
              <w:t>Covenant Defeasance</w:t>
            </w:r>
            <w:r>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left"/>
              <w:rPr/>
            </w:pPr>
            <w:r>
              <w:rPr/>
              <w:t>The following shall be the conditions to the application of Legal Defeasance (to the extent set forth in subsection (b)), or Covenant Defeasance (to the extent set forth in subsection (c)) to the Securities of the applicable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left"/>
              <w:rPr/>
            </w:pPr>
            <w:r>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left"/>
              <w:rPr/>
            </w:pPr>
            <w:r>
              <w:rPr/>
              <w:t>the Issuer delivers to the Trustee an Officer’s Certificate stating that all conditions precedent specified herein relating to Legal Defeasance or Covenant Defeasance, as the case may be, have been complied with, and an Opinion of Counsel to the same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left"/>
              <w:rPr/>
            </w:pPr>
            <w:r>
              <w:rPr/>
              <w:t>no Event of Default under subsection (a), (b), (d) or (e) of Section 5.01 shall have occurred and be continuing, and no event which with notice or lapse of time or both would become such an Event of Default shall have occurred and be continuing, on the date of such deposit;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(iv)</w:t>
            </w:r>
          </w:p>
        </w:tc>
        <w:tc>
          <w:tcPr>
            <w:tcW w:w="9885" w:type="dxa"/>
            <w:tcBorders/>
            <w:vAlign w:val="center"/>
          </w:tcPr>
          <w:p>
            <w:pPr>
              <w:pStyle w:val="TableContents"/>
              <w:bidi w:val="0"/>
              <w:spacing w:before="0" w:after="283"/>
              <w:jc w:val="left"/>
              <w:rPr/>
            </w:pPr>
            <w:r>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(v)</w:t>
            </w:r>
          </w:p>
        </w:tc>
        <w:tc>
          <w:tcPr>
            <w:tcW w:w="9941" w:type="dxa"/>
            <w:tcBorders/>
            <w:vAlign w:val="center"/>
          </w:tcPr>
          <w:p>
            <w:pPr>
              <w:pStyle w:val="TableContents"/>
              <w:bidi w:val="0"/>
              <w:spacing w:before="0" w:after="283"/>
              <w:jc w:val="left"/>
              <w:rPr/>
            </w:pPr>
            <w:r>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(vi)</w:t>
            </w:r>
          </w:p>
        </w:tc>
        <w:tc>
          <w:tcPr>
            <w:tcW w:w="9863" w:type="dxa"/>
            <w:tcBorders/>
            <w:vAlign w:val="center"/>
          </w:tcPr>
          <w:p>
            <w:pPr>
              <w:pStyle w:val="TableContents"/>
              <w:bidi w:val="0"/>
              <w:spacing w:before="0" w:after="283"/>
              <w:jc w:val="left"/>
              <w:rPr/>
            </w:pPr>
            <w:r>
              <w:rPr/>
              <w:t>notwithstanding any other provisions of this subsection (d), such defeasance shall be effected in compliance with any additional or substitute terms, conditions or limitations that may be imposed on the Issuer pursuant to Section 2.03.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caps w:val="false"/>
          <w:smallCaps w:val="false"/>
          <w:sz w:val="20"/>
        </w:rPr>
        <w:t xml:space="preserve">Application by Trustee of Funds Deposited for Payment of Securities. </w:t>
      </w:r>
      <w:r>
        <w:rPr>
          <w:rFonts w:ascii="Times New Roman;Times;Serif" w:hAnsi="Times New Roman;Times;Serif"/>
          <w:b w:val="false"/>
          <w:i w:val="false"/>
          <w:caps w:val="false"/>
          <w:smallCaps w:val="false"/>
          <w:sz w:val="20"/>
        </w:rPr>
        <w:t>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caps w:val="false"/>
          <w:smallCaps w:val="false"/>
          <w:sz w:val="20"/>
        </w:rPr>
        <w:t xml:space="preserve">Repayment of Moneys Held by Paying Agent. </w:t>
      </w:r>
      <w:r>
        <w:rPr>
          <w:rFonts w:ascii="Times New Roman;Times;Serif" w:hAnsi="Times New Roman;Times;Serif"/>
          <w:b w:val="false"/>
          <w:i w:val="false"/>
          <w:caps w:val="false"/>
          <w:smallCaps w:val="false"/>
          <w:sz w:val="20"/>
        </w:rPr>
        <w:t>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caps w:val="false"/>
          <w:smallCaps w:val="false"/>
          <w:sz w:val="20"/>
        </w:rPr>
        <w:t xml:space="preserve">Return of Moneys Held by Trustee and Paying Agent Unclaimed for Two Years. </w:t>
      </w:r>
      <w:r>
        <w:rPr>
          <w:rFonts w:ascii="Times New Roman;Times;Serif" w:hAnsi="Times New Roman;Times;Serif"/>
          <w:b w:val="false"/>
          <w:i w:val="false"/>
          <w:caps w:val="false"/>
          <w:smallCaps w:val="false"/>
          <w:sz w:val="20"/>
        </w:rPr>
        <w:t>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caps w:val="false"/>
          <w:smallCaps w:val="false"/>
          <w:sz w:val="20"/>
        </w:rPr>
        <w:t xml:space="preserve">Indemnity for U.S. Government Obligations and Foreign Government Obligations. </w:t>
      </w: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caps w:val="false"/>
          <w:smallCaps w:val="false"/>
          <w:sz w:val="20"/>
        </w:rPr>
        <w:t xml:space="preserve">No Recourse. </w:t>
      </w: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caps w:val="false"/>
          <w:smallCaps w:val="false"/>
          <w:sz w:val="20"/>
        </w:rPr>
        <w:t xml:space="preserve">Provisions of Indenture for the Sole Benefit of Parties and Holders of Securities. </w:t>
      </w:r>
      <w:r>
        <w:rPr>
          <w:rFonts w:ascii="Times New Roman;Times;Serif" w:hAnsi="Times New Roman;Times;Serif"/>
          <w:b w:val="false"/>
          <w:i w:val="false"/>
          <w:caps w:val="false"/>
          <w:smallCaps w:val="false"/>
          <w:sz w:val="20"/>
        </w:rPr>
        <w:t>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caps w:val="false"/>
          <w:smallCaps w:val="false"/>
          <w:sz w:val="20"/>
        </w:rPr>
        <w:t xml:space="preserve">Successors and Assigns of Issuer Bound by Indenture. </w:t>
      </w:r>
      <w:r>
        <w:rPr>
          <w:rFonts w:ascii="Times New Roman;Times;Serif" w:hAnsi="Times New Roman;Times;Serif"/>
          <w:b w:val="false"/>
          <w:i w:val="false"/>
          <w:caps w:val="false"/>
          <w:smallCaps w:val="false"/>
          <w:sz w:val="20"/>
        </w:rPr>
        <w:t>All the covenants, stipulations, promises and agreements contained in this Indenture by or on behalf of the Issuer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caps w:val="false"/>
          <w:smallCaps w:val="false"/>
          <w:sz w:val="20"/>
        </w:rPr>
        <w:t xml:space="preserve">Notices and Demands on Issuer, Trustee and Holders of Securities. </w:t>
      </w:r>
      <w:r>
        <w:rPr>
          <w:rFonts w:ascii="Times New Roman;Times;Serif" w:hAnsi="Times New Roman;Times;Serif"/>
          <w:b w:val="false"/>
          <w:i w:val="false"/>
          <w:caps w:val="false"/>
          <w:smallCaps w:val="false"/>
          <w:sz w:val="20"/>
        </w:rPr>
        <w:t>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Editas Medicine, Inc., 11 Hurley St., Cambridge, MA 02141, Attn: Chief Financial Officer. Any notice, direction, request or demand by the Issuer or any Holder of Securities to or upon the Trustee shall be deemed to have been sufficiently given or made, for all purposes, if given or made at _______, ________, Attn: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give notice, nor any defect in any notice so given, to any particular Holder of a Security shall affect the sufficiency of such notice with respect to other Holders of Securities given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caps w:val="false"/>
          <w:smallCaps w:val="false"/>
          <w:sz w:val="20"/>
        </w:rPr>
        <w:t xml:space="preserve">Officer’s Certificates and Opinions of Counsel; Statements to Be Contained Therein. </w:t>
      </w:r>
      <w:r>
        <w:rPr>
          <w:rFonts w:ascii="Times New Roman;Times;Serif" w:hAnsi="Times New Roman;Times;Serif"/>
          <w:b w:val="false"/>
          <w:i w:val="false"/>
          <w:caps w:val="false"/>
          <w:smallCaps w:val="false"/>
          <w:sz w:val="20"/>
        </w:rPr>
        <w:t>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any independent firm of public accountants filed with and directed to the Trustee shall contain a statement that such firm is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caps w:val="false"/>
          <w:smallCaps w:val="false"/>
          <w:sz w:val="20"/>
        </w:rPr>
        <w:t xml:space="preserve">Payments Due on Saturdays, Sundays and Holidays. </w:t>
      </w:r>
      <w:r>
        <w:rPr>
          <w:rFonts w:ascii="Times New Roman;Times;Serif" w:hAnsi="Times New Roman;Times;Serif"/>
          <w:b w:val="false"/>
          <w:i w:val="false"/>
          <w:caps w:val="false"/>
          <w:smallCaps w:val="false"/>
          <w:sz w:val="20"/>
        </w:rPr>
        <w:t>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caps w:val="false"/>
          <w:smallCaps w:val="false"/>
          <w:sz w:val="20"/>
        </w:rPr>
        <w:t xml:space="preserve">Conflict of Any Provision of Indenture With Trust Indenture Act of 1939. </w:t>
      </w:r>
      <w:r>
        <w:rPr>
          <w:rFonts w:ascii="Times New Roman;Times;Serif" w:hAnsi="Times New Roman;Times;Serif"/>
          <w:b w:val="false"/>
          <w:i w:val="false"/>
          <w:caps w:val="false"/>
          <w:smallCaps w:val="false"/>
          <w:sz w:val="20"/>
        </w:rPr>
        <w:t>If and to the extent that any provision of this Indenture limits, qualifies or conflicts with another provision included in this Indenture by operation of Sections 310 to 317, inclusive, of the Trust Indenture Act of 1939, such incorporated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        </w:t>
      </w:r>
      <w:r>
        <w:rPr>
          <w:rFonts w:ascii="Times New Roman;Times;Serif" w:hAnsi="Times New Roman;Times;Serif"/>
          <w:b w:val="false"/>
          <w:i/>
          <w:caps w:val="false"/>
          <w:smallCaps w:val="false"/>
          <w:sz w:val="20"/>
        </w:rPr>
        <w:t xml:space="preserve">New York Law to Govern. </w:t>
      </w:r>
      <w:r>
        <w:rPr>
          <w:rFonts w:ascii="Times New Roman;Times;Serif" w:hAnsi="Times New Roman;Times;Serif"/>
          <w:b w:val="false"/>
          <w:i w:val="false"/>
          <w:caps w:val="false"/>
          <w:smallCaps w:val="false"/>
          <w:sz w:val="20"/>
        </w:rPr>
        <w:t>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        </w:t>
      </w:r>
      <w:r>
        <w:rPr>
          <w:rFonts w:ascii="Times New Roman;Times;Serif" w:hAnsi="Times New Roman;Times;Serif"/>
          <w:b w:val="false"/>
          <w:i/>
          <w:caps w:val="false"/>
          <w:smallCaps w:val="false"/>
          <w:sz w:val="20"/>
        </w:rPr>
        <w:t xml:space="preserve">Counterparts. </w:t>
      </w: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caps w:val="false"/>
          <w:smallCaps w:val="false"/>
          <w:sz w:val="20"/>
        </w:rPr>
        <w:t xml:space="preserve">Effect of Headings. </w:t>
      </w: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        </w:t>
      </w:r>
      <w:r>
        <w:rPr>
          <w:rFonts w:ascii="Times New Roman;Times;Serif" w:hAnsi="Times New Roman;Times;Serif"/>
          <w:b w:val="false"/>
          <w:i/>
          <w:caps w:val="false"/>
          <w:smallCaps w:val="false"/>
          <w:sz w:val="20"/>
        </w:rPr>
        <w:t>Actions by Successor</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w:t>
        <w:br/>
        <w:t>REDEMPTION OF SECURITIES AND 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caps w:val="false"/>
          <w:smallCaps w:val="false"/>
          <w:sz w:val="20"/>
        </w:rPr>
        <w:t xml:space="preserve">Applicability of Article. </w:t>
      </w:r>
      <w:r>
        <w:rPr>
          <w:rFonts w:ascii="Times New Roman;Times;Serif" w:hAnsi="Times New Roman;Times;Serif"/>
          <w:b w:val="false"/>
          <w:i w:val="false"/>
          <w:caps w:val="false"/>
          <w:smallCaps w:val="false"/>
          <w:sz w:val="20"/>
        </w:rPr>
        <w:t>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caps w:val="false"/>
          <w:smallCaps w:val="false"/>
          <w:sz w:val="20"/>
        </w:rPr>
        <w:t xml:space="preserve">Notice of Redemption; Partial Redemptions. </w:t>
      </w:r>
      <w:r>
        <w:rPr>
          <w:rFonts w:ascii="Times New Roman;Times;Serif" w:hAnsi="Times New Roman;Times;Serif"/>
          <w:b w:val="false"/>
          <w:i w:val="false"/>
          <w:caps w:val="false"/>
          <w:smallCaps w:val="false"/>
          <w:sz w:val="20"/>
        </w:rPr>
        <w:t>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Issuer shall be given by the Issuer or, at the Issuer’s request, by the Trustee in the name and at the expense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caps w:val="false"/>
          <w:smallCaps w:val="false"/>
          <w:sz w:val="20"/>
        </w:rPr>
        <w:t xml:space="preserve">Payment of Securities Called for Redemption. </w:t>
      </w:r>
      <w:r>
        <w:rPr>
          <w:rFonts w:ascii="Times New Roman;Times;Serif" w:hAnsi="Times New Roman;Times;Serif"/>
          <w:b w:val="false"/>
          <w:i w:val="false"/>
          <w:caps w:val="false"/>
          <w:smallCaps w:val="false"/>
          <w:sz w:val="20"/>
        </w:rPr>
        <w:t xml:space="preserve">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payment of interest becoming due on or prior to the date fixed for redemption shall be payable to the Holders of such Securities registered as such on the relevant record date subject to the terms and provisions of Sections 2.03 and 2.07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caps w:val="false"/>
          <w:smallCaps w:val="false"/>
          <w:sz w:val="20"/>
        </w:rPr>
        <w:t xml:space="preserve">Exclusion of Certain Securities from Eligibility for Selection for Redemption. </w:t>
      </w:r>
      <w:r>
        <w:rPr>
          <w:rFonts w:ascii="Times New Roman;Times;Serif" w:hAnsi="Times New Roman;Times;Serif"/>
          <w:b w:val="false"/>
          <w:i w:val="false"/>
          <w:caps w:val="false"/>
          <w:smallCaps w:val="false"/>
          <w:sz w:val="20"/>
        </w:rPr>
        <w:t>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caps w:val="false"/>
          <w:smallCaps w:val="false"/>
          <w:sz w:val="20"/>
        </w:rPr>
        <w:t xml:space="preserve">Mandatory and Optional Sinking Funds. </w:t>
      </w: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if the Trustee is not the conversion agent for the Securities, the Issuer or such conversion agent shall give the Trustee written notice on or prior to the date fixed for redemption of the principal amount of Securities or portions thereof so converted.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each sinking fund payment date, the Issuer shall pay to the Trustee in cash or shall otherwise provide for the payment of all interest accrued to the date fixed for redemption on Securities to be redeemed on such sinking fund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_____________.</w:t>
      </w:r>
    </w:p>
    <w:p>
      <w:pPr>
        <w:pStyle w:val="TextBody"/>
        <w:bidi w:val="0"/>
        <w:spacing w:before="0" w:after="0"/>
        <w:ind w:left="0" w:right="0" w:hanging="0"/>
        <w:jc w:val="left"/>
        <w:rPr>
          <w:caps w:val="false"/>
          <w:smallCaps w:val="false"/>
        </w:rPr>
      </w:pPr>
      <w:r>
        <w:rPr>
          <w:caps w:val="false"/>
          <w:smallCaps w:val="false"/>
        </w:rPr>
        <w:t> </w:t>
      </w:r>
    </w:p>
    <w:tbl>
      <w:tblPr>
        <w:tblW w:w="2359" w:type="dxa"/>
        <w:jc w:val="left"/>
        <w:tblInd w:w="0" w:type="dxa"/>
        <w:tblLayout w:type="fixed"/>
        <w:tblCellMar>
          <w:top w:w="0" w:type="dxa"/>
          <w:left w:w="0" w:type="dxa"/>
          <w:bottom w:w="0" w:type="dxa"/>
          <w:right w:w="0" w:type="dxa"/>
        </w:tblCellMar>
      </w:tblPr>
      <w:tblGrid>
        <w:gridCol w:w="75"/>
        <w:gridCol w:w="781"/>
        <w:gridCol w:w="1503"/>
      </w:tblGrid>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EDITAS MEDICINE, INC.</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60"/>
        <w:gridCol w:w="725"/>
      </w:tblGrid>
      <w:tr>
        <w:trPr/>
        <w:tc>
          <w:tcPr>
            <w:tcW w:w="75"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Trustee</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40" w:name="tm2624301d2_ex4-5.htm"/>
      <w:bookmarkStart w:id="41" w:name="kstm2624301d2_ex45"/>
      <w:bookmarkEnd w:id="40"/>
      <w:bookmarkEnd w:id="41"/>
      <w:r>
        <w:rPr/>
        <w:t> </w:t>
      </w:r>
      <w:r>
        <w:br w:type="page"/>
      </w:r>
    </w:p>
    <w:p>
      <w:pPr>
        <w:pStyle w:val="TextBody"/>
        <w:bidi w:val="0"/>
        <w:jc w:val="right"/>
        <w:rPr>
          <w:b/>
        </w:rPr>
      </w:pPr>
      <w:r>
        <w:rPr>
          <w:b/>
        </w:rPr>
        <w:t>Exhibit 4.5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Editas Medicine,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as of </w:t>
      </w:r>
      <w:r>
        <w:rPr>
          <w:rFonts w:ascii="Times New Roman;Times;Serif" w:hAnsi="Times New Roman;Times;Serif"/>
          <w:b/>
          <w:i w:val="false"/>
          <w:caps w:val="false"/>
          <w:smallCaps w:val="false"/>
          <w:sz w:val="20"/>
        </w:rPr>
        <w:t>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CROSS-REFERENCE TABLE </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28" w:type="dxa"/>
          <w:right w:w="0" w:type="dxa"/>
        </w:tblCellMar>
      </w:tblPr>
      <w:tblGrid>
        <w:gridCol w:w="2525"/>
        <w:gridCol w:w="60"/>
        <w:gridCol w:w="1055"/>
      </w:tblGrid>
      <w:tr>
        <w:trPr/>
        <w:tc>
          <w:tcPr>
            <w:tcW w:w="25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of Trust Indenture Act </w:t>
              <w:br/>
              <w:t>of 1939, as amended</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of</w:t>
              <w:br/>
              <w:t>Indenture</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6.09</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6.08</w:t>
              <w:br/>
              <w:t>6.10</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4.01</w:t>
              <w:br/>
              <w:t>4.04</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4.04(c)</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4.04(c)</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4.02</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2.04</w:t>
              <w:br/>
              <w:t>8.04</w:t>
              <w:br/>
              <w:t>9.01(c)</w:t>
              <w:br/>
              <w:t>10.01(b)</w:t>
              <w:br/>
              <w:t>11.05</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314(e)</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11.05</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314(f)</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6.01</w:t>
              <w:br/>
              <w:t>6.02</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6.01</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6.01</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6.02</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315(e)</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5.09</w:t>
              <w:br/>
              <w:t>5.10</w:t>
              <w:br/>
              <w:t>7.04</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5.06</w:t>
              <w:br/>
              <w:t>5.10</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316(c)</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7.02</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5.04</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317(b)</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3.04</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318(a)</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This Cross-Reference Table does not constitute part of the Indenture and shall not have any bearing on the interpretation of any of its terms or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934" w:type="dxa"/>
        <w:jc w:val="left"/>
        <w:tblInd w:w="0" w:type="dxa"/>
        <w:tblLayout w:type="fixed"/>
        <w:tblCellMar>
          <w:top w:w="0" w:type="dxa"/>
          <w:left w:w="0" w:type="dxa"/>
          <w:bottom w:w="0" w:type="dxa"/>
          <w:right w:w="0" w:type="dxa"/>
        </w:tblCellMar>
      </w:tblPr>
      <w:tblGrid>
        <w:gridCol w:w="1147"/>
        <w:gridCol w:w="7332"/>
        <w:gridCol w:w="455"/>
      </w:tblGrid>
      <w:tr>
        <w:trPr/>
        <w:tc>
          <w:tcPr>
            <w:tcW w:w="1147" w:type="dxa"/>
            <w:tcBorders/>
            <w:vAlign w:val="center"/>
          </w:tcPr>
          <w:p>
            <w:pPr>
              <w:pStyle w:val="TableContents"/>
              <w:bidi w:val="0"/>
              <w:spacing w:before="0" w:after="283"/>
              <w:jc w:val="left"/>
              <w:rPr/>
            </w:pPr>
            <w:r>
              <w:rPr/>
              <w:t> </w:t>
            </w:r>
          </w:p>
        </w:tc>
        <w:tc>
          <w:tcPr>
            <w:tcW w:w="7332"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1147" w:type="dxa"/>
            <w:tcBorders/>
            <w:vAlign w:val="center"/>
          </w:tcPr>
          <w:p>
            <w:pPr>
              <w:pStyle w:val="TableContents"/>
              <w:bidi w:val="0"/>
              <w:spacing w:before="0" w:after="283"/>
              <w:jc w:val="left"/>
              <w:rPr/>
            </w:pPr>
            <w:r>
              <w:rPr/>
              <w:t> </w:t>
            </w:r>
          </w:p>
        </w:tc>
        <w:tc>
          <w:tcPr>
            <w:tcW w:w="7332"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4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        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Terms Defined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47" w:type="dxa"/>
            <w:tcBorders/>
            <w:vAlign w:val="center"/>
          </w:tcPr>
          <w:p>
            <w:pPr>
              <w:pStyle w:val="TableContents"/>
              <w:bidi w:val="0"/>
              <w:spacing w:before="0" w:after="283"/>
              <w:jc w:val="left"/>
              <w:rPr/>
            </w:pPr>
            <w:r>
              <w:rPr/>
              <w:t> </w:t>
            </w:r>
          </w:p>
        </w:tc>
        <w:tc>
          <w:tcPr>
            <w:tcW w:w="7332"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8479" w:type="dxa"/>
            <w:gridSpan w:val="2"/>
            <w:tcBorders/>
            <w:vAlign w:val="center"/>
          </w:tcPr>
          <w:p>
            <w:pPr>
              <w:pStyle w:val="TableContents"/>
              <w:bidi w:val="0"/>
              <w:spacing w:before="0" w:after="283"/>
              <w:jc w:val="left"/>
              <w:rPr/>
            </w:pPr>
            <w:r>
              <w:rPr>
                <w:rFonts w:ascii="Times New Roman;Times;Serif" w:hAnsi="Times New Roman;Times;Serif"/>
                <w:sz w:val="20"/>
              </w:rPr>
              <w:t>ARTICLE 2</w:t>
            </w:r>
            <w:r>
              <w:rPr/>
              <w:t xml:space="preserve">        </w:t>
            </w:r>
            <w:r>
              <w:rPr>
                <w:rFonts w:ascii="Times New Roman;Times;Serif" w:hAnsi="Times New Roman;Times;Serif"/>
                <w:sz w:val="20"/>
              </w:rPr>
              <w:t>SECURITIES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Forms Generally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Trustee’s Certificate of Authentication</w:t>
            </w:r>
          </w:p>
        </w:tc>
        <w:tc>
          <w:tcPr>
            <w:tcW w:w="455" w:type="dxa"/>
            <w:tcBorders/>
            <w:vAlign w:val="center"/>
          </w:tcPr>
          <w:p>
            <w:pPr>
              <w:pStyle w:val="TableContents"/>
              <w:bidi w:val="0"/>
              <w:spacing w:before="0" w:after="283"/>
              <w:jc w:val="right"/>
              <w:rPr/>
            </w:pPr>
            <w:r>
              <w:rPr/>
              <w:t>8</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Unlimited; Issuable in Series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and Delivery of Securities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Securities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Authentication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 and Date of Securities; Payments of Interest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Transfer and Exchange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Defaced, Destroyed, Lost and Stolen Securities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of Securities; Destruction Thereof</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147" w:type="dxa"/>
            <w:tcBorders/>
            <w:vAlign w:val="center"/>
          </w:tcPr>
          <w:p>
            <w:pPr>
              <w:pStyle w:val="TableContents"/>
              <w:bidi w:val="0"/>
              <w:spacing w:before="0" w:after="283"/>
              <w:jc w:val="left"/>
              <w:rPr/>
            </w:pPr>
            <w:r>
              <w:rPr/>
              <w:t> </w:t>
            </w:r>
          </w:p>
        </w:tc>
        <w:tc>
          <w:tcPr>
            <w:tcW w:w="7332"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8479" w:type="dxa"/>
            <w:gridSpan w:val="2"/>
            <w:tcBorders/>
            <w:vAlign w:val="center"/>
          </w:tcPr>
          <w:p>
            <w:pPr>
              <w:pStyle w:val="TableContents"/>
              <w:bidi w:val="0"/>
              <w:spacing w:before="0" w:after="283"/>
              <w:jc w:val="left"/>
              <w:rPr/>
            </w:pPr>
            <w:r>
              <w:rPr>
                <w:rFonts w:ascii="Times New Roman;Times;Serif" w:hAnsi="Times New Roman;Times;Serif"/>
                <w:sz w:val="20"/>
              </w:rPr>
              <w:t>ARTICLE 3</w:t>
            </w:r>
            <w:r>
              <w:rPr/>
              <w:t xml:space="preserve">        </w:t>
            </w:r>
            <w:r>
              <w:rPr>
                <w:rFonts w:ascii="Times New Roman;Times;Serif" w:hAnsi="Times New Roman;Times;Serif"/>
                <w:sz w:val="20"/>
              </w:rPr>
              <w:t>COVENANTS OF THE ISSUER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and Interest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Offices for Payments, Etc.</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to Fill a Vacancy in Office of Trustee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Statement to Trustee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47" w:type="dxa"/>
            <w:tcBorders/>
            <w:vAlign w:val="center"/>
          </w:tcPr>
          <w:p>
            <w:pPr>
              <w:pStyle w:val="TableContents"/>
              <w:bidi w:val="0"/>
              <w:spacing w:before="0" w:after="283"/>
              <w:jc w:val="left"/>
              <w:rPr/>
            </w:pPr>
            <w:r>
              <w:rPr/>
              <w:t> </w:t>
            </w:r>
          </w:p>
        </w:tc>
        <w:tc>
          <w:tcPr>
            <w:tcW w:w="7332"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8479" w:type="dxa"/>
            <w:gridSpan w:val="2"/>
            <w:tcBorders/>
            <w:vAlign w:val="center"/>
          </w:tcPr>
          <w:p>
            <w:pPr>
              <w:pStyle w:val="TableContents"/>
              <w:bidi w:val="0"/>
              <w:spacing w:before="0" w:after="283"/>
              <w:jc w:val="left"/>
              <w:rPr/>
            </w:pPr>
            <w:r>
              <w:rPr>
                <w:rFonts w:ascii="Times New Roman;Times;Serif" w:hAnsi="Times New Roman;Times;Serif"/>
                <w:sz w:val="20"/>
              </w:rPr>
              <w:t>ARTICLE 4</w:t>
            </w:r>
            <w:r>
              <w:rPr/>
              <w:t xml:space="preserve">        </w:t>
            </w:r>
            <w:r>
              <w:rPr>
                <w:rFonts w:ascii="Times New Roman;Times;Serif" w:hAnsi="Times New Roman;Times;Serif"/>
                <w:sz w:val="20"/>
              </w:rPr>
              <w:t>SECURITYHOLDERS LISTS AND REPORTS BY THE ISSUER AND THE TRUSTEE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to Furnish Trustee Information as to Names and Addresses of Securityholders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Issuer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Trustee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 with Securityholders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47" w:type="dxa"/>
            <w:tcBorders/>
            <w:vAlign w:val="center"/>
          </w:tcPr>
          <w:p>
            <w:pPr>
              <w:pStyle w:val="TableContents"/>
              <w:bidi w:val="0"/>
              <w:spacing w:before="0" w:after="283"/>
              <w:jc w:val="left"/>
              <w:rPr/>
            </w:pPr>
            <w:r>
              <w:rPr/>
              <w:t> </w:t>
            </w:r>
          </w:p>
        </w:tc>
        <w:tc>
          <w:tcPr>
            <w:tcW w:w="7332"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8479" w:type="dxa"/>
            <w:gridSpan w:val="2"/>
            <w:tcBorders/>
            <w:vAlign w:val="center"/>
          </w:tcPr>
          <w:p>
            <w:pPr>
              <w:pStyle w:val="TableContents"/>
              <w:bidi w:val="0"/>
              <w:spacing w:before="0" w:after="283"/>
              <w:jc w:val="left"/>
              <w:rPr/>
            </w:pPr>
            <w:r>
              <w:rPr>
                <w:rFonts w:ascii="Times New Roman;Times;Serif" w:hAnsi="Times New Roman;Times;Serif"/>
                <w:sz w:val="20"/>
              </w:rPr>
              <w:t>ARTICLE 5</w:t>
            </w:r>
            <w:r>
              <w:rPr/>
              <w:t xml:space="preserve">        </w:t>
            </w:r>
            <w:r>
              <w:rPr>
                <w:rFonts w:ascii="Times New Roman;Times;Serif" w:hAnsi="Times New Roman;Times;Serif"/>
                <w:sz w:val="20"/>
              </w:rPr>
              <w:t>REMEDIES OF THE TRUSTEE AND SECURITYHOLDERS ON EVENT OF DEFAULT</w:t>
            </w:r>
          </w:p>
        </w:tc>
        <w:tc>
          <w:tcPr>
            <w:tcW w:w="455" w:type="dxa"/>
            <w:tcBorders/>
            <w:vAlign w:val="center"/>
          </w:tcPr>
          <w:p>
            <w:pPr>
              <w:pStyle w:val="TableContents"/>
              <w:bidi w:val="0"/>
              <w:spacing w:before="0" w:after="283"/>
              <w:jc w:val="right"/>
              <w:rPr/>
            </w:pPr>
            <w:r>
              <w:rPr/>
              <w:t>20</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 of Default Defined; Acceleration of Maturity; Waiver of Default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Debt by Trustee; Trustee May Prove Debt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Proceeds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Suits for Enforcement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Restoration of Rights on Abandonment of Proceedings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Suits by Securityholders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Unconditional Right of Securityholders to Institute Certain Suits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7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and Remedies Cumulative; Delay or Omission Not Waiver of Default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75"/>
        <w:gridCol w:w="230"/>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474" w:type="dxa"/>
        <w:jc w:val="left"/>
        <w:tblInd w:w="0" w:type="dxa"/>
        <w:tblLayout w:type="fixed"/>
        <w:tblCellMar>
          <w:top w:w="0" w:type="dxa"/>
          <w:left w:w="0" w:type="dxa"/>
          <w:bottom w:w="0" w:type="dxa"/>
          <w:right w:w="0" w:type="dxa"/>
        </w:tblCellMar>
      </w:tblPr>
      <w:tblGrid>
        <w:gridCol w:w="1174"/>
        <w:gridCol w:w="8055"/>
        <w:gridCol w:w="245"/>
      </w:tblGrid>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Holders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to Give Notice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Court to Require Filing of Undertaking to Pay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74"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29" w:type="dxa"/>
            <w:gridSpan w:val="2"/>
            <w:tcBorders/>
            <w:vAlign w:val="center"/>
          </w:tcPr>
          <w:p>
            <w:pPr>
              <w:pStyle w:val="TableContents"/>
              <w:bidi w:val="0"/>
              <w:spacing w:before="0" w:after="283"/>
              <w:jc w:val="left"/>
              <w:rPr/>
            </w:pPr>
            <w:r>
              <w:rPr>
                <w:rFonts w:ascii="Times New Roman;Times;Serif" w:hAnsi="Times New Roman;Times;Serif"/>
                <w:sz w:val="20"/>
              </w:rPr>
              <w:t>ARTICLE 6</w:t>
            </w:r>
            <w:r>
              <w:rPr/>
              <w:t xml:space="preserve">        </w:t>
            </w:r>
            <w:r>
              <w:rPr>
                <w:rFonts w:ascii="Times New Roman;Times;Serif" w:hAnsi="Times New Roman;Times;Serif"/>
                <w:sz w:val="20"/>
              </w:rPr>
              <w:t>CONCERNING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and Responsibilities of the Trustee; During Default; Prior to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Not Responsible for Recitals, Disposition of Securities or Application of Proceeds Thereof</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and Agents May Hold Securities; Collections,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Moneys Held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Indemnification of Trustee and Its Prior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Trustee to Rely on Officer’s Certificate,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Eligible for Appointment as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Consolidation or Succession to Business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the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74"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29" w:type="dxa"/>
            <w:gridSpan w:val="2"/>
            <w:tcBorders/>
            <w:vAlign w:val="center"/>
          </w:tcPr>
          <w:p>
            <w:pPr>
              <w:pStyle w:val="TableContents"/>
              <w:bidi w:val="0"/>
              <w:spacing w:before="0" w:after="283"/>
              <w:jc w:val="left"/>
              <w:rPr/>
            </w:pPr>
            <w:r>
              <w:rPr>
                <w:rFonts w:ascii="Times New Roman;Times;Serif" w:hAnsi="Times New Roman;Times;Serif"/>
                <w:sz w:val="20"/>
              </w:rPr>
              <w:t>ARTICLE 7</w:t>
            </w:r>
            <w:r>
              <w:rPr/>
              <w:t xml:space="preserve">        </w:t>
            </w:r>
            <w:r>
              <w:rPr>
                <w:rFonts w:ascii="Times New Roman;Times;Serif" w:hAnsi="Times New Roman;Times;Serif"/>
                <w:sz w:val="20"/>
              </w:rPr>
              <w:t>CONCERNING THE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Action Taken by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 of Execution of Instruments and of Holding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to Be Treated as Owners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Owned by Issuer Deemed Not Outstanding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Revocation of Action Taken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74"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29" w:type="dxa"/>
            <w:gridSpan w:val="2"/>
            <w:tcBorders/>
            <w:vAlign w:val="center"/>
          </w:tcPr>
          <w:p>
            <w:pPr>
              <w:pStyle w:val="TableContents"/>
              <w:bidi w:val="0"/>
              <w:spacing w:before="0" w:after="283"/>
              <w:jc w:val="left"/>
              <w:rPr/>
            </w:pPr>
            <w:r>
              <w:rPr>
                <w:rFonts w:ascii="Times New Roman;Times;Serif" w:hAnsi="Times New Roman;Times;Serif"/>
                <w:sz w:val="20"/>
              </w:rPr>
              <w:t>ARTICLE 8</w:t>
            </w:r>
            <w:r>
              <w:rPr/>
              <w:t xml:space="preserve">        </w:t>
            </w:r>
            <w:r>
              <w:rPr>
                <w:rFonts w:ascii="Times New Roman;Times;Serif" w:hAnsi="Times New Roman;Times;Serif"/>
                <w:sz w:val="20"/>
              </w:rPr>
              <w:t>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Consent of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 to Be Given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Securities in Respect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74"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29" w:type="dxa"/>
            <w:gridSpan w:val="2"/>
            <w:tcBorders/>
            <w:vAlign w:val="center"/>
          </w:tcPr>
          <w:p>
            <w:pPr>
              <w:pStyle w:val="TableContents"/>
              <w:bidi w:val="0"/>
              <w:spacing w:before="0" w:after="283"/>
              <w:jc w:val="left"/>
              <w:rPr/>
            </w:pPr>
            <w:r>
              <w:rPr>
                <w:rFonts w:ascii="Times New Roman;Times;Serif" w:hAnsi="Times New Roman;Times;Serif"/>
                <w:sz w:val="20"/>
              </w:rPr>
              <w:t>ARTICLE 9</w:t>
            </w:r>
            <w:r>
              <w:rPr/>
              <w:t xml:space="preserve">        </w:t>
            </w:r>
            <w:r>
              <w:rPr>
                <w:rFonts w:ascii="Times New Roman;Times;Serif" w:hAnsi="Times New Roman;Times;Serif"/>
                <w:sz w:val="20"/>
              </w:rPr>
              <w:t>CONSOLIDATION, MERGER, SALE OR CONVEYANCE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May Consolidate, Etc., on Certain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Issuer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74"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29" w:type="dxa"/>
            <w:gridSpan w:val="2"/>
            <w:tcBorders/>
            <w:vAlign w:val="center"/>
          </w:tcPr>
          <w:p>
            <w:pPr>
              <w:pStyle w:val="TableContents"/>
              <w:bidi w:val="0"/>
              <w:spacing w:before="0" w:after="283"/>
              <w:jc w:val="left"/>
              <w:rPr/>
            </w:pPr>
            <w:r>
              <w:rPr>
                <w:rFonts w:ascii="Times New Roman;Times;Serif" w:hAnsi="Times New Roman;Times;Serif"/>
                <w:sz w:val="20"/>
              </w:rPr>
              <w:t>ARTICLE 10</w:t>
            </w:r>
            <w:r>
              <w:rPr/>
              <w:t xml:space="preserve">      </w:t>
            </w:r>
            <w:r>
              <w:rPr>
                <w:rFonts w:ascii="Times New Roman;Times;Serif" w:hAnsi="Times New Roman;Times;Serif"/>
                <w:sz w:val="20"/>
              </w:rPr>
              <w:t>SATISFACTION AND DISCHARGE OF INDENTURE; DEFEASANCE; UNCLAIMED MONEYS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by Trustee of Funds Deposited for Payment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Moneys Held by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8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of Moneys Held by Trustee and Paying Agent Unclaimed for Two Years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205" w:type="dxa"/>
        <w:jc w:val="left"/>
        <w:tblInd w:w="0" w:type="dxa"/>
        <w:tblLayout w:type="fixed"/>
        <w:tblCellMar>
          <w:top w:w="0" w:type="dxa"/>
          <w:left w:w="0" w:type="dxa"/>
          <w:bottom w:w="0" w:type="dxa"/>
          <w:right w:w="0" w:type="dxa"/>
        </w:tblCellMar>
      </w:tblPr>
      <w:tblGrid>
        <w:gridCol w:w="1160"/>
        <w:gridCol w:w="6800"/>
        <w:gridCol w:w="2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 for U.S. Government Obligations and Foreign Government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960" w:type="dxa"/>
            <w:gridSpan w:val="2"/>
            <w:tcBorders/>
            <w:vAlign w:val="center"/>
          </w:tcPr>
          <w:p>
            <w:pPr>
              <w:pStyle w:val="TableContents"/>
              <w:bidi w:val="0"/>
              <w:spacing w:before="0" w:after="283"/>
              <w:jc w:val="left"/>
              <w:rPr/>
            </w:pPr>
            <w:r>
              <w:rPr>
                <w:rFonts w:ascii="Times New Roman;Times;Serif" w:hAnsi="Times New Roman;Times;Serif"/>
                <w:sz w:val="20"/>
              </w:rPr>
              <w:t>ARTICLE 11</w:t>
            </w:r>
            <w:r>
              <w:rPr/>
              <w:t xml:space="preserve">      </w:t>
            </w:r>
            <w:r>
              <w:rPr>
                <w:rFonts w:ascii="Times New Roman;Times;Serif" w:hAnsi="Times New Roman;Times;Serif"/>
                <w:sz w:val="20"/>
              </w:rPr>
              <w:t>MISCELLANEOUS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of Indenture for the Sole Benefit of Parties and Holders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 of Issuer Bound by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and Demands on Issuer, Trustee and Holders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Certificates and Opinions of Counsel; Statements to Be Contained Therein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Due on Saturdays, Sundays and Holidays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 of Any Provision of Indenture With Trust Indenture Act of 1939</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11.08</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Law to Govern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11.09</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11.10</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960" w:type="dxa"/>
            <w:gridSpan w:val="2"/>
            <w:tcBorders/>
            <w:vAlign w:val="center"/>
          </w:tcPr>
          <w:p>
            <w:pPr>
              <w:pStyle w:val="TableContents"/>
              <w:bidi w:val="0"/>
              <w:spacing w:before="0" w:after="283"/>
              <w:jc w:val="left"/>
              <w:rPr/>
            </w:pPr>
            <w:r>
              <w:rPr>
                <w:rFonts w:ascii="Times New Roman;Times;Serif" w:hAnsi="Times New Roman;Times;Serif"/>
                <w:sz w:val="20"/>
              </w:rPr>
              <w:t>ARTICLE 12</w:t>
            </w:r>
            <w:r>
              <w:rPr/>
              <w:t xml:space="preserve">      </w:t>
            </w:r>
            <w:r>
              <w:rPr>
                <w:rFonts w:ascii="Times New Roman;Times;Serif" w:hAnsi="Times New Roman;Times;Serif"/>
                <w:sz w:val="20"/>
              </w:rPr>
              <w:t>REDEMPTION OF SECURITIES AND SINKING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Article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 Partial Redemptions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Securities Called for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Exclusion of Certain Securities from Eligibility for Selection for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and Optional Sinking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960" w:type="dxa"/>
            <w:gridSpan w:val="2"/>
            <w:tcBorders/>
            <w:vAlign w:val="center"/>
          </w:tcPr>
          <w:p>
            <w:pPr>
              <w:pStyle w:val="TableContents"/>
              <w:bidi w:val="0"/>
              <w:spacing w:before="0" w:after="283"/>
              <w:jc w:val="left"/>
              <w:rPr/>
            </w:pPr>
            <w:r>
              <w:rPr>
                <w:rFonts w:ascii="Times New Roman;Times;Serif" w:hAnsi="Times New Roman;Times;Serif"/>
                <w:sz w:val="20"/>
              </w:rPr>
              <w:t>ARTICLE 13</w:t>
            </w:r>
            <w:r>
              <w:rPr/>
              <w:t xml:space="preserve">      </w:t>
            </w:r>
            <w:r>
              <w:rPr>
                <w:rFonts w:ascii="Times New Roman;Times;Serif" w:hAnsi="Times New Roman;Times;Serif"/>
                <w:sz w:val="20"/>
              </w:rPr>
              <w:t>SUBORDINATION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of Subordination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to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Subrogation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by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13.06</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Relation to Senior Indebtedness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13.07</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Impairment of Subordination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13.08</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_________ between Editas Medicine, Inc., a Delaware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________, a _______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may from time to time duly authorize the issue of its unsecured subordinated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to provide, among other things, for the authentication, delivery and administration of the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 xml:space="preserve">Certain Terms Defined. </w:t>
      </w:r>
      <w:r>
        <w:rPr>
          <w:rFonts w:ascii="Times New Roman;Times;Serif" w:hAnsi="Times New Roman;Times;Serif"/>
          <w:b w:val="false"/>
          <w:i w:val="false"/>
          <w:caps w:val="false"/>
          <w:smallCaps w:val="false"/>
          <w:sz w:val="20"/>
        </w:rPr>
        <w:t>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Times;Serif" w:hAnsi="Times New Roman;Times;Serif"/>
          <w:b/>
          <w:i w:val="false"/>
          <w:caps w:val="false"/>
          <w:smallCaps w:val="false"/>
          <w:sz w:val="20"/>
        </w:rPr>
        <w:t>generally accepted accounting principles</w:t>
      </w:r>
      <w:r>
        <w:rPr>
          <w:rFonts w:ascii="Times New Roman;Times;Serif" w:hAnsi="Times New Roman;Times;Serif"/>
          <w:b w:val="false"/>
          <w:i w:val="false"/>
          <w:caps w:val="false"/>
          <w:smallCaps w:val="false"/>
          <w:sz w:val="20"/>
        </w:rPr>
        <w:t>”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xml:space="preserve"> means any additional amounts that are required by this Indenture or by any Security, under circumstances specified herein or therein, to be paid by the Issuer in respect of certain taxes, assessments or other governmental charges imposed on Holders specified therein and which are owing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Procedures</w:t>
      </w:r>
      <w:r>
        <w:rPr>
          <w:rFonts w:ascii="Times New Roman;Times;Serif" w:hAnsi="Times New Roman;Times;Serif"/>
          <w:b w:val="false"/>
          <w:i w:val="false"/>
          <w:caps w:val="false"/>
          <w:smallCaps w:val="false"/>
          <w:sz w:val="20"/>
        </w:rPr>
        <w:t>” means, with respect to a Depositary, as to any matter at any time, the policies and procedures of such Depositary, if any, that are applicable to such matter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either the Board of Directors of the Issuer or any committee of such Board duly authorized to act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one or more resolutions, certified by the secretary or an assistant secretary of the Issuer to have been duly adopted by the Board of Directors and to be in full force and effect,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xml:space="preserve">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shares of common stock, par value $0.0001 per share, of the Issuer as the same exists at the date of execution and delivery of this Indenture or as such stock may be reconstituted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principally administered, which office is, at the date as of which this Indenture is dated, located at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Global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w:t>
      </w:r>
      <w:r>
        <w:rPr>
          <w:rFonts w:ascii="Times New Roman;Times;Serif" w:hAnsi="Times New Roman;Times;Serif"/>
          <w:b w:val="false"/>
          <w:i w:val="false"/>
          <w:caps w:val="false"/>
          <w:smallCaps w:val="false"/>
          <w:sz w:val="20"/>
        </w:rPr>
        <w:t>” means the currency of the United States of America as at the time of payment is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any event or condition specified as such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Currency</w:t>
      </w:r>
      <w:r>
        <w:rPr>
          <w:rFonts w:ascii="Times New Roman;Times;Serif" w:hAnsi="Times New Roman;Times;Serif"/>
          <w:b w:val="false"/>
          <w:i w:val="false"/>
          <w:caps w:val="false"/>
          <w:smallCaps w:val="false"/>
          <w:sz w:val="20"/>
        </w:rPr>
        <w:t>” means a currency issued by the government of a country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Government Obligation”</w:t>
      </w:r>
      <w:r>
        <w:rPr>
          <w:rFonts w:ascii="Times New Roman;Times;Serif" w:hAnsi="Times New Roman;Times;Serif"/>
          <w:b w:val="false"/>
          <w:i w:val="false"/>
          <w:caps w:val="false"/>
          <w:smallCaps w:val="false"/>
          <w:sz w:val="20"/>
        </w:rPr>
        <w:t xml:space="preserve"> means (a) a direct obligation of the government of a 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means a Security evidencing all or a part of a series of Securities, issued to the Depositary for such series in accordance with Section 2.04, and bearing the legend prescribed in Section 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“holder”,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holder of Securities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or other similar terms mean the Person in whose name such Security is registered in the Security register kept by the Issuer for that purpose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unless the context otherwise requires, refers to interest, and when used with respect to non-interest bearing Securities, refers to interest payable after maturity, if any.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with respect to any Security, means the Stated Maturity of an installment of interest 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Editas Medicine, Inc., a Delaware corporation, and, subject to Article 9,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Order</w:t>
      </w:r>
      <w:r>
        <w:rPr>
          <w:rFonts w:ascii="Times New Roman;Times;Serif" w:hAnsi="Times New Roman;Times;Serif"/>
          <w:b w:val="false"/>
          <w:i w:val="false"/>
          <w:caps w:val="false"/>
          <w:smallCaps w:val="false"/>
          <w:sz w:val="20"/>
        </w:rPr>
        <w:t>” means a written statement, request or order of the Issuer signed in its name by the chairman of the Board of Directors, the president or any vice president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xml:space="preserve"> shall have the meaning set forth in Section 5.01(c).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such Security or (b) the date of any Security (or portion thereof) for which such Security was issued (directly or indirectly) on registration of transfer, exchange or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shall, subject to the provisions of Section 7.04, mean, as of any particular time, all Securities authenticated and delivered by the Trustee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theretofore cancelled by the Trustee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such Securities, or portions thereof, are to be redeemed prior to the maturity thereof, notice of such redemption shall have been given as herein provided, or provision satisfactory to the Trustee shall have been made for giving such notice;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Securities as to which Legal Defeasance shall have been effected pursuant to Section 10.01(b);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partnership, limited liability company, joint venture, association, joint stock company, trust,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whenever used with reference to the Securities or any Security or any portion thereof, shall be deemed to include “and premium,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shall have the meaning set forth in Section 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or, as the case may be, Securities that have been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shall have the meaning set forth in Section 4.01(b).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of a Person means the principal of, premium, if any, interest on, and any other payment due pursuant to any of the following, whether outstanding at the date hereof or hereafter incurred or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indebtedness of that Person for money 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indebtedness of that Person evidenced by notes, debentures, bonds or other securities sold by that Person for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lease obligations which are capitalized on the books of that Person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renewals, extensions or refundings of indebtedness of the kinds described in any of the preceding clauses (a), (b) and (d) and all renewals or extensions of leases of the kinds described in either of the preceding clauses (c) or (d)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unless</w:t>
      </w:r>
      <w:r>
        <w:rPr>
          <w:rFonts w:ascii="Times New Roman;Times;Serif" w:hAnsi="Times New Roman;Times;Serif"/>
          <w:b w:val="false"/>
          <w:i w:val="false"/>
          <w:caps w:val="false"/>
          <w:smallCaps w:val="false"/>
          <w:sz w:val="20"/>
        </w:rPr>
        <w:t>,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 of 1939</w:t>
      </w:r>
      <w:r>
        <w:rPr>
          <w:rFonts w:ascii="Times New Roman;Times;Serif" w:hAnsi="Times New Roman;Times;Serif"/>
          <w:b w:val="false"/>
          <w:i w:val="false"/>
          <w:caps w:val="false"/>
          <w:smallCaps w:val="false"/>
          <w:sz w:val="20"/>
        </w:rPr>
        <w:t>” (except as otherwise provided in Sections 8.01 and 8.02) means the Trust Indenture Act of 1939 as in force at the date as of which this Indenture was originally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identified as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hereof and, subject to the provisions of Article 6, shall also include any successor trustee.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also mean or include each Person who is then a trustee hereunder and if at any time there is more than one such Person,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used with respect to the Securities of any series shall mean the trustee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w:t>
      </w:r>
      <w:r>
        <w:rPr>
          <w:rFonts w:ascii="Times New Roman;Times;Serif" w:hAnsi="Times New Roman;Times;Serif"/>
          <w:b w:val="false"/>
          <w:i w:val="false"/>
          <w:caps w:val="false"/>
          <w:smallCaps w:val="false"/>
          <w:sz w:val="20"/>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 when used with respect to the Issuer or the Trustee, means any vice president, whether or not designated by a number or a word or words added before or after the title of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the yield to maturity on a series of securities, calculated at the time of issuance of such series, or, if applicable, at the most recent redetermination of interest on such series, and calculated in accordance with accepted financial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br/>
        <w:t>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 xml:space="preserve">Forms Generally. </w:t>
      </w:r>
      <w:r>
        <w:rPr>
          <w:rFonts w:ascii="Times New Roman;Times;Serif" w:hAnsi="Times New Roman;Times;Serif"/>
          <w:b w:val="false"/>
          <w:i w:val="false"/>
          <w:caps w:val="false"/>
          <w:smallCaps w:val="false"/>
          <w:sz w:val="20"/>
        </w:rPr>
        <w:t>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 xml:space="preserve">Form of Trustee’s Certificate of Authentication. </w:t>
      </w:r>
      <w:r>
        <w:rPr>
          <w:rFonts w:ascii="Times New Roman;Times;Serif" w:hAnsi="Times New Roman;Times;Serif"/>
          <w:b w:val="false"/>
          <w:i w:val="false"/>
          <w:caps w:val="false"/>
          <w:smallCaps w:val="false"/>
          <w:sz w:val="20"/>
        </w:rPr>
        <w:t>The Trustee’s certificate of authentication on all Securities shall be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75"/>
        <w:gridCol w:w="995"/>
      </w:tblGrid>
      <w:tr>
        <w:trPr/>
        <w:tc>
          <w:tcPr>
            <w:tcW w:w="75"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both"/>
              <w:rPr/>
            </w:pPr>
            <w:r>
              <w:rPr/>
              <w:t>as Trustee</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365"/>
        <w:gridCol w:w="183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8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caps w:val="false"/>
          <w:smallCaps w:val="false"/>
          <w:sz w:val="20"/>
        </w:rPr>
        <w:t>Amount Unlimited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Issuable in Series. </w:t>
      </w: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designation of the Securities of the series (which may be part of a series of Securities previously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 or the method used to determine those dates and the right, if any, to extend such date or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interest on Securities of the series shall be payable (if other than as provided in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other than denominations of $2,000 and any integral multiple of $1,000 in excess thereof, the denominations in which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the principal amount thereof, the portion of the principal amount of Securities of the series which shall be payable upon declaration of acceleration of the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Dollars, the currency, currencies or currency units in which the Securities of the series are denominated;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currency in which the Securities of the series are denominated, the currency in which payment of the principal of or interest on the Securities of such series shall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Sections 10.01(b) or 10.01(c) are inapplicable to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whether and under what circumstances the Issuer will pay Additional Amounts on the Securities and, if so, whether the Issuer will have the option to redeem such Securities rather than pay such additional amounts;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(r)</w:t>
            </w:r>
          </w:p>
        </w:tc>
        <w:tc>
          <w:tcPr>
            <w:tcW w:w="9941" w:type="dxa"/>
            <w:tcBorders/>
            <w:vAlign w:val="center"/>
          </w:tcPr>
          <w:p>
            <w:pPr>
              <w:pStyle w:val="TableContents"/>
              <w:bidi w:val="0"/>
              <w:spacing w:before="0" w:after="283"/>
              <w:jc w:val="left"/>
              <w:rPr/>
            </w:pPr>
            <w:r>
              <w:rPr/>
              <w:t>any trustees, authenticating or paying agents, transfer agents or registrars or any other agents with respect to the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(s)</w:t>
            </w:r>
          </w:p>
        </w:tc>
        <w:tc>
          <w:tcPr>
            <w:tcW w:w="9930" w:type="dxa"/>
            <w:tcBorders/>
            <w:vAlign w:val="center"/>
          </w:tcPr>
          <w:p>
            <w:pPr>
              <w:pStyle w:val="TableContents"/>
              <w:bidi w:val="0"/>
              <w:spacing w:before="0" w:after="283"/>
              <w:jc w:val="left"/>
              <w:rPr/>
            </w:pPr>
            <w:r>
              <w:rPr/>
              <w:t>any other events of default or covenants with respect to the Securities of such series in addition to or in lieu of those contained in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(t)</w:t>
            </w:r>
          </w:p>
        </w:tc>
        <w:tc>
          <w:tcPr>
            <w:tcW w:w="9951" w:type="dxa"/>
            <w:tcBorders/>
            <w:vAlign w:val="center"/>
          </w:tcPr>
          <w:p>
            <w:pPr>
              <w:pStyle w:val="TableContents"/>
              <w:bidi w:val="0"/>
              <w:spacing w:before="0" w:after="283"/>
              <w:jc w:val="left"/>
              <w:rPr/>
            </w:pPr>
            <w:r>
              <w:rPr/>
              <w:t>the extent to which payments on the Securities will be subordinated to the payment of Senior Indebtedness of the Issuer;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any other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caps w:val="false"/>
          <w:smallCaps w:val="false"/>
          <w:sz w:val="20"/>
        </w:rPr>
        <w:t xml:space="preserve">Authentication and Delivery of Securities. </w:t>
      </w:r>
      <w:r>
        <w:rPr>
          <w:rFonts w:ascii="Times New Roman;Times;Serif" w:hAnsi="Times New Roman;Times;Serif"/>
          <w:b w:val="false"/>
          <w:i w:val="false"/>
          <w:caps w:val="false"/>
          <w:smallCaps w:val="false"/>
          <w:sz w:val="20"/>
        </w:rPr>
        <w:t>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Issuer Order requesting such authentication and setting forth delivery instructions if the Securities are not to be delivered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Board Resolution, Officer’s Certificate and/or executed supplemental indenture referred to in Sections 2.01 and 2.03 by or pursuant to which the forms and terms of the Securities were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Opinion of Counsel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form or forms and terms of such Securities have been established pursuant to Sections 2.01 and 2.03 and comply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authentication and delivery of such Securities by the Trustee are authorized under the provisions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Securities when authenticated and delivered by the Trustee and issued by the Issuer in the manner and subject to any conditions specified in such Opinion of Counsel, will constitute valid and binding obligations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covering such other matters as the Trustee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caps w:val="false"/>
          <w:smallCaps w:val="false"/>
          <w:sz w:val="20"/>
        </w:rPr>
        <w:t>Execution of Securities</w:t>
      </w:r>
      <w:r>
        <w:rPr>
          <w:rFonts w:ascii="Times New Roman;Times;Serif" w:hAnsi="Times New Roman;Times;Serif"/>
          <w:b w:val="false"/>
          <w:i w:val="false"/>
          <w:caps w:val="false"/>
          <w:smallCaps w:val="false"/>
          <w:sz w:val="20"/>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caps w:val="false"/>
          <w:smallCaps w:val="false"/>
          <w:sz w:val="20"/>
        </w:rPr>
        <w:t>Certificate of Authentication</w:t>
      </w:r>
      <w:r>
        <w:rPr>
          <w:rFonts w:ascii="Times New Roman;Times;Serif" w:hAnsi="Times New Roman;Times;Serif"/>
          <w:b w:val="false"/>
          <w:i w:val="false"/>
          <w:caps w:val="false"/>
          <w:smallCaps w:val="false"/>
          <w:sz w:val="20"/>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 The Securities of each series shall bear interest, if any, from the date, and such interest shall be payable on the dates, established as contemplated by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caps w:val="false"/>
          <w:smallCaps w:val="false"/>
          <w:sz w:val="20"/>
        </w:rPr>
        <w:t>Registration, Transfer and Exchange</w:t>
      </w:r>
      <w:r>
        <w:rPr>
          <w:rFonts w:ascii="Times New Roman;Times;Serif" w:hAnsi="Times New Roman;Times;Serif"/>
          <w:b w:val="false"/>
          <w:i w:val="false"/>
          <w:caps w:val="false"/>
          <w:smallCaps w:val="false"/>
          <w:sz w:val="20"/>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such Depositary a new Global Security in a denomination equal to the difference, if any, between the principal amount of the surrendered Global Security and the aggregate principal amount of Securities authenticated and delivered pursuant to clause (i) above.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Issuer, evidencing the same debt, and entitled to the same benefits under this Indenture, as the Securities surrendered upon such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caps w:val="false"/>
          <w:smallCaps w:val="false"/>
          <w:sz w:val="20"/>
        </w:rPr>
        <w:t xml:space="preserve">Mutilated, Defaced, Destroyed, Lost and Stolen Securities. </w:t>
      </w:r>
      <w:r>
        <w:rPr>
          <w:rFonts w:ascii="Times New Roman;Times;Serif" w:hAnsi="Times New Roman;Times;Serif"/>
          <w:b w:val="false"/>
          <w:i w:val="false"/>
          <w:caps w:val="false"/>
          <w:smallCaps w:val="false"/>
          <w:sz w:val="20"/>
        </w:rPr>
        <w:t>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rPr>
        <w:t xml:space="preserve">Cancellation of Securities; Destruction Thereof. </w:t>
      </w:r>
      <w:r>
        <w:rPr>
          <w:rFonts w:ascii="Times New Roman;Times;Serif" w:hAnsi="Times New Roman;Times;Serif"/>
          <w:b w:val="false"/>
          <w:i w:val="false"/>
          <w:caps w:val="false"/>
          <w:smallCaps w:val="false"/>
          <w:sz w:val="20"/>
        </w:rPr>
        <w:t>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rPr>
        <w:t xml:space="preserve">Temporary Securities. </w:t>
      </w:r>
      <w:r>
        <w:rPr>
          <w:rFonts w:ascii="Times New Roman;Times;Serif" w:hAnsi="Times New Roman;Times;Serif"/>
          <w:b w:val="false"/>
          <w:i w:val="false"/>
          <w:caps w:val="false"/>
          <w:smallCaps w:val="false"/>
          <w:sz w:val="20"/>
        </w:rPr>
        <w:t>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rPr>
        <w:t xml:space="preserve">CUSIP Numbers. </w:t>
      </w:r>
      <w:r>
        <w:rPr>
          <w:rFonts w:ascii="Times New Roman;Times;Serif" w:hAnsi="Times New Roman;Times;Serif"/>
          <w:b w:val="false"/>
          <w:i w:val="false"/>
          <w:caps w:val="false"/>
          <w:smallCaps w:val="false"/>
          <w:sz w:val="20"/>
        </w:rPr>
        <w:t>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br/>
        <w:t>COVENANTS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 xml:space="preserve">Payment of Principal and Interest. </w:t>
      </w:r>
      <w:r>
        <w:rPr>
          <w:rFonts w:ascii="Times New Roman;Times;Serif" w:hAnsi="Times New Roman;Times;Serif"/>
          <w:b w:val="false"/>
          <w:i w:val="false"/>
          <w:caps w:val="false"/>
          <w:smallCaps w:val="false"/>
          <w:sz w:val="20"/>
        </w:rPr>
        <w:t>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 xml:space="preserve">Offices for Payments, Etc. </w:t>
      </w:r>
      <w:r>
        <w:rPr>
          <w:rFonts w:ascii="Times New Roman;Times;Serif" w:hAnsi="Times New Roman;Times;Serif"/>
          <w:b w:val="false"/>
          <w:i w:val="false"/>
          <w:caps w:val="false"/>
          <w:smallCaps w:val="false"/>
          <w:sz w:val="20"/>
        </w:rPr>
        <w:t>The Issuer will maintain (i) in _______,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maintain in __________, an agency where notices and demands to or upon the Issuer in respect of the Securities of any series or this Indenture may be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 location of any of the above agencies, presentations and demands may be made and notices may be served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 xml:space="preserve">Appointment to Fill a Vacancy in Office of Trustee. </w:t>
      </w:r>
      <w:r>
        <w:rPr>
          <w:rFonts w:ascii="Times New Roman;Times;Serif" w:hAnsi="Times New Roman;Times;Serif"/>
          <w:b w:val="false"/>
          <w:i w:val="false"/>
          <w:caps w:val="false"/>
          <w:smallCaps w:val="false"/>
          <w:sz w:val="20"/>
        </w:rPr>
        <w:t>The Issuer, whenever necessary to avoid or fill a vacancy in the office of Trustee, will appoint, in the manner provided in Section 6.10, a Trustee, so that there shall at all times be a Trustee with respect to each series of Securities hereunder.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 xml:space="preserve">Paying Agents. </w:t>
      </w:r>
      <w:r>
        <w:rPr>
          <w:rFonts w:ascii="Times New Roman;Times;Serif" w:hAnsi="Times New Roman;Times;Serif"/>
          <w:b w:val="false"/>
          <w:i w:val="false"/>
          <w:caps w:val="false"/>
          <w:smallCaps w:val="false"/>
          <w:sz w:val="20"/>
        </w:rPr>
        <w:t>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it will give the Trustee notice of any failure by the Issuer (or by any other obligor on the Securities of such series) to make any payment of the principal of or interest on the Securities of such series when the same shall be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at any time during the continuance of any such failure, upon the written request of the Trustee, it will forthwith pay to the Trustee all sums so held in trust by such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the agreement to hold sums in trust as provided in this Section is subject to the provisions of Sections 10.03 and 10.04.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 xml:space="preserve">Written Statement to Trustee. </w:t>
      </w:r>
      <w:r>
        <w:rPr>
          <w:rFonts w:ascii="Times New Roman;Times;Serif" w:hAnsi="Times New Roman;Times;Serif"/>
          <w:b w:val="false"/>
          <w:i w:val="false"/>
          <w:caps w:val="false"/>
          <w:smallCaps w:val="false"/>
          <w:sz w:val="20"/>
        </w:rPr>
        <w:t>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br/>
        <w:t>SECURITYHOLDERS LISTS AND REPORTS BY THE ISSUER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 xml:space="preserve">Issuer to Furnish Trustee Information as to Names and Addresses of Securityholders. </w:t>
      </w:r>
      <w:r>
        <w:rPr>
          <w:rFonts w:ascii="Times New Roman;Times;Serif" w:hAnsi="Times New Roman;Times;Serif"/>
          <w:b w:val="false"/>
          <w:i w:val="false"/>
          <w:caps w:val="false"/>
          <w:smallCaps w:val="false"/>
          <w:sz w:val="20"/>
        </w:rPr>
        <w:t>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such other times as the Trustee may request in writing, within 30 days after receipt by the Issuer of any such request as of a date not more than 15 days prior to the time such information is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and so long as the Trustee shall be the Security registrar (the “</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for such series, such list shall not be required to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 xml:space="preserve">Reports by the Issuer. </w:t>
      </w:r>
      <w:r>
        <w:rPr>
          <w:rFonts w:ascii="Times New Roman;Times;Serif" w:hAnsi="Times New Roman;Times;Serif"/>
          <w:b w:val="false"/>
          <w:i w:val="false"/>
          <w:caps w:val="false"/>
          <w:smallCaps w:val="false"/>
          <w:sz w:val="20"/>
        </w:rPr>
        <w:t>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caps w:val="false"/>
          <w:smallCaps w:val="false"/>
          <w:sz w:val="20"/>
        </w:rPr>
        <w:t xml:space="preserve">Reports by the Trustee. </w:t>
      </w:r>
      <w:r>
        <w:rPr>
          <w:rFonts w:ascii="Times New Roman;Times;Serif" w:hAnsi="Times New Roman;Times;Serif"/>
          <w:b w:val="false"/>
          <w:i w:val="false"/>
          <w:caps w:val="false"/>
          <w:smallCaps w:val="false"/>
          <w:sz w:val="20"/>
        </w:rPr>
        <w:t>Any Trustee’s report required under Section 313(a) of the Trust Indenture Act of 1939 shall be transmitted on or before ______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caps w:val="false"/>
          <w:smallCaps w:val="false"/>
          <w:sz w:val="20"/>
        </w:rPr>
        <w:t xml:space="preserve">Preservation of Information; Communication with Securityholders. </w:t>
      </w:r>
      <w:r>
        <w:rPr>
          <w:rFonts w:ascii="Times New Roman;Times;Serif" w:hAnsi="Times New Roman;Times;Serif"/>
          <w:b w:val="false"/>
          <w:i w:val="false"/>
          <w:caps w:val="false"/>
          <w:smallCaps w:val="false"/>
          <w:sz w:val="20"/>
        </w:rPr>
        <w:t>(a)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left"/>
              <w:rPr/>
            </w:pPr>
            <w:r>
              <w:rPr/>
              <w:t>The Trustee may destroy any list furnished to it as provided in Section 4.01 upon receipt of a new list so furnished.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left"/>
              <w:rPr/>
            </w:pPr>
            <w:r>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br/>
        <w:t>REMEDIES OF THE TRUSTEE AND SECURITYHOLDERS ON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rPr>
        <w:t xml:space="preserve">Event of Default Defined; Acceleration of Maturity; Waiver of Default.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for in such series of Securities.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 xml:space="preserve">Collection of Debt by Trustee; Trustee May Prove Debt. </w:t>
      </w:r>
      <w:r>
        <w:rPr>
          <w:rFonts w:ascii="Times New Roman;Times;Serif" w:hAnsi="Times New Roman;Times;Serif"/>
          <w:b w:val="false"/>
          <w:i w:val="false"/>
          <w:caps w:val="false"/>
          <w:smallCaps w:val="false"/>
          <w:sz w:val="20"/>
        </w:rPr>
        <w:t>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caps w:val="false"/>
          <w:smallCaps w:val="false"/>
          <w:sz w:val="20"/>
        </w:rPr>
        <w:t xml:space="preserve">Application of Proceeds. </w:t>
      </w:r>
      <w:r>
        <w:rPr>
          <w:rFonts w:ascii="Times New Roman;Times;Serif" w:hAnsi="Times New Roman;Times;Serif"/>
          <w:b w:val="false"/>
          <w:i w:val="false"/>
          <w:caps w:val="false"/>
          <w:smallCaps w:val="false"/>
          <w:sz w:val="20"/>
        </w:rPr>
        <w:t>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First: </w:t>
      </w:r>
      <w:r>
        <w:rPr>
          <w:rFonts w:ascii="Times New Roman;Times;Serif" w:hAnsi="Times New Roman;Times;Serif"/>
          <w:b w:val="false"/>
          <w:i w:val="false"/>
          <w:caps w:val="false"/>
          <w:smallCaps w:val="false"/>
          <w:sz w:val="20"/>
        </w:rPr>
        <w:t>To the payment of all amounts due to the Trustee or any predecessor trustee pursuant to Section 6.06;</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Second: </w:t>
      </w:r>
      <w:r>
        <w:rPr>
          <w:rFonts w:ascii="Times New Roman;Times;Serif" w:hAnsi="Times New Roman;Times;Serif"/>
          <w:b w:val="false"/>
          <w:i w:val="false"/>
          <w:caps w:val="false"/>
          <w:smallCaps w:val="false"/>
          <w:sz w:val="20"/>
        </w:rPr>
        <w:t>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Third: </w:t>
      </w:r>
      <w:r>
        <w:rPr>
          <w:rFonts w:ascii="Times New Roman;Times;Serif" w:hAnsi="Times New Roman;Times;Serif"/>
          <w:b w:val="false"/>
          <w:i w:val="false"/>
          <w:caps w:val="false"/>
          <w:smallCaps w:val="false"/>
          <w:sz w:val="20"/>
        </w:rPr>
        <w:t>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Fourth: </w:t>
      </w:r>
      <w:r>
        <w:rPr>
          <w:rFonts w:ascii="Times New Roman;Times;Serif" w:hAnsi="Times New Roman;Times;Serif"/>
          <w:b w:val="false"/>
          <w:i w:val="false"/>
          <w:caps w:val="false"/>
          <w:smallCaps w:val="false"/>
          <w:sz w:val="20"/>
        </w:rPr>
        <w:t>To the payment of the remainder, if any, to the Issuer or any other Person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caps w:val="false"/>
          <w:smallCaps w:val="false"/>
          <w:sz w:val="20"/>
        </w:rPr>
        <w:t>Suits for Enforcement</w:t>
      </w:r>
      <w:r>
        <w:rPr>
          <w:rFonts w:ascii="Times New Roman;Times;Serif" w:hAnsi="Times New Roman;Times;Serif"/>
          <w:b w:val="false"/>
          <w:i w:val="false"/>
          <w:caps w:val="false"/>
          <w:smallCaps w:val="false"/>
          <w:sz w:val="20"/>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caps w:val="false"/>
          <w:smallCaps w:val="false"/>
          <w:sz w:val="20"/>
        </w:rPr>
        <w:t>Restoration of Rights on Abandonment of Proceedings</w:t>
      </w:r>
      <w:r>
        <w:rPr>
          <w:rFonts w:ascii="Times New Roman;Times;Serif" w:hAnsi="Times New Roman;Times;Serif"/>
          <w:b w:val="false"/>
          <w:i w:val="false"/>
          <w:caps w:val="false"/>
          <w:smallCaps w:val="false"/>
          <w:sz w:val="20"/>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caps w:val="false"/>
          <w:smallCaps w:val="false"/>
          <w:sz w:val="20"/>
        </w:rPr>
        <w:t>Limitations on Suits by Securityholders</w:t>
      </w:r>
      <w:r>
        <w:rPr>
          <w:rFonts w:ascii="Times New Roman;Times;Serif" w:hAnsi="Times New Roman;Times;Serif"/>
          <w:b w:val="false"/>
          <w:i w:val="false"/>
          <w:caps w:val="false"/>
          <w:smallCaps w:val="false"/>
          <w:sz w:val="20"/>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caps w:val="false"/>
          <w:smallCaps w:val="false"/>
          <w:sz w:val="20"/>
        </w:rPr>
        <w:t>Unconditional Right of Securityholders to Institute Certain Suits</w:t>
      </w:r>
      <w:r>
        <w:rPr>
          <w:rFonts w:ascii="Times New Roman;Times;Serif" w:hAnsi="Times New Roman;Times;Serif"/>
          <w:b w:val="false"/>
          <w:i w:val="false"/>
          <w:caps w:val="false"/>
          <w:smallCaps w:val="false"/>
          <w:sz w:val="20"/>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caps w:val="false"/>
          <w:smallCaps w:val="false"/>
          <w:sz w:val="20"/>
        </w:rPr>
        <w:t>Powers and Remedies Cumulative; Delay or Omission Not Waiver of Default</w:t>
      </w:r>
      <w:r>
        <w:rPr>
          <w:rFonts w:ascii="Times New Roman;Times;Serif" w:hAnsi="Times New Roman;Times;Serif"/>
          <w:b w:val="false"/>
          <w:i w:val="false"/>
          <w:caps w:val="false"/>
          <w:smallCaps w:val="false"/>
          <w:sz w:val="20"/>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caps w:val="false"/>
          <w:smallCaps w:val="false"/>
          <w:sz w:val="20"/>
        </w:rPr>
        <w:t>Control by Holders of Securities</w:t>
      </w:r>
      <w:r>
        <w:rPr>
          <w:rFonts w:ascii="Times New Roman;Times;Serif" w:hAnsi="Times New Roman;Times;Serif"/>
          <w:b w:val="false"/>
          <w:i w:val="false"/>
          <w:caps w:val="false"/>
          <w:smallCaps w:val="false"/>
          <w:sz w:val="20"/>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shall impair the right of the Trustee in its discretion to take any action deemed proper by the Trustee and which is not inconsistent with such direction or directions by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caps w:val="false"/>
          <w:smallCaps w:val="false"/>
          <w:sz w:val="20"/>
        </w:rPr>
        <w:t>Trustee to Give Notice of Default</w:t>
      </w:r>
      <w:r>
        <w:rPr>
          <w:rFonts w:ascii="Times New Roman;Times;Serif" w:hAnsi="Times New Roman;Times;Serif"/>
          <w:b w:val="false"/>
          <w:i w:val="false"/>
          <w:caps w:val="false"/>
          <w:smallCaps w:val="false"/>
          <w:sz w:val="20"/>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Times;Serif" w:hAnsi="Times New Roman;Times;Serif"/>
          <w:b/>
          <w:i w:val="false"/>
          <w:caps w:val="false"/>
          <w:smallCaps w:val="false"/>
          <w:sz w:val="20"/>
        </w:rPr>
        <w:t>defaults</w:t>
      </w:r>
      <w:r>
        <w:rPr>
          <w:rFonts w:ascii="Times New Roman;Times;Serif" w:hAnsi="Times New Roman;Times;Serif"/>
          <w:b w:val="false"/>
          <w:i w:val="false"/>
          <w:caps w:val="false"/>
          <w:smallCaps w:val="false"/>
          <w:sz w:val="20"/>
        </w:rPr>
        <w:t xml:space="preserve">” for the purpose of this Section being hereby defined to mean any event or condition which is, or with notice or lapse of time or both would become, an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caps w:val="false"/>
          <w:smallCaps w:val="false"/>
          <w:sz w:val="20"/>
        </w:rPr>
        <w:t>Right of Court to Require Filing of Undertaking to Pay Costs</w:t>
      </w:r>
      <w:r>
        <w:rPr>
          <w:rFonts w:ascii="Times New Roman;Times;Serif" w:hAnsi="Times New Roman;Times;Serif"/>
          <w:b w:val="false"/>
          <w:i w:val="false"/>
          <w:caps w:val="false"/>
          <w:smallCaps w:val="false"/>
          <w:sz w:val="20"/>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b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Duties and Responsibilities of the Trustee; During Default; Prior to Default</w:t>
      </w:r>
      <w:r>
        <w:rPr>
          <w:rFonts w:ascii="Times New Roman;Times;Serif" w:hAnsi="Times New Roman;Times;Serif"/>
          <w:b w:val="false"/>
          <w:i w:val="false"/>
          <w:caps w:val="false"/>
          <w:smallCaps w:val="false"/>
          <w:sz w:val="20"/>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 xml:space="preserve">Certain Rights of the Trustee. </w:t>
      </w:r>
      <w:r>
        <w:rPr>
          <w:rFonts w:ascii="Times New Roman;Times;Serif" w:hAnsi="Times New Roman;Times;Serif"/>
          <w:b w:val="false"/>
          <w:i w:val="false"/>
          <w:caps w:val="false"/>
          <w:smallCaps w:val="false"/>
          <w:sz w:val="20"/>
        </w:rPr>
        <w:t>In furtherance of and subject to the Trust Indenture Act of 1939 and subject to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liable for any action taken or omitted by it in good faith and believed by it to be authorized or within the discretion,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 xml:space="preserve">Trustee Not Responsible for Recitals, Disposition of Securities or Application of Proceeds Thereof. </w:t>
      </w:r>
      <w:r>
        <w:rPr>
          <w:rFonts w:ascii="Times New Roman;Times;Serif" w:hAnsi="Times New Roman;Times;Serif"/>
          <w:b w:val="false"/>
          <w:i w:val="false"/>
          <w:caps w:val="false"/>
          <w:smallCaps w:val="false"/>
          <w:sz w:val="20"/>
        </w:rPr>
        <w:t>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rPr>
        <w:t xml:space="preserve">Trustee and Agents May Hold Securities; Collections, Etc. </w:t>
      </w:r>
      <w:r>
        <w:rPr>
          <w:rFonts w:ascii="Times New Roman;Times;Serif" w:hAnsi="Times New Roman;Times;Serif"/>
          <w:b w:val="false"/>
          <w:i w:val="false"/>
          <w:caps w:val="false"/>
          <w:smallCaps w:val="false"/>
          <w:sz w:val="20"/>
        </w:rPr>
        <w:t>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rPr>
        <w:t xml:space="preserve">Moneys Held by Trustee. </w:t>
      </w:r>
      <w:r>
        <w:rPr>
          <w:rFonts w:ascii="Times New Roman;Times;Serif" w:hAnsi="Times New Roman;Times;Serif"/>
          <w:b w:val="false"/>
          <w:i w:val="false"/>
          <w:caps w:val="false"/>
          <w:smallCaps w:val="false"/>
          <w:sz w:val="20"/>
        </w:rPr>
        <w:t>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rPr>
        <w:t xml:space="preserve">Compensation and Indemnification of Trustee and Its Prior Claim. </w:t>
      </w:r>
      <w:r>
        <w:rPr>
          <w:rFonts w:ascii="Times New Roman;Times;Serif" w:hAnsi="Times New Roman;Times;Serif"/>
          <w:b w:val="false"/>
          <w:i w:val="false"/>
          <w:caps w:val="false"/>
          <w:smallCaps w:val="false"/>
          <w:sz w:val="20"/>
        </w:rPr>
        <w:t>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rPr>
        <w:t xml:space="preserve">Right of Trustee to Rely on Officer’s Certificate, Etc. </w:t>
      </w:r>
      <w:r>
        <w:rPr>
          <w:rFonts w:ascii="Times New Roman;Times;Serif" w:hAnsi="Times New Roman;Times;Serif"/>
          <w:b w:val="false"/>
          <w:i w:val="false"/>
          <w:caps w:val="false"/>
          <w:smallCaps w:val="false"/>
          <w:sz w:val="20"/>
        </w:rPr>
        <w:t>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rPr>
        <w:t xml:space="preserve">Disqualification; Conflicting Interests. </w:t>
      </w: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Issuer shall in all respects comply with the provisions of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rPr>
        <w:t xml:space="preserve">Persons Eligible for Appointment as Trustee. </w:t>
      </w:r>
      <w:r>
        <w:rPr>
          <w:rFonts w:ascii="Times New Roman;Times;Serif" w:hAnsi="Times New Roman;Times;Serif"/>
          <w:b w:val="false"/>
          <w:i w:val="false"/>
          <w:caps w:val="false"/>
          <w:smallCaps w:val="false"/>
          <w:sz w:val="20"/>
        </w:rPr>
        <w:t>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 xml:space="preserve">Resignation and Removal; Appointment of Successor Trustee. </w:t>
      </w:r>
      <w:r>
        <w:rPr>
          <w:rFonts w:ascii="Times New Roman;Times;Serif" w:hAnsi="Times New Roman;Times;Serif"/>
          <w:b w:val="false"/>
          <w:i w:val="false"/>
          <w:caps w:val="false"/>
          <w:smallCaps w:val="false"/>
          <w:sz w:val="20"/>
        </w:rPr>
        <w:t>(a)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310(a) of the Trust Indenture Act of 1939 and shall fail to resign after written request therefor by the Issuer or by any Securityholder;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 xml:space="preserve">Acceptance of Appointment by Successor Trustee. </w:t>
      </w:r>
      <w:r>
        <w:rPr>
          <w:rFonts w:ascii="Times New Roman;Times;Serif" w:hAnsi="Times New Roman;Times;Serif"/>
          <w:b w:val="false"/>
          <w:i w:val="false"/>
          <w:caps w:val="false"/>
          <w:smallCaps w:val="false"/>
          <w:sz w:val="20"/>
        </w:rPr>
        <w:t>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caps w:val="false"/>
          <w:smallCaps w:val="false"/>
          <w:sz w:val="20"/>
        </w:rPr>
        <w:t xml:space="preserve">Merger, Conversion, Consolidation or Succession to Business of Trustee. </w:t>
      </w:r>
      <w:r>
        <w:rPr>
          <w:rFonts w:ascii="Times New Roman;Times;Serif" w:hAnsi="Times New Roman;Times;Serif"/>
          <w:b w:val="false"/>
          <w:i w:val="false"/>
          <w:caps w:val="false"/>
          <w:smallCaps w:val="false"/>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caps w:val="false"/>
          <w:smallCaps w:val="false"/>
          <w:sz w:val="20"/>
        </w:rPr>
        <w:t>Preferential Collection of Claims Against the Issuer</w:t>
      </w:r>
      <w:r>
        <w:rPr>
          <w:rFonts w:ascii="Times New Roman;Times;Serif" w:hAnsi="Times New Roman;Times;Serif"/>
          <w:b w:val="false"/>
          <w:i w:val="false"/>
          <w:caps w:val="false"/>
          <w:smallCaps w:val="false"/>
          <w:sz w:val="20"/>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br/>
        <w:t>CONCERNING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rPr>
        <w:t xml:space="preserve">Evidence of Action Taken by Securityholders. </w:t>
      </w:r>
      <w:r>
        <w:rPr>
          <w:rFonts w:ascii="Times New Roman;Times;Serif" w:hAnsi="Times New Roman;Times;Serif"/>
          <w:b w:val="false"/>
          <w:i w:val="false"/>
          <w:caps w:val="false"/>
          <w:smallCaps w:val="false"/>
          <w:sz w:val="20"/>
        </w:rPr>
        <w:t>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rPr>
        <w:t xml:space="preserve">Proof of Execution of Instruments and of Holding of Securities. </w:t>
      </w:r>
      <w:r>
        <w:rPr>
          <w:rFonts w:ascii="Times New Roman;Times;Serif" w:hAnsi="Times New Roman;Times;Serif"/>
          <w:b w:val="false"/>
          <w:i w:val="false"/>
          <w:caps w:val="false"/>
          <w:smallCaps w:val="false"/>
          <w:sz w:val="20"/>
        </w:rPr>
        <w:t>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caps w:val="false"/>
          <w:smallCaps w:val="false"/>
          <w:sz w:val="20"/>
        </w:rPr>
        <w:t xml:space="preserve">Holders to Be Treated as Owners. </w:t>
      </w:r>
      <w:r>
        <w:rPr>
          <w:rFonts w:ascii="Times New Roman;Times;Serif" w:hAnsi="Times New Roman;Times;Serif"/>
          <w:b w:val="false"/>
          <w:i w:val="false"/>
          <w:caps w:val="false"/>
          <w:smallCaps w:val="false"/>
          <w:sz w:val="20"/>
        </w:rPr>
        <w:t>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caps w:val="false"/>
          <w:smallCaps w:val="false"/>
          <w:sz w:val="20"/>
        </w:rPr>
        <w:t xml:space="preserve">Securities Owned by Issuer Deemed Not Outstanding. </w:t>
      </w:r>
      <w:r>
        <w:rPr>
          <w:rFonts w:ascii="Times New Roman;Times;Serif" w:hAnsi="Times New Roman;Times;Serif"/>
          <w:b w:val="false"/>
          <w:i w:val="false"/>
          <w:caps w:val="false"/>
          <w:smallCaps w:val="false"/>
          <w:sz w:val="20"/>
        </w:rPr>
        <w:t>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caps w:val="false"/>
          <w:smallCaps w:val="false"/>
          <w:sz w:val="20"/>
        </w:rPr>
        <w:t xml:space="preserve">Right of Revocation of Action Taken. </w:t>
      </w:r>
      <w:r>
        <w:rPr>
          <w:rFonts w:ascii="Times New Roman;Times;Serif" w:hAnsi="Times New Roman;Times;Serif"/>
          <w:b w:val="false"/>
          <w:i w:val="false"/>
          <w:caps w:val="false"/>
          <w:smallCaps w:val="false"/>
          <w:sz w:val="20"/>
        </w:rPr>
        <w:t>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rPr>
        <w:t xml:space="preserve">Supplemental Indentures Without Consent of Securityholders. </w:t>
      </w:r>
      <w:r>
        <w:rPr>
          <w:rFonts w:ascii="Times New Roman;Times;Serif" w:hAnsi="Times New Roman;Times;Serif"/>
          <w:b w:val="false"/>
          <w:i w:val="false"/>
          <w:caps w:val="false"/>
          <w:smallCaps w:val="false"/>
          <w:sz w:val="20"/>
        </w:rPr>
        <w:t>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convey, transfer, assign, mortgage or pledge to the Trustee as security for the Securities of one or more series any property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evidence the succession of another Person to the Issuer, or successive successions, and the assumption by such successor of the covenants, agreements and obligations of the Issuer pursuant to, or to otherwise comply with,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comply with the requirements of the Commission in order to effect or maintain the qualification of this Indenture under the Trust Indenture Act of 1939,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cure any ambiguity, defect or inconsistency, or to conform this Indenture or any supplemental indenture to the description of the Securities set forth in any prospectus, prospectus supplement or offering memorandum related to such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or add guarantors for the Securities of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establish the form or terms of Securities of any series as permitted by Sections 2.01 and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make any change to the Securities of any series so long as no Securities of such series are Outstanding;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make any other change that does not adversely affect the interests of the Holders of the Securities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without the consent of the Holders of any of the Securities at the time Outstanding, notwithstanding any of the provisions of Section 8.02.</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rPr>
        <w:t xml:space="preserve">Supplemental Indentures With Consent of Securityholders. </w:t>
      </w:r>
      <w:r>
        <w:rPr>
          <w:rFonts w:ascii="Times New Roman;Times;Serif" w:hAnsi="Times New Roman;Times;Serif"/>
          <w:b w:val="false"/>
          <w:i w:val="false"/>
          <w:caps w:val="false"/>
          <w:smallCaps w:val="false"/>
          <w:sz w:val="20"/>
        </w:rPr>
        <w:t xml:space="preserve">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caps w:val="false"/>
          <w:smallCaps w:val="false"/>
          <w:sz w:val="20"/>
        </w:rPr>
        <w:t xml:space="preserve">Effect of Supplemental Indenture. </w:t>
      </w:r>
      <w:r>
        <w:rPr>
          <w:rFonts w:ascii="Times New Roman;Times;Serif" w:hAnsi="Times New Roman;Times;Serif"/>
          <w:b w:val="false"/>
          <w:i w:val="false"/>
          <w:caps w:val="false"/>
          <w:smallCaps w:val="false"/>
          <w:sz w:val="20"/>
        </w:rPr>
        <w:t>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caps w:val="false"/>
          <w:smallCaps w:val="false"/>
          <w:sz w:val="20"/>
        </w:rPr>
        <w:t xml:space="preserve">Documents to Be Given to Trustee. </w:t>
      </w:r>
      <w:r>
        <w:rPr>
          <w:rFonts w:ascii="Times New Roman;Times;Serif" w:hAnsi="Times New Roman;Times;Serif"/>
          <w:b w:val="false"/>
          <w:i w:val="false"/>
          <w:caps w:val="false"/>
          <w:smallCaps w:val="false"/>
          <w:sz w:val="20"/>
        </w:rPr>
        <w:t>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caps w:val="false"/>
          <w:smallCaps w:val="false"/>
          <w:sz w:val="20"/>
        </w:rPr>
        <w:t xml:space="preserve">Notation on Securities in Respect of Supplemental Indentures. </w:t>
      </w:r>
      <w:r>
        <w:rPr>
          <w:rFonts w:ascii="Times New Roman;Times;Serif" w:hAnsi="Times New Roman;Times;Serif"/>
          <w:b w:val="false"/>
          <w:i w:val="false"/>
          <w:caps w:val="false"/>
          <w:smallCaps w:val="false"/>
          <w:sz w:val="20"/>
        </w:rPr>
        <w:t>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br/>
        <w:t>CONSOLIDATION, MERGER, SALE OR CONVEYANCE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caps w:val="false"/>
          <w:smallCaps w:val="false"/>
          <w:sz w:val="20"/>
        </w:rPr>
        <w:t xml:space="preserve">Issuer May Consolidate, Etc., on Certain Terms. </w:t>
      </w:r>
      <w:r>
        <w:rPr>
          <w:rFonts w:ascii="Times New Roman;Times;Serif" w:hAnsi="Times New Roman;Times;Serif"/>
          <w:b w:val="false"/>
          <w:i w:val="false"/>
          <w:caps w:val="false"/>
          <w:smallCaps w:val="false"/>
          <w:sz w:val="20"/>
        </w:rPr>
        <w:t>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caps w:val="false"/>
          <w:smallCaps w:val="false"/>
          <w:sz w:val="20"/>
        </w:rPr>
        <w:t xml:space="preserve">Successor Issuer Substituted. </w:t>
      </w:r>
      <w:r>
        <w:rPr>
          <w:rFonts w:ascii="Times New Roman;Times;Serif" w:hAnsi="Times New Roman;Times;Serif"/>
          <w:b w:val="false"/>
          <w:i w:val="false"/>
          <w:caps w:val="false"/>
          <w:smallCaps w:val="false"/>
          <w:sz w:val="20"/>
        </w:rPr>
        <w:t>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lease or conveyance, such changes in phraseology and form (but not in substance) may be made in the Securities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br/>
        <w:t>SATISFACTION AND DISCHARGE OF INDENTURE; DEFEASANCE;</w:t>
        <w:br/>
        <w:t>UNCLAIMED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caps w:val="false"/>
          <w:smallCaps w:val="false"/>
          <w:sz w:val="20"/>
        </w:rPr>
        <w:t>Satisfaction and Discharge of Indenture; Defeasance.</w:t>
      </w:r>
      <w:r>
        <w:rPr>
          <w:rFonts w:ascii="Times New Roman;Times;Serif" w:hAnsi="Times New Roman;Times;Serif"/>
          <w:b w:val="false"/>
          <w:i w:val="false"/>
          <w:caps w:val="false"/>
          <w:smallCaps w:val="false"/>
          <w:sz w:val="20"/>
        </w:rPr>
        <w:t xml:space="preserve"> (a)  If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Times New Roman;Times;Serif" w:hAnsi="Times New Roman;Times;Serif"/>
          <w:b/>
          <w:i w:val="false"/>
          <w:caps w:val="false"/>
          <w:smallCaps w:val="false"/>
          <w:sz w:val="20"/>
        </w:rPr>
        <w:t>Legal Defeasance</w:t>
      </w:r>
      <w:r>
        <w:rPr>
          <w:rFonts w:ascii="Times New Roman;Times;Serif" w:hAnsi="Times New Roman;Times;Serif"/>
          <w:b w:val="false"/>
          <w:i w:val="false"/>
          <w:caps w:val="false"/>
          <w:smallCaps w:val="false"/>
          <w:sz w:val="20"/>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Times New Roman;Times;Serif" w:hAnsi="Times New Roman;Times;Serif"/>
          <w:b/>
          <w:i w:val="false"/>
          <w:caps w:val="false"/>
          <w:smallCaps w:val="false"/>
          <w:sz w:val="20"/>
        </w:rPr>
        <w:t>Covenant Defeasance</w:t>
      </w:r>
      <w:r>
        <w:rPr>
          <w:rFonts w:ascii="Times New Roman;Times;Serif" w:hAnsi="Times New Roman;Times;Serif"/>
          <w:b w:val="false"/>
          <w:i w:val="false"/>
          <w:caps w:val="false"/>
          <w:smallCaps w:val="false"/>
          <w:sz w:val="20"/>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shall be the conditions to the application of Legal Defeasance (to the extent set forth in subsection (b)), or Covenant Defeasance (to the extent set forth in subsection (c)) to the Securities of the applicable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delivers to the Trustee an Officer’s Certificate stating that all conditions precedent specified herein relating to Legal Defeasance or Covenant Defeasance, as the case may be, have been complied with, and an Opinion of Counsel to the same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Event of Default under subsection (a), (b), (d) or (e) of Section 5.01 shall have occurred and be continuing, and no event which with notice or lapse of time or both would become such an Event of Default shall have occurred and be continuing, on the date of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 other provisions of this subsection (d), such defeasance shall be effected in compliance with any additional or substitute terms, conditions or limitations that may be imposed on the Issuer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caps w:val="false"/>
          <w:smallCaps w:val="false"/>
          <w:sz w:val="20"/>
        </w:rPr>
        <w:t xml:space="preserve">Application by Trustee of Funds Deposited for Payment of Securities. </w:t>
      </w:r>
      <w:r>
        <w:rPr>
          <w:rFonts w:ascii="Times New Roman;Times;Serif" w:hAnsi="Times New Roman;Times;Serif"/>
          <w:b w:val="false"/>
          <w:i w:val="false"/>
          <w:caps w:val="false"/>
          <w:smallCaps w:val="false"/>
          <w:sz w:val="20"/>
        </w:rPr>
        <w:t>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caps w:val="false"/>
          <w:smallCaps w:val="false"/>
          <w:sz w:val="20"/>
        </w:rPr>
        <w:t xml:space="preserve">Repayment of Moneys Held by Paying Agent. </w:t>
      </w:r>
      <w:r>
        <w:rPr>
          <w:rFonts w:ascii="Times New Roman;Times;Serif" w:hAnsi="Times New Roman;Times;Serif"/>
          <w:b w:val="false"/>
          <w:i w:val="false"/>
          <w:caps w:val="false"/>
          <w:smallCaps w:val="false"/>
          <w:sz w:val="20"/>
        </w:rPr>
        <w:t>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caps w:val="false"/>
          <w:smallCaps w:val="false"/>
          <w:sz w:val="20"/>
        </w:rPr>
        <w:t xml:space="preserve">Return of Moneys Held by Trustee and Paying Agent Unclaimed for Two Years. </w:t>
      </w:r>
      <w:r>
        <w:rPr>
          <w:rFonts w:ascii="Times New Roman;Times;Serif" w:hAnsi="Times New Roman;Times;Serif"/>
          <w:b w:val="false"/>
          <w:i w:val="false"/>
          <w:caps w:val="false"/>
          <w:smallCaps w:val="false"/>
          <w:sz w:val="20"/>
        </w:rPr>
        <w:t>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caps w:val="false"/>
          <w:smallCaps w:val="false"/>
          <w:sz w:val="20"/>
        </w:rPr>
        <w:t xml:space="preserve">Indemnity for U.S. Government Obligations and Foreign Government Obligations. </w:t>
      </w: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caps w:val="false"/>
          <w:smallCaps w:val="false"/>
          <w:sz w:val="20"/>
        </w:rPr>
        <w:t xml:space="preserve">No Recourse. </w:t>
      </w: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caps w:val="false"/>
          <w:smallCaps w:val="false"/>
          <w:sz w:val="20"/>
        </w:rPr>
        <w:t xml:space="preserve">Provisions of Indenture for the Sole Benefit of Parties and Holders of Securities. </w:t>
      </w:r>
      <w:r>
        <w:rPr>
          <w:rFonts w:ascii="Times New Roman;Times;Serif" w:hAnsi="Times New Roman;Times;Serif"/>
          <w:b w:val="false"/>
          <w:i w:val="false"/>
          <w:caps w:val="false"/>
          <w:smallCaps w:val="false"/>
          <w:sz w:val="20"/>
        </w:rPr>
        <w:t>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caps w:val="false"/>
          <w:smallCaps w:val="false"/>
          <w:sz w:val="20"/>
        </w:rPr>
        <w:t xml:space="preserve">Successors and Assigns of Issuer Bound by Indenture. </w:t>
      </w:r>
      <w:r>
        <w:rPr>
          <w:rFonts w:ascii="Times New Roman;Times;Serif" w:hAnsi="Times New Roman;Times;Serif"/>
          <w:b w:val="false"/>
          <w:i w:val="false"/>
          <w:caps w:val="false"/>
          <w:smallCaps w:val="false"/>
          <w:sz w:val="20"/>
        </w:rPr>
        <w:t>All the covenants, stipulations, promises and agreements contained in this Indenture by or on behalf of the Issuer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caps w:val="false"/>
          <w:smallCaps w:val="false"/>
          <w:sz w:val="20"/>
        </w:rPr>
        <w:t xml:space="preserve">Notices and Demands on Issuer, Trustee and Holders of Securities. </w:t>
      </w:r>
      <w:r>
        <w:rPr>
          <w:rFonts w:ascii="Times New Roman;Times;Serif" w:hAnsi="Times New Roman;Times;Serif"/>
          <w:b w:val="false"/>
          <w:i w:val="false"/>
          <w:caps w:val="false"/>
          <w:smallCaps w:val="false"/>
          <w:sz w:val="20"/>
        </w:rPr>
        <w:t>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Editas Medicine, Inc., 11 Hurley St., Cambridge, MA 02141, Attn: Chief Financial Officer. Any notice, direction, request or demand by the Issuer or any Holder of Securities to or upon the Trustee shall be deemed to have been sufficiently given or made, for all purposes, if given or made at _______, ________, Attn: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give notice, nor any defect in any notice so given, to any particular Holder of a Security shall affect the sufficiency of such notice with respect to other Holders of Securities given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caps w:val="false"/>
          <w:smallCaps w:val="false"/>
          <w:sz w:val="20"/>
        </w:rPr>
        <w:t xml:space="preserve">Officer’s Certificates and Opinions of Counsel; Statements to Be Contained Therein. </w:t>
      </w:r>
      <w:r>
        <w:rPr>
          <w:rFonts w:ascii="Times New Roman;Times;Serif" w:hAnsi="Times New Roman;Times;Serif"/>
          <w:b w:val="false"/>
          <w:i w:val="false"/>
          <w:caps w:val="false"/>
          <w:smallCaps w:val="false"/>
          <w:sz w:val="20"/>
        </w:rPr>
        <w:t>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any independent firm of public accountants filed with and directed to the Trustee shall contain a statement that such firm is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caps w:val="false"/>
          <w:smallCaps w:val="false"/>
          <w:sz w:val="20"/>
        </w:rPr>
        <w:t xml:space="preserve">Payments Due on Saturdays, Sundays and Holidays. </w:t>
      </w:r>
      <w:r>
        <w:rPr>
          <w:rFonts w:ascii="Times New Roman;Times;Serif" w:hAnsi="Times New Roman;Times;Serif"/>
          <w:b w:val="false"/>
          <w:i w:val="false"/>
          <w:caps w:val="false"/>
          <w:smallCaps w:val="false"/>
          <w:sz w:val="20"/>
        </w:rPr>
        <w:t>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caps w:val="false"/>
          <w:smallCaps w:val="false"/>
          <w:sz w:val="20"/>
        </w:rPr>
        <w:t xml:space="preserve">Conflict of Any Provision of Indenture With Trust Indenture Act of 1939. </w:t>
      </w:r>
      <w:r>
        <w:rPr>
          <w:rFonts w:ascii="Times New Roman;Times;Serif" w:hAnsi="Times New Roman;Times;Serif"/>
          <w:b w:val="false"/>
          <w:i w:val="false"/>
          <w:caps w:val="false"/>
          <w:smallCaps w:val="false"/>
          <w:sz w:val="20"/>
        </w:rPr>
        <w:t>If and to the extent that any provision of this Indenture limits, qualifies or conflicts with another provision included in this Indenture by operation of Sections 310 to 317, inclusive, of the Trust Indenture Act of 1939, such incorporated provision shall control.</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       </w:t>
      </w:r>
      <w:r>
        <w:rPr>
          <w:rFonts w:ascii="Times New Roman;Times;Serif" w:hAnsi="Times New Roman;Times;Serif"/>
          <w:b w:val="false"/>
          <w:i/>
          <w:caps w:val="false"/>
          <w:smallCaps w:val="false"/>
          <w:sz w:val="20"/>
        </w:rPr>
        <w:t xml:space="preserve">New York Law to Govern. </w:t>
      </w:r>
      <w:r>
        <w:rPr>
          <w:rFonts w:ascii="Times New Roman;Times;Serif" w:hAnsi="Times New Roman;Times;Serif"/>
          <w:b w:val="false"/>
          <w:i w:val="false"/>
          <w:caps w:val="false"/>
          <w:smallCaps w:val="false"/>
          <w:sz w:val="20"/>
        </w:rPr>
        <w:t>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       </w:t>
      </w:r>
      <w:r>
        <w:rPr>
          <w:rFonts w:ascii="Times New Roman;Times;Serif" w:hAnsi="Times New Roman;Times;Serif"/>
          <w:b w:val="false"/>
          <w:i/>
          <w:caps w:val="false"/>
          <w:smallCaps w:val="false"/>
          <w:sz w:val="20"/>
        </w:rPr>
        <w:t xml:space="preserve">Counterparts. </w:t>
      </w: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caps w:val="false"/>
          <w:smallCaps w:val="false"/>
          <w:sz w:val="20"/>
        </w:rPr>
        <w:t xml:space="preserve">Effect of Headings. </w:t>
      </w: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       </w:t>
      </w:r>
      <w:r>
        <w:rPr>
          <w:rFonts w:ascii="Times New Roman;Times;Serif" w:hAnsi="Times New Roman;Times;Serif"/>
          <w:b w:val="false"/>
          <w:i/>
          <w:caps w:val="false"/>
          <w:smallCaps w:val="false"/>
          <w:sz w:val="20"/>
        </w:rPr>
        <w:t>Actions by Successor</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w:t>
        <w:br/>
        <w:t>REDEMPTION OF SECURITIES AND 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caps w:val="false"/>
          <w:smallCaps w:val="false"/>
          <w:sz w:val="20"/>
        </w:rPr>
        <w:t xml:space="preserve">Applicability of Article. </w:t>
      </w:r>
      <w:r>
        <w:rPr>
          <w:rFonts w:ascii="Times New Roman;Times;Serif" w:hAnsi="Times New Roman;Times;Serif"/>
          <w:b w:val="false"/>
          <w:i w:val="false"/>
          <w:caps w:val="false"/>
          <w:smallCaps w:val="false"/>
          <w:sz w:val="20"/>
        </w:rPr>
        <w:t>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caps w:val="false"/>
          <w:smallCaps w:val="false"/>
          <w:sz w:val="20"/>
        </w:rPr>
        <w:t xml:space="preserve">Notice of Redemption; Partial Redemptions. </w:t>
      </w:r>
      <w:r>
        <w:rPr>
          <w:rFonts w:ascii="Times New Roman;Times;Serif" w:hAnsi="Times New Roman;Times;Serif"/>
          <w:b w:val="false"/>
          <w:i w:val="false"/>
          <w:caps w:val="false"/>
          <w:smallCaps w:val="false"/>
          <w:sz w:val="20"/>
        </w:rPr>
        <w:t>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Issuer shall be given by the Issuer or, at the Issuer’s request, by the Trustee in the name and at the expense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caps w:val="false"/>
          <w:smallCaps w:val="false"/>
          <w:sz w:val="20"/>
        </w:rPr>
        <w:t xml:space="preserve">Payment of Securities Called for Redemption. </w:t>
      </w:r>
      <w:r>
        <w:rPr>
          <w:rFonts w:ascii="Times New Roman;Times;Serif" w:hAnsi="Times New Roman;Times;Serif"/>
          <w:b w:val="false"/>
          <w:i w:val="false"/>
          <w:caps w:val="false"/>
          <w:smallCaps w:val="false"/>
          <w:sz w:val="20"/>
        </w:rPr>
        <w:t xml:space="preserve">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payment of interest becoming due on or prior to the date fixed for redemption shall be payable to the Holders of such Securities registered as such on the relevant record date subject to the terms and provisions of Sections 2.03 and 2.07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caps w:val="false"/>
          <w:smallCaps w:val="false"/>
          <w:sz w:val="20"/>
        </w:rPr>
        <w:t xml:space="preserve">Exclusion of Certain Securities from Eligibility for Selection for Redemption. </w:t>
      </w:r>
      <w:r>
        <w:rPr>
          <w:rFonts w:ascii="Times New Roman;Times;Serif" w:hAnsi="Times New Roman;Times;Serif"/>
          <w:b w:val="false"/>
          <w:i w:val="false"/>
          <w:caps w:val="false"/>
          <w:smallCaps w:val="false"/>
          <w:sz w:val="20"/>
        </w:rPr>
        <w:t>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caps w:val="false"/>
          <w:smallCaps w:val="false"/>
          <w:sz w:val="20"/>
        </w:rPr>
        <w:t xml:space="preserve">Mandatory and Optional Sinking Funds. </w:t>
      </w: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if the Trustee is not the conversion agent for the Securities, the Issuer or such conversion agent shall give the Trustee written notice on or prior to the date fixed for redemption of the principal amount of Securities or portions thereof so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each sinking fund payment date, the Issuer shall pay to the Trustee in cash or shall otherwise provide for the payment of all interest accrued to the date fixed for redemption on Securities to be redeemed on such sinking fund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13</w:t>
        <w:br/>
        <w:t>SUBORDINATION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caps w:val="false"/>
          <w:smallCaps w:val="false"/>
          <w:sz w:val="20"/>
        </w:rPr>
        <w:t xml:space="preserve">Agreement of Subordination. </w:t>
      </w:r>
      <w:r>
        <w:rPr>
          <w:rFonts w:ascii="Times New Roman;Times;Serif" w:hAnsi="Times New Roman;Times;Serif"/>
          <w:b w:val="false"/>
          <w:i w:val="false"/>
          <w:caps w:val="false"/>
          <w:smallCaps w:val="false"/>
          <w:sz w:val="20"/>
        </w:rPr>
        <w:t>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13 define the subordination of the Securities, as obligations of the Issuer, with respect to Senior Indebtedness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Article 13 shall prevent the occurrence of any default or Event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w:t>
      </w:r>
      <w:r>
        <w:rPr>
          <w:rFonts w:ascii="Times New Roman;Times;Serif" w:hAnsi="Times New Roman;Times;Serif"/>
          <w:b w:val="false"/>
          <w:i/>
          <w:caps w:val="false"/>
          <w:smallCaps w:val="false"/>
          <w:sz w:val="20"/>
        </w:rPr>
        <w:t xml:space="preserve">Payments to Securityholders. </w:t>
      </w:r>
      <w:r>
        <w:rPr>
          <w:rFonts w:ascii="Times New Roman;Times;Serif" w:hAnsi="Times New Roman;Times;Serif"/>
          <w:b w:val="false"/>
          <w:i w:val="false"/>
          <w:caps w:val="false"/>
          <w:smallCaps w:val="false"/>
          <w:sz w:val="20"/>
        </w:rPr>
        <w:t>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 of such default and payments made pursuant to Article 10 hereof from monies deposited with the Trustee pursuant thereto prior to the happening of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w:t>
      </w:r>
      <w:r>
        <w:rPr>
          <w:rFonts w:ascii="Times New Roman;Times;Serif" w:hAnsi="Times New Roman;Times;Serif"/>
          <w:b w:val="false"/>
          <w:i/>
          <w:caps w:val="false"/>
          <w:smallCaps w:val="false"/>
          <w:sz w:val="20"/>
        </w:rPr>
        <w:t xml:space="preserve">Subrogation of Securities. </w:t>
      </w:r>
      <w:r>
        <w:rPr>
          <w:rFonts w:ascii="Times New Roman;Times;Serif" w:hAnsi="Times New Roman;Times;Serif"/>
          <w:b w:val="false"/>
          <w:i w:val="false"/>
          <w:caps w:val="false"/>
          <w:smallCaps w:val="false"/>
          <w:sz w:val="20"/>
        </w:rPr>
        <w:t>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w:t>
      </w:r>
      <w:r>
        <w:rPr>
          <w:rFonts w:ascii="Times New Roman;Times;Serif" w:hAnsi="Times New Roman;Times;Serif"/>
          <w:b w:val="false"/>
          <w:i/>
          <w:caps w:val="false"/>
          <w:smallCaps w:val="false"/>
          <w:sz w:val="20"/>
        </w:rPr>
        <w:t xml:space="preserve">Authorization by Securityholders. </w:t>
      </w:r>
      <w:r>
        <w:rPr>
          <w:rFonts w:ascii="Times New Roman;Times;Serif" w:hAnsi="Times New Roman;Times;Serif"/>
          <w:b w:val="false"/>
          <w:i w:val="false"/>
          <w:caps w:val="false"/>
          <w:smallCaps w:val="false"/>
          <w:sz w:val="20"/>
        </w:rPr>
        <w:t>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w:t>
      </w:r>
      <w:r>
        <w:rPr>
          <w:rFonts w:ascii="Times New Roman;Times;Serif" w:hAnsi="Times New Roman;Times;Serif"/>
          <w:b w:val="false"/>
          <w:i/>
          <w:caps w:val="false"/>
          <w:smallCaps w:val="false"/>
          <w:sz w:val="20"/>
        </w:rPr>
        <w:t xml:space="preserve">Notice to Trustee. </w:t>
      </w:r>
      <w:r>
        <w:rPr>
          <w:rFonts w:ascii="Times New Roman;Times;Serif" w:hAnsi="Times New Roman;Times;Serif"/>
          <w:b w:val="false"/>
          <w:i w:val="false"/>
          <w:caps w:val="false"/>
          <w:smallCaps w:val="false"/>
          <w:sz w:val="20"/>
        </w:rPr>
        <w:t xml:space="preserve">The Issuer shall give prompt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       </w:t>
      </w:r>
      <w:r>
        <w:rPr>
          <w:rFonts w:ascii="Times New Roman;Times;Serif" w:hAnsi="Times New Roman;Times;Serif"/>
          <w:b w:val="false"/>
          <w:i/>
          <w:caps w:val="false"/>
          <w:smallCaps w:val="false"/>
          <w:sz w:val="20"/>
        </w:rPr>
        <w:t xml:space="preserve">Trustee’s Relation to Senior Indebtedness. </w:t>
      </w:r>
      <w:r>
        <w:rPr>
          <w:rFonts w:ascii="Times New Roman;Times;Serif" w:hAnsi="Times New Roman;Times;Serif"/>
          <w:b w:val="false"/>
          <w:i w:val="false"/>
          <w:caps w:val="false"/>
          <w:smallCaps w:val="false"/>
          <w:sz w:val="20"/>
        </w:rPr>
        <w:t>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        </w:t>
      </w:r>
      <w:r>
        <w:rPr>
          <w:rFonts w:ascii="Times New Roman;Times;Serif" w:hAnsi="Times New Roman;Times;Serif"/>
          <w:b w:val="false"/>
          <w:i/>
          <w:caps w:val="false"/>
          <w:smallCaps w:val="false"/>
          <w:sz w:val="20"/>
        </w:rPr>
        <w:t xml:space="preserve">No Impairment of Subordination. </w:t>
      </w:r>
      <w:r>
        <w:rPr>
          <w:rFonts w:ascii="Times New Roman;Times;Serif" w:hAnsi="Times New Roman;Times;Serif"/>
          <w:b w:val="false"/>
          <w:i w:val="false"/>
          <w:caps w:val="false"/>
          <w:smallCaps w:val="false"/>
          <w:sz w:val="20"/>
        </w:rPr>
        <w:t>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       </w:t>
      </w:r>
      <w:r>
        <w:rPr>
          <w:rFonts w:ascii="Times New Roman;Times;Serif" w:hAnsi="Times New Roman;Times;Serif"/>
          <w:b w:val="false"/>
          <w:i/>
          <w:caps w:val="false"/>
          <w:smallCaps w:val="false"/>
          <w:sz w:val="20"/>
        </w:rPr>
        <w:t xml:space="preserve">Rights of Trustee. </w:t>
      </w:r>
      <w:r>
        <w:rPr>
          <w:rFonts w:ascii="Times New Roman;Times;Serif" w:hAnsi="Times New Roman;Times;Serif"/>
          <w:b w:val="false"/>
          <w:i w:val="false"/>
          <w:caps w:val="false"/>
          <w:smallCaps w:val="false"/>
          <w:sz w:val="20"/>
        </w:rPr>
        <w:t>Nothing in this Article 13 shall apply to claims of or payments to, the Trustee pursuant to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_____________.</w:t>
      </w:r>
    </w:p>
    <w:p>
      <w:pPr>
        <w:pStyle w:val="TextBody"/>
        <w:bidi w:val="0"/>
        <w:spacing w:before="0" w:after="0"/>
        <w:ind w:left="0" w:right="0" w:hanging="0"/>
        <w:jc w:val="left"/>
        <w:rPr>
          <w:caps w:val="false"/>
          <w:smallCaps w:val="false"/>
        </w:rPr>
      </w:pPr>
      <w:r>
        <w:rPr>
          <w:caps w:val="false"/>
          <w:smallCaps w:val="false"/>
        </w:rPr>
        <w:t> </w:t>
      </w:r>
    </w:p>
    <w:tbl>
      <w:tblPr>
        <w:tblW w:w="2359" w:type="dxa"/>
        <w:jc w:val="left"/>
        <w:tblInd w:w="0" w:type="dxa"/>
        <w:tblLayout w:type="fixed"/>
        <w:tblCellMar>
          <w:top w:w="0" w:type="dxa"/>
          <w:left w:w="0" w:type="dxa"/>
          <w:bottom w:w="0" w:type="dxa"/>
          <w:right w:w="0" w:type="dxa"/>
        </w:tblCellMar>
      </w:tblPr>
      <w:tblGrid>
        <w:gridCol w:w="75"/>
        <w:gridCol w:w="929"/>
        <w:gridCol w:w="1355"/>
      </w:tblGrid>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EDITAS MEDICINE, INC.</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283"/>
        <w:jc w:val="left"/>
        <w:rPr/>
      </w:pPr>
      <w:r>
        <w:rPr/>
        <w:t> </w:t>
      </w:r>
    </w:p>
    <w:tbl>
      <w:tblPr>
        <w:tblW w:w="860" w:type="dxa"/>
        <w:jc w:val="left"/>
        <w:tblInd w:w="0" w:type="dxa"/>
        <w:tblLayout w:type="fixed"/>
        <w:tblCellMar>
          <w:top w:w="0" w:type="dxa"/>
          <w:left w:w="0" w:type="dxa"/>
          <w:bottom w:w="0" w:type="dxa"/>
          <w:right w:w="0" w:type="dxa"/>
        </w:tblCellMar>
      </w:tblPr>
      <w:tblGrid>
        <w:gridCol w:w="75"/>
        <w:gridCol w:w="60"/>
        <w:gridCol w:w="725"/>
      </w:tblGrid>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Trustee</w:t>
            </w:r>
          </w:p>
        </w:tc>
      </w:tr>
    </w:tbl>
    <w:p>
      <w:pPr>
        <w:pStyle w:val="TextBody"/>
        <w:bidi w:val="0"/>
        <w:spacing w:before="0" w:after="283"/>
        <w:jc w:val="left"/>
        <w:rPr/>
      </w:pPr>
      <w:r>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42" w:name="tm2624301d2_ex4-6.htm"/>
      <w:bookmarkStart w:id="43" w:name="kstm2624301d2_ex46"/>
      <w:bookmarkEnd w:id="42"/>
      <w:bookmarkEnd w:id="43"/>
      <w:r>
        <w:rPr/>
        <w:t> </w:t>
      </w:r>
      <w:r>
        <w:br w:type="page"/>
      </w:r>
    </w:p>
    <w:p>
      <w:pPr>
        <w:pStyle w:val="TextBody"/>
        <w:bidi w:val="0"/>
        <w:spacing w:before="0" w:after="0"/>
        <w:ind w:left="1440" w:right="0" w:hanging="14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Each Global Security shall bear substantially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If the Security has original issue discount for U.S. federal income tax purposes, insert tax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FOR PURPOSES OF SECTIONS 1272, 1273 AND 1275 OF THE INTERNAL REVENUE CODE OF 1986, AS 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Editas Medicine, Inc.</w:t>
      </w:r>
      <w:r>
        <w:rPr>
          <w:rFonts w:ascii="Times New Roman;Times;Serif" w:hAnsi="Times New Roman;Times;Serif"/>
          <w:b w:val="false"/>
          <w:i w:val="false"/>
          <w:caps w:val="false"/>
          <w:smallCaps w:val="false"/>
          <w:sz w:val="20"/>
        </w:rPr>
        <w:br/>
        <w:t>[ Title of Security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560"/>
        <w:gridCol w:w="2255"/>
      </w:tblGrid>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   ]</w:t>
            </w:r>
          </w:p>
        </w:tc>
        <w:tc>
          <w:tcPr>
            <w:tcW w:w="2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CUSIP No.:  [   ]</w:t>
            </w:r>
          </w:p>
        </w:tc>
      </w:tr>
      <w:tr>
        <w:trPr/>
        <w:tc>
          <w:tcPr>
            <w:tcW w:w="560" w:type="dxa"/>
            <w:tcBorders/>
            <w:shd w:fill="FFFFFF" w:val="clear"/>
            <w:vAlign w:val="center"/>
          </w:tcPr>
          <w:p>
            <w:pPr>
              <w:pStyle w:val="TableContents"/>
              <w:bidi w:val="0"/>
              <w:spacing w:before="0" w:after="283"/>
              <w:jc w:val="left"/>
              <w:rPr/>
            </w:pPr>
            <w:r>
              <w:rPr/>
              <w:t> </w:t>
            </w:r>
          </w:p>
        </w:tc>
        <w:tc>
          <w:tcPr>
            <w:tcW w:w="2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[Common Code][ISIN]:   [    ]</w:t>
            </w:r>
          </w:p>
        </w:tc>
      </w:tr>
      <w:tr>
        <w:trPr/>
        <w:tc>
          <w:tcPr>
            <w:tcW w:w="560" w:type="dxa"/>
            <w:tcBorders/>
            <w:shd w:fill="FFFFFF" w:val="clear"/>
            <w:vAlign w:val="center"/>
          </w:tcPr>
          <w:p>
            <w:pPr>
              <w:pStyle w:val="TableContents"/>
              <w:bidi w:val="0"/>
              <w:spacing w:before="0" w:after="283"/>
              <w:jc w:val="left"/>
              <w:rPr/>
            </w:pPr>
            <w:r>
              <w:rPr/>
              <w:t> </w:t>
            </w:r>
          </w:p>
        </w:tc>
        <w:tc>
          <w:tcPr>
            <w:tcW w:w="2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Editas Medicine, Inc.</w:t>
      </w:r>
      <w:r>
        <w:rPr>
          <w:rFonts w:ascii="Times New Roman;Times;Serif" w:hAnsi="Times New Roman;Times;Serif"/>
          <w:b w:val="false"/>
          <w:i w:val="false"/>
          <w:caps w:val="false"/>
          <w:smallCaps w:val="false"/>
          <w:sz w:val="20"/>
        </w:rPr>
        <w:t>, a Delaware corporation (the “Issuer”, which term includes any successor corporation), for value received promises to pay to [</w:t>
      </w:r>
      <w:r>
        <w:rPr>
          <w:rFonts w:ascii="Times New Roman;Times;Serif" w:hAnsi="Times New Roman;Times;Serif"/>
          <w:b w:val="false"/>
          <w:i/>
          <w:caps w:val="false"/>
          <w:smallCaps w:val="false"/>
          <w:sz w:val="20"/>
        </w:rPr>
        <w:t xml:space="preserve">If the Security is a Global Security -- </w:t>
      </w:r>
      <w:r>
        <w:rPr>
          <w:rFonts w:ascii="Times New Roman;Times;Serif" w:hAnsi="Times New Roman;Times;Serif"/>
          <w:b w:val="false"/>
          <w:i w:val="false"/>
          <w:caps w:val="false"/>
          <w:smallCaps w:val="false"/>
          <w:sz w:val="20"/>
        </w:rPr>
        <w:t>CEDE &amp; CO.][</w:t>
      </w:r>
      <w:r>
        <w:rPr>
          <w:rFonts w:ascii="Times New Roman;Times;Serif" w:hAnsi="Times New Roman;Times;Serif"/>
          <w:b w:val="false"/>
          <w:i/>
          <w:caps w:val="false"/>
          <w:smallCaps w:val="false"/>
          <w:sz w:val="20"/>
        </w:rPr>
        <w:t>If the Security is not a Global Security -- __________</w:t>
      </w:r>
      <w:r>
        <w:rPr>
          <w:rFonts w:ascii="Times New Roman;Times;Serif" w:hAnsi="Times New Roman;Times;Serif"/>
          <w:b w:val="false"/>
          <w:i w:val="false"/>
          <w:caps w:val="false"/>
          <w:smallCaps w:val="false"/>
          <w:sz w:val="20"/>
        </w:rPr>
        <w:t>] or registered assigns, the principal sum of __________ on __________,____ (the “Maturity Date”) [</w:t>
      </w:r>
      <w:r>
        <w:rPr>
          <w:rFonts w:ascii="Times New Roman;Times;Serif" w:hAnsi="Times New Roman;Times;Serif"/>
          <w:b w:val="false"/>
          <w:i/>
          <w:caps w:val="false"/>
          <w:smallCaps w:val="false"/>
          <w:sz w:val="20"/>
        </w:rPr>
        <w:t>If the Security is to bear interest prior to maturity, insert--</w:t>
      </w:r>
      <w:r>
        <w:rPr>
          <w:rFonts w:ascii="Times New Roman;Times;Serif" w:hAnsi="Times New Roman;Times;Serif"/>
          <w:b w:val="false"/>
          <w:i w:val="false"/>
          <w:caps w:val="false"/>
          <w:smallCaps w:val="false"/>
          <w:sz w:val="20"/>
        </w:rPr>
        <w:t xml:space="preserve">, and to pay interest thereon from _____________ or from the most recent interest payment date to which interest has been paid or duly provided for, </w:t>
      </w:r>
      <w:r>
        <w:rPr>
          <w:rFonts w:ascii="Times New Roman;Times;Serif" w:hAnsi="Times New Roman;Times;Serif"/>
          <w:b w:val="false"/>
          <w:i/>
          <w:caps w:val="false"/>
          <w:smallCaps w:val="false"/>
          <w:sz w:val="20"/>
        </w:rPr>
        <w:t>[semiannually in arrears on ______ and ______ in each year</w:t>
      </w:r>
      <w:r>
        <w:rPr>
          <w:rFonts w:ascii="Times New Roman;Times;Serif" w:hAnsi="Times New Roman;Times;Serif"/>
          <w:b w:val="false"/>
          <w:i w:val="false"/>
          <w:caps w:val="false"/>
          <w:smallCaps w:val="false"/>
          <w:sz w:val="20"/>
        </w:rPr>
        <w:t>], commencing _________, ____ (each, an “Interest Payment Date”) at the rate of [</w:t>
      </w:r>
      <w:r>
        <w:rPr>
          <w:rFonts w:ascii="Times New Roman;Times;Serif" w:hAnsi="Times New Roman;Times;Serif"/>
          <w:b w:val="false"/>
          <w:i/>
          <w:caps w:val="false"/>
          <w:smallCaps w:val="false"/>
          <w:sz w:val="20"/>
        </w:rPr>
        <w:t>___% per annum</w:t>
      </w:r>
      <w:r>
        <w:rPr>
          <w:rFonts w:ascii="Times New Roman;Times;Serif" w:hAnsi="Times New Roman;Times;Serif"/>
          <w:b w:val="false"/>
          <w:i w:val="false"/>
          <w:caps w:val="false"/>
          <w:smallCaps w:val="false"/>
          <w:sz w:val="20"/>
        </w:rPr>
        <w:t>], until the principal hereof is paid or made available for payment [</w:t>
      </w:r>
      <w:r>
        <w:rPr>
          <w:rFonts w:ascii="Times New Roman;Times;Serif" w:hAnsi="Times New Roman;Times;Serif"/>
          <w:b w:val="false"/>
          <w:i/>
          <w:caps w:val="false"/>
          <w:smallCaps w:val="false"/>
          <w:sz w:val="20"/>
        </w:rPr>
        <w:t>If applicable insert--,</w:t>
      </w:r>
      <w:r>
        <w:rPr>
          <w:rFonts w:ascii="Times New Roman;Times;Serif" w:hAnsi="Times New Roman;Times;Serif"/>
          <w:b w:val="false"/>
          <w:i w:val="false"/>
          <w:caps w:val="false"/>
          <w:smallCaps w:val="false"/>
          <w:sz w:val="20"/>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 ________ (whether or not a Business Day), as the case may be, next preceding such Interest Payment Date (each, an “Interest Record Date”). Interest will be computed on the basis of [</w:t>
      </w:r>
      <w:r>
        <w:rPr>
          <w:rFonts w:ascii="Times New Roman;Times;Serif" w:hAnsi="Times New Roman;Times;Serif"/>
          <w:b w:val="false"/>
          <w:i/>
          <w:caps w:val="false"/>
          <w:smallCaps w:val="false"/>
          <w:sz w:val="20"/>
        </w:rPr>
        <w:t>a 360-day year of twelve 30-day months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If the Security is not to bear interest prior to maturity, insert--</w:t>
      </w:r>
      <w:r>
        <w:rPr>
          <w:rFonts w:ascii="Times New Roman;Times;Serif" w:hAnsi="Times New Roman;Times;Serif"/>
          <w:b w:val="false"/>
          <w:i w:val="false"/>
          <w:caps w:val="false"/>
          <w:smallCaps w:val="false"/>
          <w:sz w:val="20"/>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set forth on the reverse of this Security contained herein, which will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 under its corporate seal.</w:t>
      </w:r>
    </w:p>
    <w:p>
      <w:pPr>
        <w:pStyle w:val="TextBody"/>
        <w:bidi w:val="0"/>
        <w:spacing w:before="0" w:after="0"/>
        <w:ind w:left="0" w:right="0" w:hanging="0"/>
        <w:jc w:val="left"/>
        <w:rPr>
          <w:caps w:val="false"/>
          <w:smallCaps w:val="false"/>
        </w:rPr>
      </w:pPr>
      <w:r>
        <w:rPr>
          <w:caps w:val="false"/>
          <w:smallCaps w:val="false"/>
        </w:rPr>
        <w:t> </w:t>
      </w:r>
    </w:p>
    <w:tbl>
      <w:tblPr>
        <w:tblW w:w="2814" w:type="dxa"/>
        <w:jc w:val="left"/>
        <w:tblInd w:w="0" w:type="dxa"/>
        <w:tblLayout w:type="fixed"/>
        <w:tblCellMar>
          <w:top w:w="0" w:type="dxa"/>
          <w:left w:w="0" w:type="dxa"/>
          <w:bottom w:w="0" w:type="dxa"/>
          <w:right w:w="0" w:type="dxa"/>
        </w:tblCellMar>
      </w:tblPr>
      <w:tblGrid>
        <w:gridCol w:w="80"/>
        <w:gridCol w:w="861"/>
        <w:gridCol w:w="1606"/>
        <w:gridCol w:w="267"/>
      </w:tblGrid>
      <w:tr>
        <w:trPr/>
        <w:tc>
          <w:tcPr>
            <w:tcW w:w="80" w:type="dxa"/>
            <w:tcBorders/>
            <w:vAlign w:val="center"/>
          </w:tcPr>
          <w:p>
            <w:pPr>
              <w:pStyle w:val="TableContents"/>
              <w:bidi w:val="0"/>
              <w:spacing w:before="0" w:after="283"/>
              <w:jc w:val="left"/>
              <w:rPr/>
            </w:pPr>
            <w:r>
              <w:rPr/>
              <w:t> </w:t>
            </w:r>
          </w:p>
        </w:tc>
        <w:tc>
          <w:tcPr>
            <w:tcW w:w="2734" w:type="dxa"/>
            <w:gridSpan w:val="3"/>
            <w:tcBorders/>
            <w:vAlign w:val="center"/>
          </w:tcPr>
          <w:p>
            <w:pPr>
              <w:pStyle w:val="TableContents"/>
              <w:bidi w:val="0"/>
              <w:spacing w:before="0" w:after="283"/>
              <w:jc w:val="left"/>
              <w:rPr>
                <w:caps/>
              </w:rPr>
            </w:pPr>
            <w:r>
              <w:rPr>
                <w:caps/>
              </w:rPr>
              <w:t>Editas Medicine, Inc.</w:t>
            </w:r>
          </w:p>
        </w:tc>
      </w:tr>
      <w:tr>
        <w:trPr/>
        <w:tc>
          <w:tcPr>
            <w:tcW w:w="80" w:type="dxa"/>
            <w:tcBorders/>
            <w:vAlign w:val="center"/>
          </w:tcPr>
          <w:p>
            <w:pPr>
              <w:pStyle w:val="TableContents"/>
              <w:bidi w:val="0"/>
              <w:spacing w:before="0" w:after="283"/>
              <w:jc w:val="left"/>
              <w:rPr/>
            </w:pPr>
            <w:r>
              <w:rPr/>
              <w:t> </w:t>
            </w:r>
          </w:p>
        </w:tc>
        <w:tc>
          <w:tcPr>
            <w:tcW w:w="2734"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sz w:val="20"/>
              </w:rPr>
            </w:pPr>
            <w:r>
              <w:rPr>
                <w:sz w:val="20"/>
              </w:rPr>
              <w:t>By:</w:t>
            </w:r>
          </w:p>
        </w:tc>
        <w:tc>
          <w:tcPr>
            <w:tcW w:w="187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sz w:val="20"/>
              </w:rPr>
            </w:pPr>
            <w:r>
              <w:rPr>
                <w:sz w:val="20"/>
              </w:rPr>
              <w:t>Name:</w:t>
            </w:r>
          </w:p>
        </w:tc>
        <w:tc>
          <w:tcPr>
            <w:tcW w:w="26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sz w:val="20"/>
              </w:rPr>
            </w:pPr>
            <w:r>
              <w:rPr>
                <w:sz w:val="20"/>
              </w:rPr>
              <w:t>Title:</w:t>
            </w:r>
          </w:p>
        </w:tc>
        <w:tc>
          <w:tcPr>
            <w:tcW w:w="26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spacing w:before="0" w:after="0"/>
        <w:ind w:left="0" w:right="0" w:hanging="0"/>
        <w:jc w:val="left"/>
        <w:rPr>
          <w:caps w:val="false"/>
          <w:smallCaps w:val="false"/>
        </w:rPr>
      </w:pPr>
      <w:r>
        <w:rPr>
          <w:caps w:val="false"/>
          <w:smallCaps w:val="false"/>
        </w:rPr>
        <w:t> </w:t>
      </w:r>
    </w:p>
    <w:tbl>
      <w:tblPr>
        <w:tblW w:w="705" w:type="dxa"/>
        <w:jc w:val="left"/>
        <w:tblInd w:w="0" w:type="dxa"/>
        <w:tblLayout w:type="fixed"/>
        <w:tblCellMar>
          <w:top w:w="0" w:type="dxa"/>
          <w:left w:w="0" w:type="dxa"/>
          <w:bottom w:w="0" w:type="dxa"/>
          <w:right w:w="0" w:type="dxa"/>
        </w:tblCellMar>
      </w:tblPr>
      <w:tblGrid>
        <w:gridCol w:w="560"/>
        <w:gridCol w:w="65"/>
        <w:gridCol w:w="80"/>
      </w:tblGrid>
      <w:tr>
        <w:trPr/>
        <w:tc>
          <w:tcPr>
            <w:tcW w:w="560" w:type="dxa"/>
            <w:tcBorders/>
            <w:vAlign w:val="center"/>
          </w:tcPr>
          <w:p>
            <w:pPr>
              <w:pStyle w:val="TableContents"/>
              <w:bidi w:val="0"/>
              <w:spacing w:before="0" w:after="283"/>
              <w:jc w:val="left"/>
              <w:rPr>
                <w:sz w:val="20"/>
              </w:rPr>
            </w:pPr>
            <w:r>
              <w:rPr>
                <w:sz w:val="20"/>
              </w:rPr>
              <w:t>By:</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w:t>
      </w:r>
    </w:p>
    <w:p>
      <w:pPr>
        <w:pStyle w:val="TextBody"/>
        <w:bidi w:val="0"/>
        <w:spacing w:before="0" w:after="0"/>
        <w:ind w:left="0" w:right="0" w:hanging="0"/>
        <w:jc w:val="left"/>
        <w:rPr>
          <w:caps w:val="false"/>
          <w:smallCaps w:val="false"/>
        </w:rPr>
      </w:pPr>
      <w:r>
        <w:rPr>
          <w:caps w:val="false"/>
          <w:smallCaps w:val="false"/>
        </w:rPr>
        <w:t> </w:t>
      </w:r>
    </w:p>
    <w:tbl>
      <w:tblPr>
        <w:tblW w:w="1080" w:type="dxa"/>
        <w:jc w:val="left"/>
        <w:tblInd w:w="0" w:type="dxa"/>
        <w:tblLayout w:type="fixed"/>
        <w:tblCellMar>
          <w:top w:w="0" w:type="dxa"/>
          <w:left w:w="0" w:type="dxa"/>
          <w:bottom w:w="0" w:type="dxa"/>
          <w:right w:w="0" w:type="dxa"/>
        </w:tblCellMar>
      </w:tblPr>
      <w:tblGrid>
        <w:gridCol w:w="80"/>
        <w:gridCol w:w="65"/>
        <w:gridCol w:w="935"/>
      </w:tblGrid>
      <w:tr>
        <w:trPr/>
        <w:tc>
          <w:tcPr>
            <w:tcW w:w="80" w:type="dxa"/>
            <w:tcBorders/>
            <w:vAlign w:val="center"/>
          </w:tcPr>
          <w:p>
            <w:pPr>
              <w:pStyle w:val="TableContents"/>
              <w:bidi w:val="0"/>
              <w:spacing w:before="0" w:after="283"/>
              <w:jc w:val="left"/>
              <w:rPr/>
            </w:pPr>
            <w:r>
              <w:rPr/>
              <w:t> </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Trustee</w:t>
            </w:r>
          </w:p>
        </w:tc>
      </w:tr>
    </w:tbl>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80"/>
        <w:gridCol w:w="320"/>
        <w:gridCol w:w="470"/>
        <w:gridCol w:w="80"/>
      </w:tblGrid>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0"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Editas Medicine,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Title of Security ]</w:t>
      </w:r>
    </w:p>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283"/>
              <w:jc w:val="left"/>
              <w:rPr/>
            </w:pPr>
            <w:r>
              <w:rPr/>
              <w:t>1.</w:t>
            </w:r>
          </w:p>
        </w:tc>
        <w:tc>
          <w:tcPr>
            <w:tcW w:w="935" w:type="dxa"/>
            <w:tcBorders/>
            <w:vAlign w:val="center"/>
          </w:tcPr>
          <w:p>
            <w:pPr>
              <w:pStyle w:val="TableContents"/>
              <w:bidi w:val="0"/>
              <w:spacing w:before="0" w:after="283"/>
              <w:jc w:val="left"/>
              <w:rPr/>
            </w:pPr>
            <w:r>
              <w:rPr/>
              <w:t>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]____________, all of such Securities issued and to be issued under an Indenture dated as of ________, _____ (the “Indenture”) between the Issuer and __________________________ as trustee (the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series of Securities designated pursuant to the Indenture [and a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_____, _____, issued pursuant to Section 2.01 and Section 2.03 thereof (the “Supplemental Indenture”)] as ________________. The Securities are general unsecured obligations of the Issuer. The Issuer may, subject to the provisions of the Indenture and applicable law, issue additional Securities of any series under the Indenture.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15"/>
        <w:gridCol w:w="1970"/>
      </w:tblGrid>
      <w:tr>
        <w:trPr/>
        <w:tc>
          <w:tcPr>
            <w:tcW w:w="215" w:type="dxa"/>
            <w:tcBorders/>
            <w:vAlign w:val="center"/>
          </w:tcPr>
          <w:p>
            <w:pPr>
              <w:pStyle w:val="TableContents"/>
              <w:bidi w:val="0"/>
              <w:spacing w:before="0" w:after="283"/>
              <w:jc w:val="left"/>
              <w:rPr/>
            </w:pPr>
            <w:r>
              <w:rPr/>
              <w:t>2.</w:t>
            </w:r>
          </w:p>
        </w:tc>
        <w:tc>
          <w:tcPr>
            <w:tcW w:w="1970" w:type="dxa"/>
            <w:tcBorders/>
            <w:vAlign w:val="center"/>
          </w:tcPr>
          <w:p>
            <w:pPr>
              <w:pStyle w:val="TableContents"/>
              <w:bidi w:val="0"/>
              <w:spacing w:before="0" w:after="283"/>
              <w:jc w:val="left"/>
              <w:rPr/>
            </w:pPr>
            <w:r>
              <w:rPr/>
              <w:t>Method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Times;Serif" w:hAnsi="Times New Roman;Times;Serif"/>
          <w:b w:val="false"/>
          <w:i/>
          <w:caps w:val="false"/>
          <w:smallCaps w:val="false"/>
          <w:sz w:val="20"/>
        </w:rPr>
        <w:t>the United States</w:t>
      </w:r>
      <w:r>
        <w:rPr>
          <w:rFonts w:ascii="Times New Roman;Times;Serif" w:hAnsi="Times New Roman;Times;Serif"/>
          <w:b w:val="false"/>
          <w:i w:val="false"/>
          <w:caps w:val="false"/>
          <w:smallCaps w:val="false"/>
          <w:sz w:val="20"/>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Times;Serif" w:hAnsi="Times New Roman;Times;Serif"/>
          <w:b w:val="false"/>
          <w:i/>
          <w:caps w:val="false"/>
          <w:smallCaps w:val="false"/>
          <w:sz w:val="20"/>
        </w:rPr>
        <w:t>a./p.m.</w:t>
      </w:r>
      <w:r>
        <w:rPr>
          <w:rFonts w:ascii="Times New Roman;Times;Serif" w:hAnsi="Times New Roman;Times;Serif"/>
          <w:b w:val="false"/>
          <w:i w:val="false"/>
          <w:caps w:val="false"/>
          <w:smallCaps w:val="false"/>
          <w:sz w:val="20"/>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3.</w:t>
            </w:r>
          </w:p>
        </w:tc>
        <w:tc>
          <w:tcPr>
            <w:tcW w:w="1250" w:type="dxa"/>
            <w:tcBorders/>
            <w:vAlign w:val="center"/>
          </w:tcPr>
          <w:p>
            <w:pPr>
              <w:pStyle w:val="TableContents"/>
              <w:bidi w:val="0"/>
              <w:spacing w:before="0" w:after="283"/>
              <w:jc w:val="left"/>
              <w:rPr/>
            </w:pPr>
            <w:r>
              <w:rPr/>
              <w:t>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The Securities of this series may be redeemed at any time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on or after ______, ______</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as a whole or in part, at the option of the Issuer, upon mailing notice of such redemption not less than 10 and not more than 60 days to the Holders of such Securities, at a redemption price equal to ___________</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15"/>
        <w:gridCol w:w="3500"/>
      </w:tblGrid>
      <w:tr>
        <w:trPr/>
        <w:tc>
          <w:tcPr>
            <w:tcW w:w="215" w:type="dxa"/>
            <w:tcBorders/>
            <w:vAlign w:val="center"/>
          </w:tcPr>
          <w:p>
            <w:pPr>
              <w:pStyle w:val="TableContents"/>
              <w:bidi w:val="0"/>
              <w:spacing w:before="0" w:after="283"/>
              <w:jc w:val="left"/>
              <w:rPr/>
            </w:pPr>
            <w:r>
              <w:rPr/>
              <w:t>4.</w:t>
            </w:r>
          </w:p>
        </w:tc>
        <w:tc>
          <w:tcPr>
            <w:tcW w:w="3500" w:type="dxa"/>
            <w:tcBorders/>
            <w:vAlign w:val="center"/>
          </w:tcPr>
          <w:p>
            <w:pPr>
              <w:pStyle w:val="TableContents"/>
              <w:bidi w:val="0"/>
              <w:spacing w:before="0" w:after="283"/>
              <w:jc w:val="left"/>
              <w:rPr/>
            </w:pPr>
            <w:r>
              <w:rPr/>
              <w:t>Paying Agent and Security Registrar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Trustee] will act as Paying Agent and Security Registrar.  The Issuer may change any Paying Agent or Security Registrar without notice to the Holders.</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215"/>
        <w:gridCol w:w="3515"/>
      </w:tblGrid>
      <w:tr>
        <w:trPr/>
        <w:tc>
          <w:tcPr>
            <w:tcW w:w="215" w:type="dxa"/>
            <w:tcBorders/>
            <w:vAlign w:val="center"/>
          </w:tcPr>
          <w:p>
            <w:pPr>
              <w:pStyle w:val="TableContents"/>
              <w:bidi w:val="0"/>
              <w:spacing w:before="0" w:after="283"/>
              <w:jc w:val="left"/>
              <w:rPr/>
            </w:pPr>
            <w:r>
              <w:rPr/>
              <w:t>5.</w:t>
            </w:r>
          </w:p>
        </w:tc>
        <w:tc>
          <w:tcPr>
            <w:tcW w:w="3515" w:type="dxa"/>
            <w:tcBorders/>
            <w:vAlign w:val="center"/>
          </w:tcPr>
          <w:p>
            <w:pPr>
              <w:pStyle w:val="TableContents"/>
              <w:bidi w:val="0"/>
              <w:spacing w:before="0" w:after="283"/>
              <w:jc w:val="left"/>
              <w:rPr/>
            </w:pPr>
            <w:r>
              <w:rPr/>
              <w:t>Denominations; Transfer;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w:t>
      </w:r>
      <w:r>
        <w:rPr>
          <w:rFonts w:ascii="Times New Roman;Times;Serif" w:hAnsi="Times New Roman;Times;Serif"/>
          <w:b w:val="false"/>
          <w:i/>
          <w:caps w:val="false"/>
          <w:smallCaps w:val="false"/>
          <w:sz w:val="20"/>
        </w:rPr>
        <w:t>$2,000</w:t>
      </w:r>
      <w:r>
        <w:rPr>
          <w:rFonts w:ascii="Times New Roman;Times;Serif" w:hAnsi="Times New Roman;Times;Serif"/>
          <w:b w:val="false"/>
          <w:i w:val="false"/>
          <w:caps w:val="false"/>
          <w:smallCaps w:val="false"/>
          <w:sz w:val="20"/>
        </w:rPr>
        <w:t>] and multiples of [</w:t>
      </w:r>
      <w:r>
        <w:rPr>
          <w:rFonts w:ascii="Times New Roman;Times;Serif" w:hAnsi="Times New Roman;Times;Serif"/>
          <w:b w:val="false"/>
          <w:i/>
          <w:caps w:val="false"/>
          <w:smallCaps w:val="false"/>
          <w:sz w:val="20"/>
        </w:rPr>
        <w:t>$1,000</w:t>
      </w:r>
      <w:r>
        <w:rPr>
          <w:rFonts w:ascii="Times New Roman;Times;Serif" w:hAnsi="Times New Roman;Times;Serif"/>
          <w:b w:val="false"/>
          <w:i w:val="false"/>
          <w:caps w:val="false"/>
          <w:smallCaps w:val="false"/>
          <w:sz w:val="20"/>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Times New Roman;Times;Serif" w:hAnsi="Times New Roman;Times;Serif"/>
          <w:b w:val="false"/>
          <w:i/>
          <w:caps w:val="false"/>
          <w:smallCaps w:val="false"/>
          <w:sz w:val="20"/>
        </w:rPr>
        <w:t>The Issuer need not register the transfer of or exchange (a) any Securities for a period of fifteen (15) days preceding the first notice that such Securities are to be redeemed, or (b) any Securities selected, called or being called for redemption in whole or in part, except, in the case of any Security to be redeemed in part, the portion thereof not to be so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283"/>
              <w:jc w:val="left"/>
              <w:rPr/>
            </w:pPr>
            <w:r>
              <w:rPr/>
              <w:t>6.</w:t>
            </w:r>
          </w:p>
        </w:tc>
        <w:tc>
          <w:tcPr>
            <w:tcW w:w="2495" w:type="dxa"/>
            <w:tcBorders/>
            <w:vAlign w:val="center"/>
          </w:tcPr>
          <w:p>
            <w:pPr>
              <w:pStyle w:val="TableContents"/>
              <w:bidi w:val="0"/>
              <w:spacing w:before="0" w:after="283"/>
              <w:jc w:val="left"/>
              <w:rPr/>
            </w:pPr>
            <w:r>
              <w:rPr/>
              <w:t>Persons Deemed 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15"/>
        <w:gridCol w:w="1775"/>
      </w:tblGrid>
      <w:tr>
        <w:trPr/>
        <w:tc>
          <w:tcPr>
            <w:tcW w:w="215" w:type="dxa"/>
            <w:tcBorders/>
            <w:vAlign w:val="center"/>
          </w:tcPr>
          <w:p>
            <w:pPr>
              <w:pStyle w:val="TableContents"/>
              <w:bidi w:val="0"/>
              <w:spacing w:before="0" w:after="283"/>
              <w:jc w:val="left"/>
              <w:rPr/>
            </w:pPr>
            <w:r>
              <w:rPr/>
              <w:t>7.</w:t>
            </w:r>
          </w:p>
        </w:tc>
        <w:tc>
          <w:tcPr>
            <w:tcW w:w="1775" w:type="dxa"/>
            <w:tcBorders/>
            <w:vAlign w:val="center"/>
          </w:tcPr>
          <w:p>
            <w:pPr>
              <w:pStyle w:val="TableContents"/>
              <w:bidi w:val="0"/>
              <w:spacing w:before="0" w:after="283"/>
              <w:jc w:val="left"/>
              <w:rPr/>
            </w:pPr>
            <w:r>
              <w:rPr/>
              <w:t>Unclaimed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After that, all liability of the Trustee and such Paying Agent with respect to such funds shall cease.</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15"/>
        <w:gridCol w:w="1190"/>
      </w:tblGrid>
      <w:tr>
        <w:trPr/>
        <w:tc>
          <w:tcPr>
            <w:tcW w:w="215" w:type="dxa"/>
            <w:tcBorders/>
            <w:vAlign w:val="center"/>
          </w:tcPr>
          <w:p>
            <w:pPr>
              <w:pStyle w:val="TableContents"/>
              <w:bidi w:val="0"/>
              <w:spacing w:before="0" w:after="283"/>
              <w:jc w:val="left"/>
              <w:rPr/>
            </w:pPr>
            <w:r>
              <w:rPr/>
              <w:t>8.</w:t>
            </w:r>
          </w:p>
        </w:tc>
        <w:tc>
          <w:tcPr>
            <w:tcW w:w="1190" w:type="dxa"/>
            <w:tcBorders/>
            <w:vAlign w:val="center"/>
          </w:tcPr>
          <w:p>
            <w:pPr>
              <w:pStyle w:val="TableContents"/>
              <w:bidi w:val="0"/>
              <w:spacing w:before="0" w:after="283"/>
              <w:jc w:val="left"/>
              <w:rPr/>
            </w:pPr>
            <w:r>
              <w:rPr/>
              <w:t>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t>
      </w:r>
      <w:r>
        <w:rPr>
          <w:rFonts w:ascii="Times New Roman;Times;Serif" w:hAnsi="Times New Roman;Times;Serif"/>
          <w:b w:val="false"/>
          <w:i/>
          <w:caps w:val="false"/>
          <w:smallCaps w:val="false"/>
          <w:sz w:val="20"/>
        </w:rPr>
        <w:t>as amended by the Supplemental Indenture</w:t>
      </w:r>
      <w:r>
        <w:rPr>
          <w:rFonts w:ascii="Times New Roman;Times;Serif" w:hAnsi="Times New Roman;Times;Serif"/>
          <w:b w:val="false"/>
          <w:i w:val="false"/>
          <w:caps w:val="false"/>
          <w:smallCaps w:val="false"/>
          <w:sz w:val="20"/>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Times New Roman;Times;Serif" w:hAnsi="Times New Roman;Times;Serif"/>
          <w:b w:val="false"/>
          <w:i/>
          <w:caps w:val="false"/>
          <w:smallCaps w:val="false"/>
          <w:sz w:val="20"/>
        </w:rPr>
        <w:t>apply</w:t>
      </w:r>
      <w:r>
        <w:rPr>
          <w:rFonts w:ascii="Times New Roman;Times;Serif" w:hAnsi="Times New Roman;Times;Serif"/>
          <w:b w:val="false"/>
          <w:i w:val="false"/>
          <w:caps w:val="false"/>
          <w:smallCaps w:val="false"/>
          <w:sz w:val="20"/>
        </w:rPr>
        <w:t>] to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pPr>
            <w:r>
              <w:rPr/>
              <w:t>9.</w:t>
            </w:r>
          </w:p>
        </w:tc>
        <w:tc>
          <w:tcPr>
            <w:tcW w:w="3320" w:type="dxa"/>
            <w:tcBorders/>
            <w:vAlign w:val="center"/>
          </w:tcPr>
          <w:p>
            <w:pPr>
              <w:pStyle w:val="TableContents"/>
              <w:bidi w:val="0"/>
              <w:spacing w:before="0" w:after="283"/>
              <w:jc w:val="left"/>
              <w:rPr/>
            </w:pPr>
            <w:r>
              <w:rPr/>
              <w:t>Amendment; Supplement;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pPr>
            <w:r>
              <w:rPr/>
              <w:t>10.</w:t>
            </w:r>
          </w:p>
        </w:tc>
        <w:tc>
          <w:tcPr>
            <w:tcW w:w="2285" w:type="dxa"/>
            <w:tcBorders/>
            <w:vAlign w:val="center"/>
          </w:tcPr>
          <w:p>
            <w:pPr>
              <w:pStyle w:val="TableContents"/>
              <w:bidi w:val="0"/>
              <w:spacing w:before="0" w:after="283"/>
              <w:jc w:val="left"/>
              <w:rPr/>
            </w:pPr>
            <w:r>
              <w:rPr/>
              <w:t>Defaults and 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Times;Serif" w:hAnsi="Times New Roman;Times;Serif"/>
          <w:b w:val="false"/>
          <w:i/>
          <w:caps w:val="false"/>
          <w:smallCaps w:val="false"/>
          <w:sz w:val="20"/>
        </w:rPr>
        <w:t>the entire principal</w:t>
      </w:r>
      <w:r>
        <w:rPr>
          <w:rFonts w:ascii="Times New Roman;Times;Serif" w:hAnsi="Times New Roman;Times;Serif"/>
          <w:b w:val="false"/>
          <w:i w:val="false"/>
          <w:caps w:val="false"/>
          <w:smallCaps w:val="false"/>
          <w:sz w:val="20"/>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Times;Serif" w:hAnsi="Times New Roman;Times;Serif"/>
          <w:b w:val="false"/>
          <w:i/>
          <w:caps w:val="false"/>
          <w:smallCaps w:val="false"/>
          <w:sz w:val="20"/>
        </w:rPr>
        <w:t>the entire principal</w:t>
      </w:r>
      <w:r>
        <w:rPr>
          <w:rFonts w:ascii="Times New Roman;Times;Serif" w:hAnsi="Times New Roman;Times;Serif"/>
          <w:b w:val="false"/>
          <w:i w:val="false"/>
          <w:caps w:val="false"/>
          <w:smallCaps w:val="false"/>
          <w:sz w:val="20"/>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pPr>
            <w:r>
              <w:rPr/>
              <w:t>11.</w:t>
            </w:r>
          </w:p>
        </w:tc>
        <w:tc>
          <w:tcPr>
            <w:tcW w:w="2795" w:type="dxa"/>
            <w:tcBorders/>
            <w:vAlign w:val="center"/>
          </w:tcPr>
          <w:p>
            <w:pPr>
              <w:pStyle w:val="TableContents"/>
              <w:bidi w:val="0"/>
              <w:spacing w:before="0" w:after="283"/>
              <w:jc w:val="left"/>
              <w:rPr/>
            </w:pPr>
            <w:r>
              <w:rPr/>
              <w:t>Trustee Dealings with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283"/>
              <w:jc w:val="left"/>
              <w:rPr/>
            </w:pPr>
            <w:r>
              <w:rPr/>
              <w:t>12.</w:t>
            </w:r>
          </w:p>
        </w:tc>
        <w:tc>
          <w:tcPr>
            <w:tcW w:w="2825" w:type="dxa"/>
            <w:tcBorders/>
            <w:vAlign w:val="center"/>
          </w:tcPr>
          <w:p>
            <w:pPr>
              <w:pStyle w:val="TableContents"/>
              <w:bidi w:val="0"/>
              <w:spacing w:before="0" w:after="283"/>
              <w:jc w:val="left"/>
              <w:rPr/>
            </w:pPr>
            <w:r>
              <w:rPr/>
              <w:t>No Recourse Against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335"/>
        <w:gridCol w:w="1490"/>
      </w:tblGrid>
      <w:tr>
        <w:trPr/>
        <w:tc>
          <w:tcPr>
            <w:tcW w:w="335" w:type="dxa"/>
            <w:tcBorders/>
            <w:vAlign w:val="center"/>
          </w:tcPr>
          <w:p>
            <w:pPr>
              <w:pStyle w:val="TableContents"/>
              <w:bidi w:val="0"/>
              <w:spacing w:before="0" w:after="283"/>
              <w:jc w:val="left"/>
              <w:rPr/>
            </w:pPr>
            <w:r>
              <w:rPr/>
              <w:t>13.</w:t>
            </w:r>
          </w:p>
        </w:tc>
        <w:tc>
          <w:tcPr>
            <w:tcW w:w="1490" w:type="dxa"/>
            <w:tcBorders/>
            <w:vAlign w:val="center"/>
          </w:tcPr>
          <w:p>
            <w:pPr>
              <w:pStyle w:val="TableContents"/>
              <w:bidi w:val="0"/>
              <w:spacing w:before="0" w:after="283"/>
              <w:jc w:val="left"/>
              <w:rPr/>
            </w:pPr>
            <w:r>
              <w:rPr/>
              <w:t>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35"/>
        <w:gridCol w:w="3320"/>
      </w:tblGrid>
      <w:tr>
        <w:trPr/>
        <w:tc>
          <w:tcPr>
            <w:tcW w:w="335" w:type="dxa"/>
            <w:tcBorders/>
            <w:vAlign w:val="center"/>
          </w:tcPr>
          <w:p>
            <w:pPr>
              <w:pStyle w:val="TableContents"/>
              <w:bidi w:val="0"/>
              <w:spacing w:before="0" w:after="283"/>
              <w:jc w:val="left"/>
              <w:rPr/>
            </w:pPr>
            <w:r>
              <w:rPr/>
              <w:t>14.</w:t>
            </w:r>
          </w:p>
        </w:tc>
        <w:tc>
          <w:tcPr>
            <w:tcW w:w="3320" w:type="dxa"/>
            <w:tcBorders/>
            <w:vAlign w:val="center"/>
          </w:tcPr>
          <w:p>
            <w:pPr>
              <w:pStyle w:val="TableContents"/>
              <w:bidi w:val="0"/>
              <w:spacing w:before="0" w:after="283"/>
              <w:jc w:val="left"/>
              <w:rPr/>
            </w:pPr>
            <w:r>
              <w:rPr/>
              <w:t>Abbreviations and Defined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575"/>
        <w:gridCol w:w="8443"/>
      </w:tblGrid>
      <w:tr>
        <w:trPr/>
        <w:tc>
          <w:tcPr>
            <w:tcW w:w="18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pPr>
            <w:r>
              <w:rPr/>
              <w:t>15.</w:t>
            </w:r>
          </w:p>
        </w:tc>
        <w:tc>
          <w:tcPr>
            <w:tcW w:w="8443" w:type="dxa"/>
            <w:tcBorders/>
            <w:vAlign w:val="center"/>
          </w:tcPr>
          <w:p>
            <w:pPr>
              <w:pStyle w:val="TableContents"/>
              <w:bidi w:val="0"/>
              <w:spacing w:before="0" w:after="283"/>
              <w:jc w:val="left"/>
              <w:rPr/>
            </w:pPr>
            <w:r>
              <w:rPr/>
              <w:t>CUSIP Numbers.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35"/>
        <w:gridCol w:w="1610"/>
      </w:tblGrid>
      <w:tr>
        <w:trPr/>
        <w:tc>
          <w:tcPr>
            <w:tcW w:w="335" w:type="dxa"/>
            <w:tcBorders/>
            <w:vAlign w:val="center"/>
          </w:tcPr>
          <w:p>
            <w:pPr>
              <w:pStyle w:val="TableContents"/>
              <w:bidi w:val="0"/>
              <w:spacing w:before="0" w:after="283"/>
              <w:jc w:val="left"/>
              <w:rPr/>
            </w:pPr>
            <w:r>
              <w:rPr/>
              <w:t>16.</w:t>
            </w:r>
          </w:p>
        </w:tc>
        <w:tc>
          <w:tcPr>
            <w:tcW w:w="1610" w:type="dxa"/>
            <w:tcBorders/>
            <w:vAlign w:val="center"/>
          </w:tcPr>
          <w:p>
            <w:pPr>
              <w:pStyle w:val="TableContents"/>
              <w:bidi w:val="0"/>
              <w:spacing w:before="0" w:after="283"/>
              <w:jc w:val="left"/>
              <w:rPr/>
            </w:pPr>
            <w:r>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28" w:type="dxa"/>
          <w:right w:w="0" w:type="dxa"/>
        </w:tblCellMar>
      </w:tblPr>
      <w:tblGrid>
        <w:gridCol w:w="6170"/>
      </w:tblGrid>
      <w:tr>
        <w:trPr/>
        <w:tc>
          <w:tcPr>
            <w:tcW w:w="6170" w:type="dxa"/>
            <w:tcBorders>
              <w:bottom w:val="single" w:sz="8" w:space="0" w:color="000000"/>
            </w:tcBorders>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name, address and zip code of assignee or transferee)</w:t>
            </w:r>
          </w:p>
        </w:tc>
      </w:tr>
      <w:tr>
        <w:trPr/>
        <w:tc>
          <w:tcPr>
            <w:tcW w:w="6170" w:type="dxa"/>
            <w:tcBorders/>
            <w:tcMar>
              <w:bottom w:w="0" w:type="dxa"/>
            </w:tcMar>
            <w:vAlign w:val="center"/>
          </w:tcPr>
          <w:p>
            <w:pPr>
              <w:pStyle w:val="TableContents"/>
              <w:bidi w:val="0"/>
              <w:spacing w:before="0" w:after="283"/>
              <w:jc w:val="left"/>
              <w:rPr/>
            </w:pPr>
            <w:r>
              <w:rPr/>
              <w:t> </w:t>
            </w:r>
          </w:p>
        </w:tc>
      </w:tr>
      <w:tr>
        <w:trPr/>
        <w:tc>
          <w:tcPr>
            <w:tcW w:w="6170" w:type="dxa"/>
            <w:tcBorders>
              <w:bottom w:val="single" w:sz="8" w:space="0" w:color="000000"/>
            </w:tcBorders>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Social Security or other identifying number of assignee or transferee)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 agent to transfer this Security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575"/>
        <w:gridCol w:w="65"/>
        <w:gridCol w:w="65"/>
        <w:gridCol w:w="650"/>
        <w:gridCol w:w="539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53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exactly as name appears on the other side of this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6"/>
        <w:gridCol w:w="4167"/>
        <w:gridCol w:w="5132"/>
      </w:tblGrid>
      <w:tr>
        <w:trPr/>
        <w:tc>
          <w:tcPr>
            <w:tcW w:w="906" w:type="dxa"/>
            <w:tcBorders/>
            <w:vAlign w:val="center"/>
          </w:tcPr>
          <w:p>
            <w:pPr>
              <w:pStyle w:val="TableContents"/>
              <w:bidi w:val="0"/>
              <w:spacing w:before="0" w:after="283"/>
              <w:jc w:val="left"/>
              <w:rPr>
                <w:sz w:val="20"/>
              </w:rPr>
            </w:pPr>
            <w:r>
              <w:rPr>
                <w:sz w:val="20"/>
              </w:rPr>
              <w:t>Signature</w:t>
            </w:r>
          </w:p>
        </w:tc>
        <w:tc>
          <w:tcPr>
            <w:tcW w:w="9299" w:type="dxa"/>
            <w:gridSpan w:val="2"/>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sz w:val="20"/>
              </w:rPr>
            </w:pPr>
            <w:r>
              <w:rPr>
                <w:sz w:val="20"/>
              </w:rPr>
              <w:t>Guarantee:</w:t>
            </w:r>
          </w:p>
        </w:tc>
        <w:tc>
          <w:tcPr>
            <w:tcW w:w="4167" w:type="dxa"/>
            <w:tcBorders>
              <w:bottom w:val="single" w:sz="8" w:space="0" w:color="000000"/>
            </w:tcBorders>
            <w:tcMar>
              <w:bottom w:w="28" w:type="dxa"/>
            </w:tcMar>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gridSpan w:val="2"/>
            <w:tcBorders/>
            <w:vAlign w:val="center"/>
          </w:tcPr>
          <w:p>
            <w:pPr>
              <w:pStyle w:val="TableContents"/>
              <w:bidi w:val="0"/>
              <w:spacing w:before="0" w:after="283"/>
              <w:jc w:val="left"/>
              <w:rPr>
                <w:sz w:val="20"/>
              </w:rPr>
            </w:pPr>
            <w:r>
              <w:rPr>
                <w:sz w:val="20"/>
              </w:rPr>
              <w:t>Participant in a recognized Signature Guarantee Medallion Program (or other signature guarantor program reasonably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4" w:name="tm2624301d2_ex4-7.htm"/>
      <w:bookmarkStart w:id="45" w:name="kstm2624301d2_ex47"/>
      <w:bookmarkEnd w:id="44"/>
      <w:bookmarkEnd w:id="45"/>
      <w:r>
        <w:rPr/>
        <w:t> </w:t>
      </w:r>
      <w:r>
        <w:br w:type="page"/>
      </w:r>
    </w:p>
    <w:p>
      <w:pPr>
        <w:pStyle w:val="TextBody"/>
        <w:bidi w:val="0"/>
        <w:spacing w:before="0" w:after="0"/>
        <w:ind w:left="1440" w:right="0" w:hanging="14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Subordinated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Each Global Security shall bear substantially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If the Security has original issue discount for U.S. federal income tax purposes, insert tax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FOR PURPOSES OF SECTIONS 1272, 1273 AND 1275 OF THE INTERNAL REVENUE CODE OF 1986, AS 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Editas Medicine, Inc.</w:t>
      </w:r>
      <w:r>
        <w:rPr>
          <w:rFonts w:ascii="Times New Roman;Times;Serif" w:hAnsi="Times New Roman;Times;Serif"/>
          <w:b w:val="false"/>
          <w:i w:val="false"/>
          <w:caps w:val="false"/>
          <w:smallCaps w:val="false"/>
          <w:sz w:val="20"/>
        </w:rPr>
        <w:br/>
        <w:t>[ Title of Security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560"/>
        <w:gridCol w:w="2255"/>
      </w:tblGrid>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   ]</w:t>
            </w:r>
          </w:p>
        </w:tc>
        <w:tc>
          <w:tcPr>
            <w:tcW w:w="2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CUSIP No.:  [   ]</w:t>
            </w:r>
          </w:p>
        </w:tc>
      </w:tr>
      <w:tr>
        <w:trPr/>
        <w:tc>
          <w:tcPr>
            <w:tcW w:w="560" w:type="dxa"/>
            <w:tcBorders/>
            <w:shd w:fill="FFFFFF" w:val="clear"/>
            <w:vAlign w:val="center"/>
          </w:tcPr>
          <w:p>
            <w:pPr>
              <w:pStyle w:val="TableContents"/>
              <w:bidi w:val="0"/>
              <w:spacing w:before="0" w:after="283"/>
              <w:jc w:val="left"/>
              <w:rPr/>
            </w:pPr>
            <w:r>
              <w:rPr/>
              <w:t> </w:t>
            </w:r>
          </w:p>
        </w:tc>
        <w:tc>
          <w:tcPr>
            <w:tcW w:w="2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[Common Code][ISIN]:   [    ]</w:t>
            </w:r>
          </w:p>
        </w:tc>
      </w:tr>
      <w:tr>
        <w:trPr/>
        <w:tc>
          <w:tcPr>
            <w:tcW w:w="560" w:type="dxa"/>
            <w:tcBorders/>
            <w:shd w:fill="FFFFFF" w:val="clear"/>
            <w:vAlign w:val="center"/>
          </w:tcPr>
          <w:p>
            <w:pPr>
              <w:pStyle w:val="TableContents"/>
              <w:bidi w:val="0"/>
              <w:spacing w:before="0" w:after="283"/>
              <w:jc w:val="left"/>
              <w:rPr/>
            </w:pPr>
            <w:r>
              <w:rPr/>
              <w:t> </w:t>
            </w:r>
          </w:p>
        </w:tc>
        <w:tc>
          <w:tcPr>
            <w:tcW w:w="2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Editas Medicine, Inc.</w:t>
      </w:r>
      <w:r>
        <w:rPr>
          <w:rFonts w:ascii="Times New Roman;Times;Serif" w:hAnsi="Times New Roman;Times;Serif"/>
          <w:b w:val="false"/>
          <w:i w:val="false"/>
          <w:caps w:val="false"/>
          <w:smallCaps w:val="false"/>
          <w:sz w:val="20"/>
        </w:rPr>
        <w:t>, a Delaware corporation (the “Issuer”, which term includes any successor corporation), for value received promises to pay to [</w:t>
      </w:r>
      <w:r>
        <w:rPr>
          <w:rFonts w:ascii="Times New Roman;Times;Serif" w:hAnsi="Times New Roman;Times;Serif"/>
          <w:b w:val="false"/>
          <w:i/>
          <w:caps w:val="false"/>
          <w:smallCaps w:val="false"/>
          <w:sz w:val="20"/>
        </w:rPr>
        <w:t xml:space="preserve">If the Security is a Global Security -- </w:t>
      </w:r>
      <w:r>
        <w:rPr>
          <w:rFonts w:ascii="Times New Roman;Times;Serif" w:hAnsi="Times New Roman;Times;Serif"/>
          <w:b w:val="false"/>
          <w:i w:val="false"/>
          <w:caps w:val="false"/>
          <w:smallCaps w:val="false"/>
          <w:sz w:val="20"/>
        </w:rPr>
        <w:t>CEDE &amp; CO.][</w:t>
      </w:r>
      <w:r>
        <w:rPr>
          <w:rFonts w:ascii="Times New Roman;Times;Serif" w:hAnsi="Times New Roman;Times;Serif"/>
          <w:b w:val="false"/>
          <w:i/>
          <w:caps w:val="false"/>
          <w:smallCaps w:val="false"/>
          <w:sz w:val="20"/>
        </w:rPr>
        <w:t>If the Security is not a Global Security -- __________</w:t>
      </w:r>
      <w:r>
        <w:rPr>
          <w:rFonts w:ascii="Times New Roman;Times;Serif" w:hAnsi="Times New Roman;Times;Serif"/>
          <w:b w:val="false"/>
          <w:i w:val="false"/>
          <w:caps w:val="false"/>
          <w:smallCaps w:val="false"/>
          <w:sz w:val="20"/>
        </w:rPr>
        <w:t>] or registered assigns, the principal sum of __________ on __________,____ (the “Maturity Date”) [</w:t>
      </w:r>
      <w:r>
        <w:rPr>
          <w:rFonts w:ascii="Times New Roman;Times;Serif" w:hAnsi="Times New Roman;Times;Serif"/>
          <w:b w:val="false"/>
          <w:i/>
          <w:caps w:val="false"/>
          <w:smallCaps w:val="false"/>
          <w:sz w:val="20"/>
        </w:rPr>
        <w:t>If the Security is to bear interest prior to maturity, insert--</w:t>
      </w:r>
      <w:r>
        <w:rPr>
          <w:rFonts w:ascii="Times New Roman;Times;Serif" w:hAnsi="Times New Roman;Times;Serif"/>
          <w:b w:val="false"/>
          <w:i w:val="false"/>
          <w:caps w:val="false"/>
          <w:smallCaps w:val="false"/>
          <w:sz w:val="20"/>
        </w:rPr>
        <w:t xml:space="preserve">, and to pay interest thereon from _____________ or from the most recent interest payment date to which interest has been paid or duly provided for, </w:t>
      </w:r>
      <w:r>
        <w:rPr>
          <w:rFonts w:ascii="Times New Roman;Times;Serif" w:hAnsi="Times New Roman;Times;Serif"/>
          <w:b w:val="false"/>
          <w:i/>
          <w:caps w:val="false"/>
          <w:smallCaps w:val="false"/>
          <w:sz w:val="20"/>
        </w:rPr>
        <w:t>[semiannually in arrears on ______ and ______ in each year</w:t>
      </w:r>
      <w:r>
        <w:rPr>
          <w:rFonts w:ascii="Times New Roman;Times;Serif" w:hAnsi="Times New Roman;Times;Serif"/>
          <w:b w:val="false"/>
          <w:i w:val="false"/>
          <w:caps w:val="false"/>
          <w:smallCaps w:val="false"/>
          <w:sz w:val="20"/>
        </w:rPr>
        <w:t>], commencing _________, ____ (each, an “Interest Payment Date”) at the rate of [</w:t>
      </w:r>
      <w:r>
        <w:rPr>
          <w:rFonts w:ascii="Times New Roman;Times;Serif" w:hAnsi="Times New Roman;Times;Serif"/>
          <w:b w:val="false"/>
          <w:i/>
          <w:caps w:val="false"/>
          <w:smallCaps w:val="false"/>
          <w:sz w:val="20"/>
        </w:rPr>
        <w:t>___% per annum</w:t>
      </w:r>
      <w:r>
        <w:rPr>
          <w:rFonts w:ascii="Times New Roman;Times;Serif" w:hAnsi="Times New Roman;Times;Serif"/>
          <w:b w:val="false"/>
          <w:i w:val="false"/>
          <w:caps w:val="false"/>
          <w:smallCaps w:val="false"/>
          <w:sz w:val="20"/>
        </w:rPr>
        <w:t>], until the principal hereof is paid or made available for payment [</w:t>
      </w:r>
      <w:r>
        <w:rPr>
          <w:rFonts w:ascii="Times New Roman;Times;Serif" w:hAnsi="Times New Roman;Times;Serif"/>
          <w:b w:val="false"/>
          <w:i/>
          <w:caps w:val="false"/>
          <w:smallCaps w:val="false"/>
          <w:sz w:val="20"/>
        </w:rPr>
        <w:t>If applicable insert--,</w:t>
      </w:r>
      <w:r>
        <w:rPr>
          <w:rFonts w:ascii="Times New Roman;Times;Serif" w:hAnsi="Times New Roman;Times;Serif"/>
          <w:b w:val="false"/>
          <w:i w:val="false"/>
          <w:caps w:val="false"/>
          <w:smallCaps w:val="false"/>
          <w:sz w:val="20"/>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 ________ (whether or not a Business Day), as the case may be, next preceding such Interest Payment Date (each, an “Interest Record Date”). Interest will be computed on the basis of [</w:t>
      </w:r>
      <w:r>
        <w:rPr>
          <w:rFonts w:ascii="Times New Roman;Times;Serif" w:hAnsi="Times New Roman;Times;Serif"/>
          <w:b w:val="false"/>
          <w:i/>
          <w:caps w:val="false"/>
          <w:smallCaps w:val="false"/>
          <w:sz w:val="20"/>
        </w:rPr>
        <w:t>a 360-day year of twelve 30-day months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If the Security is not to bear interest prior to maturity, insert--</w:t>
      </w:r>
      <w:r>
        <w:rPr>
          <w:rFonts w:ascii="Times New Roman;Times;Serif" w:hAnsi="Times New Roman;Times;Serif"/>
          <w:b w:val="false"/>
          <w:i w:val="false"/>
          <w:caps w:val="false"/>
          <w:smallCaps w:val="false"/>
          <w:sz w:val="20"/>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set forth on the reverse of this Security contained herein, which will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 under its corporate seal.</w:t>
      </w:r>
    </w:p>
    <w:p>
      <w:pPr>
        <w:pStyle w:val="TextBody"/>
        <w:bidi w:val="0"/>
        <w:spacing w:before="0" w:after="0"/>
        <w:ind w:left="0" w:right="0" w:hanging="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865"/>
        <w:gridCol w:w="1617"/>
        <w:gridCol w:w="252"/>
      </w:tblGrid>
      <w:tr>
        <w:trPr/>
        <w:tc>
          <w:tcPr>
            <w:tcW w:w="75" w:type="dxa"/>
            <w:tcBorders/>
            <w:vAlign w:val="center"/>
          </w:tcPr>
          <w:p>
            <w:pPr>
              <w:pStyle w:val="TableContents"/>
              <w:bidi w:val="0"/>
              <w:spacing w:before="0" w:after="283"/>
              <w:jc w:val="left"/>
              <w:rPr/>
            </w:pPr>
            <w:r>
              <w:rPr/>
              <w:t> </w:t>
            </w:r>
          </w:p>
        </w:tc>
        <w:tc>
          <w:tcPr>
            <w:tcW w:w="2734" w:type="dxa"/>
            <w:gridSpan w:val="3"/>
            <w:tcBorders/>
            <w:vAlign w:val="center"/>
          </w:tcPr>
          <w:p>
            <w:pPr>
              <w:pStyle w:val="TableContents"/>
              <w:bidi w:val="0"/>
              <w:spacing w:before="0" w:after="283"/>
              <w:jc w:val="left"/>
              <w:rPr>
                <w:caps/>
              </w:rPr>
            </w:pPr>
            <w:r>
              <w:rPr>
                <w:caps/>
              </w:rPr>
              <w:t>Editas Medicine, Inc.</w:t>
            </w:r>
          </w:p>
        </w:tc>
      </w:tr>
      <w:tr>
        <w:trPr/>
        <w:tc>
          <w:tcPr>
            <w:tcW w:w="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18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w:t>
      </w:r>
    </w:p>
    <w:p>
      <w:pPr>
        <w:pStyle w:val="TextBody"/>
        <w:bidi w:val="0"/>
        <w:spacing w:before="0" w:after="0"/>
        <w:ind w:left="0" w:right="0" w:hanging="0"/>
        <w:jc w:val="left"/>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75"/>
        <w:gridCol w:w="60"/>
        <w:gridCol w:w="935"/>
      </w:tblGrid>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Trustee</w:t>
            </w:r>
          </w:p>
        </w:tc>
      </w:tr>
    </w:tbl>
    <w:p>
      <w:pPr>
        <w:pStyle w:val="TextBody"/>
        <w:bidi w:val="0"/>
        <w:spacing w:before="0" w:after="0"/>
        <w:ind w:left="0" w:right="0" w:hanging="0"/>
        <w:jc w:val="left"/>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75"/>
        <w:gridCol w:w="320"/>
        <w:gridCol w:w="47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Editas Medicine,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Title of Security ]</w:t>
      </w:r>
    </w:p>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283"/>
              <w:jc w:val="left"/>
              <w:rPr/>
            </w:pPr>
            <w:r>
              <w:rPr/>
              <w:t>1.</w:t>
            </w:r>
          </w:p>
        </w:tc>
        <w:tc>
          <w:tcPr>
            <w:tcW w:w="935" w:type="dxa"/>
            <w:tcBorders/>
            <w:vAlign w:val="center"/>
          </w:tcPr>
          <w:p>
            <w:pPr>
              <w:pStyle w:val="TableContents"/>
              <w:bidi w:val="0"/>
              <w:spacing w:before="0" w:after="283"/>
              <w:jc w:val="left"/>
              <w:rPr/>
            </w:pPr>
            <w:r>
              <w:rPr/>
              <w:t>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]____________, all of such Securities issued and to be issued under an Indenture dated as of ________, _____ (the “Indenture”) between the Issuer and __________________________ as trustee (the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series of Securities designated pursuant to the Indenture [and a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_____, _____, issued pursuant to Section 2.01 and Section 2.03 thereof (the “Supplemental Indenture”)] as ________________. The Securities are general unsecured obligations of the Issuer. The Issuer may, subject to the provisions of the Indenture and applicable law, issue additional Securities of any series under the Indenture.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15"/>
        <w:gridCol w:w="1970"/>
      </w:tblGrid>
      <w:tr>
        <w:trPr/>
        <w:tc>
          <w:tcPr>
            <w:tcW w:w="215" w:type="dxa"/>
            <w:tcBorders/>
            <w:vAlign w:val="center"/>
          </w:tcPr>
          <w:p>
            <w:pPr>
              <w:pStyle w:val="TableContents"/>
              <w:bidi w:val="0"/>
              <w:spacing w:before="0" w:after="283"/>
              <w:jc w:val="left"/>
              <w:rPr/>
            </w:pPr>
            <w:r>
              <w:rPr/>
              <w:t>2.</w:t>
            </w:r>
          </w:p>
        </w:tc>
        <w:tc>
          <w:tcPr>
            <w:tcW w:w="1970" w:type="dxa"/>
            <w:tcBorders/>
            <w:vAlign w:val="center"/>
          </w:tcPr>
          <w:p>
            <w:pPr>
              <w:pStyle w:val="TableContents"/>
              <w:bidi w:val="0"/>
              <w:spacing w:before="0" w:after="283"/>
              <w:jc w:val="left"/>
              <w:rPr/>
            </w:pPr>
            <w:r>
              <w:rPr/>
              <w:t>Method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Times;Serif" w:hAnsi="Times New Roman;Times;Serif"/>
          <w:b w:val="false"/>
          <w:i/>
          <w:caps w:val="false"/>
          <w:smallCaps w:val="false"/>
          <w:sz w:val="20"/>
        </w:rPr>
        <w:t>the United States</w:t>
      </w:r>
      <w:r>
        <w:rPr>
          <w:rFonts w:ascii="Times New Roman;Times;Serif" w:hAnsi="Times New Roman;Times;Serif"/>
          <w:b w:val="false"/>
          <w:i w:val="false"/>
          <w:caps w:val="false"/>
          <w:smallCaps w:val="false"/>
          <w:sz w:val="20"/>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Times;Serif" w:hAnsi="Times New Roman;Times;Serif"/>
          <w:b w:val="false"/>
          <w:i/>
          <w:caps w:val="false"/>
          <w:smallCaps w:val="false"/>
          <w:sz w:val="20"/>
        </w:rPr>
        <w:t>a./p.m.</w:t>
      </w:r>
      <w:r>
        <w:rPr>
          <w:rFonts w:ascii="Times New Roman;Times;Serif" w:hAnsi="Times New Roman;Times;Serif"/>
          <w:b w:val="false"/>
          <w:i w:val="false"/>
          <w:caps w:val="false"/>
          <w:smallCaps w:val="false"/>
          <w:sz w:val="20"/>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3.</w:t>
            </w:r>
          </w:p>
        </w:tc>
        <w:tc>
          <w:tcPr>
            <w:tcW w:w="1250" w:type="dxa"/>
            <w:tcBorders/>
            <w:vAlign w:val="center"/>
          </w:tcPr>
          <w:p>
            <w:pPr>
              <w:pStyle w:val="TableContents"/>
              <w:bidi w:val="0"/>
              <w:spacing w:before="0" w:after="283"/>
              <w:jc w:val="left"/>
              <w:rPr/>
            </w:pPr>
            <w:r>
              <w:rPr/>
              <w:t>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The Securities of this series may be redeemed at any time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on or after ______, ______</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as a whole or in part, at the option of the Issuer, upon mailing notice of such redemption not less than 10 and not more than 60 days to the Holders of such Securities, at a redemption price equal to ___________</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15"/>
        <w:gridCol w:w="3500"/>
      </w:tblGrid>
      <w:tr>
        <w:trPr/>
        <w:tc>
          <w:tcPr>
            <w:tcW w:w="215" w:type="dxa"/>
            <w:tcBorders/>
            <w:vAlign w:val="center"/>
          </w:tcPr>
          <w:p>
            <w:pPr>
              <w:pStyle w:val="TableContents"/>
              <w:bidi w:val="0"/>
              <w:spacing w:before="0" w:after="283"/>
              <w:jc w:val="left"/>
              <w:rPr/>
            </w:pPr>
            <w:r>
              <w:rPr/>
              <w:t>4.</w:t>
            </w:r>
          </w:p>
        </w:tc>
        <w:tc>
          <w:tcPr>
            <w:tcW w:w="3500" w:type="dxa"/>
            <w:tcBorders/>
            <w:vAlign w:val="center"/>
          </w:tcPr>
          <w:p>
            <w:pPr>
              <w:pStyle w:val="TableContents"/>
              <w:bidi w:val="0"/>
              <w:spacing w:before="0" w:after="283"/>
              <w:jc w:val="left"/>
              <w:rPr/>
            </w:pPr>
            <w:r>
              <w:rPr/>
              <w:t>Paying Agent and Security Registrar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Trustee] will act as Paying Agent and Security Registrar.  The Issuer may change any Paying Agent or Security Registrar without notice to the Holders.</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215"/>
        <w:gridCol w:w="3515"/>
      </w:tblGrid>
      <w:tr>
        <w:trPr/>
        <w:tc>
          <w:tcPr>
            <w:tcW w:w="215" w:type="dxa"/>
            <w:tcBorders/>
            <w:vAlign w:val="center"/>
          </w:tcPr>
          <w:p>
            <w:pPr>
              <w:pStyle w:val="TableContents"/>
              <w:bidi w:val="0"/>
              <w:spacing w:before="0" w:after="283"/>
              <w:jc w:val="left"/>
              <w:rPr/>
            </w:pPr>
            <w:r>
              <w:rPr/>
              <w:t>5.</w:t>
            </w:r>
          </w:p>
        </w:tc>
        <w:tc>
          <w:tcPr>
            <w:tcW w:w="3515" w:type="dxa"/>
            <w:tcBorders/>
            <w:vAlign w:val="center"/>
          </w:tcPr>
          <w:p>
            <w:pPr>
              <w:pStyle w:val="TableContents"/>
              <w:bidi w:val="0"/>
              <w:spacing w:before="0" w:after="283"/>
              <w:jc w:val="left"/>
              <w:rPr/>
            </w:pPr>
            <w:r>
              <w:rPr/>
              <w:t>Denominations; Transfer;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w:t>
      </w:r>
      <w:r>
        <w:rPr>
          <w:rFonts w:ascii="Times New Roman;Times;Serif" w:hAnsi="Times New Roman;Times;Serif"/>
          <w:b w:val="false"/>
          <w:i/>
          <w:caps w:val="false"/>
          <w:smallCaps w:val="false"/>
          <w:sz w:val="20"/>
        </w:rPr>
        <w:t>$2,000</w:t>
      </w:r>
      <w:r>
        <w:rPr>
          <w:rFonts w:ascii="Times New Roman;Times;Serif" w:hAnsi="Times New Roman;Times;Serif"/>
          <w:b w:val="false"/>
          <w:i w:val="false"/>
          <w:caps w:val="false"/>
          <w:smallCaps w:val="false"/>
          <w:sz w:val="20"/>
        </w:rPr>
        <w:t>] and multiples of [</w:t>
      </w:r>
      <w:r>
        <w:rPr>
          <w:rFonts w:ascii="Times New Roman;Times;Serif" w:hAnsi="Times New Roman;Times;Serif"/>
          <w:b w:val="false"/>
          <w:i/>
          <w:caps w:val="false"/>
          <w:smallCaps w:val="false"/>
          <w:sz w:val="20"/>
        </w:rPr>
        <w:t>$1,000</w:t>
      </w:r>
      <w:r>
        <w:rPr>
          <w:rFonts w:ascii="Times New Roman;Times;Serif" w:hAnsi="Times New Roman;Times;Serif"/>
          <w:b w:val="false"/>
          <w:i w:val="false"/>
          <w:caps w:val="false"/>
          <w:smallCaps w:val="false"/>
          <w:sz w:val="20"/>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Times New Roman;Times;Serif" w:hAnsi="Times New Roman;Times;Serif"/>
          <w:b w:val="false"/>
          <w:i/>
          <w:caps w:val="false"/>
          <w:smallCaps w:val="false"/>
          <w:sz w:val="20"/>
        </w:rPr>
        <w:t>The Issuer need not register the transfer of or exchange (a) any Securities for a period of fifteen (15) days preceding the first notice that such Securities are to be redeemed, or (b) any Securities selected, called or being called for redemption in whole or in part, except, in the case of any Security to be redeemed in part, the portion thereof not to be so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283"/>
              <w:jc w:val="left"/>
              <w:rPr/>
            </w:pPr>
            <w:r>
              <w:rPr/>
              <w:t>6.</w:t>
            </w:r>
          </w:p>
        </w:tc>
        <w:tc>
          <w:tcPr>
            <w:tcW w:w="2495" w:type="dxa"/>
            <w:tcBorders/>
            <w:vAlign w:val="center"/>
          </w:tcPr>
          <w:p>
            <w:pPr>
              <w:pStyle w:val="TableContents"/>
              <w:bidi w:val="0"/>
              <w:spacing w:before="0" w:after="283"/>
              <w:jc w:val="left"/>
              <w:rPr/>
            </w:pPr>
            <w:r>
              <w:rPr/>
              <w:t>Persons Deemed 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15"/>
        <w:gridCol w:w="1775"/>
      </w:tblGrid>
      <w:tr>
        <w:trPr/>
        <w:tc>
          <w:tcPr>
            <w:tcW w:w="215" w:type="dxa"/>
            <w:tcBorders/>
            <w:vAlign w:val="center"/>
          </w:tcPr>
          <w:p>
            <w:pPr>
              <w:pStyle w:val="TableContents"/>
              <w:bidi w:val="0"/>
              <w:spacing w:before="0" w:after="283"/>
              <w:jc w:val="left"/>
              <w:rPr/>
            </w:pPr>
            <w:r>
              <w:rPr/>
              <w:t>7.</w:t>
            </w:r>
          </w:p>
        </w:tc>
        <w:tc>
          <w:tcPr>
            <w:tcW w:w="1775" w:type="dxa"/>
            <w:tcBorders/>
            <w:vAlign w:val="center"/>
          </w:tcPr>
          <w:p>
            <w:pPr>
              <w:pStyle w:val="TableContents"/>
              <w:bidi w:val="0"/>
              <w:spacing w:before="0" w:after="283"/>
              <w:jc w:val="left"/>
              <w:rPr/>
            </w:pPr>
            <w:r>
              <w:rPr/>
              <w:t>Unclaimed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After that, all liability of the Trustee and such Paying Agent with respect to such funds shall cease.</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15"/>
        <w:gridCol w:w="1190"/>
      </w:tblGrid>
      <w:tr>
        <w:trPr/>
        <w:tc>
          <w:tcPr>
            <w:tcW w:w="215" w:type="dxa"/>
            <w:tcBorders/>
            <w:vAlign w:val="center"/>
          </w:tcPr>
          <w:p>
            <w:pPr>
              <w:pStyle w:val="TableContents"/>
              <w:bidi w:val="0"/>
              <w:spacing w:before="0" w:after="283"/>
              <w:jc w:val="left"/>
              <w:rPr/>
            </w:pPr>
            <w:r>
              <w:rPr/>
              <w:t>8.</w:t>
            </w:r>
          </w:p>
        </w:tc>
        <w:tc>
          <w:tcPr>
            <w:tcW w:w="1190" w:type="dxa"/>
            <w:tcBorders/>
            <w:vAlign w:val="center"/>
          </w:tcPr>
          <w:p>
            <w:pPr>
              <w:pStyle w:val="TableContents"/>
              <w:bidi w:val="0"/>
              <w:spacing w:before="0" w:after="283"/>
              <w:jc w:val="left"/>
              <w:rPr/>
            </w:pPr>
            <w:r>
              <w:rPr/>
              <w:t>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t>
      </w:r>
      <w:r>
        <w:rPr>
          <w:rFonts w:ascii="Times New Roman;Times;Serif" w:hAnsi="Times New Roman;Times;Serif"/>
          <w:b w:val="false"/>
          <w:i/>
          <w:caps w:val="false"/>
          <w:smallCaps w:val="false"/>
          <w:sz w:val="20"/>
        </w:rPr>
        <w:t>as amended by the Supplemental Indenture</w:t>
      </w:r>
      <w:r>
        <w:rPr>
          <w:rFonts w:ascii="Times New Roman;Times;Serif" w:hAnsi="Times New Roman;Times;Serif"/>
          <w:b w:val="false"/>
          <w:i w:val="false"/>
          <w:caps w:val="false"/>
          <w:smallCaps w:val="false"/>
          <w:sz w:val="20"/>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Times New Roman;Times;Serif" w:hAnsi="Times New Roman;Times;Serif"/>
          <w:b w:val="false"/>
          <w:i/>
          <w:caps w:val="false"/>
          <w:smallCaps w:val="false"/>
          <w:sz w:val="20"/>
        </w:rPr>
        <w:t>apply</w:t>
      </w:r>
      <w:r>
        <w:rPr>
          <w:rFonts w:ascii="Times New Roman;Times;Serif" w:hAnsi="Times New Roman;Times;Serif"/>
          <w:b w:val="false"/>
          <w:i w:val="false"/>
          <w:caps w:val="false"/>
          <w:smallCaps w:val="false"/>
          <w:sz w:val="20"/>
        </w:rPr>
        <w:t>] to this Security.</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pPr>
            <w:r>
              <w:rPr/>
              <w:t>9.</w:t>
            </w:r>
          </w:p>
        </w:tc>
        <w:tc>
          <w:tcPr>
            <w:tcW w:w="3320" w:type="dxa"/>
            <w:tcBorders/>
            <w:vAlign w:val="center"/>
          </w:tcPr>
          <w:p>
            <w:pPr>
              <w:pStyle w:val="TableContents"/>
              <w:bidi w:val="0"/>
              <w:spacing w:before="0" w:after="283"/>
              <w:jc w:val="left"/>
              <w:rPr/>
            </w:pPr>
            <w:r>
              <w:rPr/>
              <w:t>Amendment; Supplement;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pPr>
            <w:r>
              <w:rPr/>
              <w:t>10.</w:t>
            </w:r>
          </w:p>
        </w:tc>
        <w:tc>
          <w:tcPr>
            <w:tcW w:w="2285" w:type="dxa"/>
            <w:tcBorders/>
            <w:vAlign w:val="center"/>
          </w:tcPr>
          <w:p>
            <w:pPr>
              <w:pStyle w:val="TableContents"/>
              <w:bidi w:val="0"/>
              <w:spacing w:before="0" w:after="283"/>
              <w:jc w:val="left"/>
              <w:rPr/>
            </w:pPr>
            <w:r>
              <w:rPr/>
              <w:t>Defaults and 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Times;Serif" w:hAnsi="Times New Roman;Times;Serif"/>
          <w:b w:val="false"/>
          <w:i/>
          <w:caps w:val="false"/>
          <w:smallCaps w:val="false"/>
          <w:sz w:val="20"/>
        </w:rPr>
        <w:t>the entire principal</w:t>
      </w:r>
      <w:r>
        <w:rPr>
          <w:rFonts w:ascii="Times New Roman;Times;Serif" w:hAnsi="Times New Roman;Times;Serif"/>
          <w:b w:val="false"/>
          <w:i w:val="false"/>
          <w:caps w:val="false"/>
          <w:smallCaps w:val="false"/>
          <w:sz w:val="20"/>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Times;Serif" w:hAnsi="Times New Roman;Times;Serif"/>
          <w:b w:val="false"/>
          <w:i/>
          <w:caps w:val="false"/>
          <w:smallCaps w:val="false"/>
          <w:sz w:val="20"/>
        </w:rPr>
        <w:t>the entire principal</w:t>
      </w:r>
      <w:r>
        <w:rPr>
          <w:rFonts w:ascii="Times New Roman;Times;Serif" w:hAnsi="Times New Roman;Times;Serif"/>
          <w:b w:val="false"/>
          <w:i w:val="false"/>
          <w:caps w:val="false"/>
          <w:smallCaps w:val="false"/>
          <w:sz w:val="20"/>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35"/>
        <w:gridCol w:w="1430"/>
      </w:tblGrid>
      <w:tr>
        <w:trPr/>
        <w:tc>
          <w:tcPr>
            <w:tcW w:w="335" w:type="dxa"/>
            <w:tcBorders/>
            <w:vAlign w:val="center"/>
          </w:tcPr>
          <w:p>
            <w:pPr>
              <w:pStyle w:val="TableContents"/>
              <w:bidi w:val="0"/>
              <w:spacing w:before="0" w:after="283"/>
              <w:jc w:val="left"/>
              <w:rPr/>
            </w:pPr>
            <w:r>
              <w:rPr/>
              <w:t>11.</w:t>
            </w:r>
          </w:p>
        </w:tc>
        <w:tc>
          <w:tcPr>
            <w:tcW w:w="1430" w:type="dxa"/>
            <w:tcBorders/>
            <w:vAlign w:val="center"/>
          </w:tcPr>
          <w:p>
            <w:pPr>
              <w:pStyle w:val="TableContents"/>
              <w:bidi w:val="0"/>
              <w:spacing w:before="0" w:after="283"/>
              <w:jc w:val="left"/>
              <w:rPr/>
            </w:pPr>
            <w:r>
              <w:rPr/>
              <w:t>Subordination.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pPr>
            <w:r>
              <w:rPr/>
              <w:t>12.</w:t>
            </w:r>
          </w:p>
        </w:tc>
        <w:tc>
          <w:tcPr>
            <w:tcW w:w="2795" w:type="dxa"/>
            <w:tcBorders/>
            <w:vAlign w:val="center"/>
          </w:tcPr>
          <w:p>
            <w:pPr>
              <w:pStyle w:val="TableContents"/>
              <w:bidi w:val="0"/>
              <w:spacing w:before="0" w:after="283"/>
              <w:jc w:val="left"/>
              <w:rPr/>
            </w:pPr>
            <w:r>
              <w:rPr/>
              <w:t>Trustee Dealings with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283"/>
              <w:jc w:val="left"/>
              <w:rPr/>
            </w:pPr>
            <w:r>
              <w:rPr/>
              <w:t>13.</w:t>
            </w:r>
          </w:p>
        </w:tc>
        <w:tc>
          <w:tcPr>
            <w:tcW w:w="2825" w:type="dxa"/>
            <w:tcBorders/>
            <w:vAlign w:val="center"/>
          </w:tcPr>
          <w:p>
            <w:pPr>
              <w:pStyle w:val="TableContents"/>
              <w:bidi w:val="0"/>
              <w:spacing w:before="0" w:after="283"/>
              <w:jc w:val="left"/>
              <w:rPr/>
            </w:pPr>
            <w:r>
              <w:rPr/>
              <w:t>No Recourse Against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335"/>
        <w:gridCol w:w="1490"/>
      </w:tblGrid>
      <w:tr>
        <w:trPr/>
        <w:tc>
          <w:tcPr>
            <w:tcW w:w="335" w:type="dxa"/>
            <w:tcBorders/>
            <w:vAlign w:val="center"/>
          </w:tcPr>
          <w:p>
            <w:pPr>
              <w:pStyle w:val="TableContents"/>
              <w:bidi w:val="0"/>
              <w:spacing w:before="0" w:after="283"/>
              <w:jc w:val="left"/>
              <w:rPr/>
            </w:pPr>
            <w:r>
              <w:rPr/>
              <w:t>14.</w:t>
            </w:r>
          </w:p>
        </w:tc>
        <w:tc>
          <w:tcPr>
            <w:tcW w:w="1490" w:type="dxa"/>
            <w:tcBorders/>
            <w:vAlign w:val="center"/>
          </w:tcPr>
          <w:p>
            <w:pPr>
              <w:pStyle w:val="TableContents"/>
              <w:bidi w:val="0"/>
              <w:spacing w:before="0" w:after="283"/>
              <w:jc w:val="left"/>
              <w:rPr/>
            </w:pPr>
            <w:r>
              <w:rPr/>
              <w:t>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35"/>
        <w:gridCol w:w="3320"/>
      </w:tblGrid>
      <w:tr>
        <w:trPr/>
        <w:tc>
          <w:tcPr>
            <w:tcW w:w="335" w:type="dxa"/>
            <w:tcBorders/>
            <w:vAlign w:val="center"/>
          </w:tcPr>
          <w:p>
            <w:pPr>
              <w:pStyle w:val="TableContents"/>
              <w:bidi w:val="0"/>
              <w:spacing w:before="0" w:after="283"/>
              <w:jc w:val="left"/>
              <w:rPr/>
            </w:pPr>
            <w:r>
              <w:rPr/>
              <w:t>15.</w:t>
            </w:r>
          </w:p>
        </w:tc>
        <w:tc>
          <w:tcPr>
            <w:tcW w:w="3320" w:type="dxa"/>
            <w:tcBorders/>
            <w:vAlign w:val="center"/>
          </w:tcPr>
          <w:p>
            <w:pPr>
              <w:pStyle w:val="TableContents"/>
              <w:bidi w:val="0"/>
              <w:spacing w:before="0" w:after="283"/>
              <w:jc w:val="left"/>
              <w:rPr/>
            </w:pPr>
            <w:r>
              <w:rPr/>
              <w:t>Abbreviations and Defined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35"/>
        <w:gridCol w:w="1715"/>
      </w:tblGrid>
      <w:tr>
        <w:trPr/>
        <w:tc>
          <w:tcPr>
            <w:tcW w:w="335" w:type="dxa"/>
            <w:tcBorders/>
            <w:vAlign w:val="center"/>
          </w:tcPr>
          <w:p>
            <w:pPr>
              <w:pStyle w:val="TableContents"/>
              <w:bidi w:val="0"/>
              <w:spacing w:before="0" w:after="283"/>
              <w:jc w:val="left"/>
              <w:rPr/>
            </w:pPr>
            <w:r>
              <w:rPr/>
              <w:t>16.</w:t>
            </w:r>
          </w:p>
        </w:tc>
        <w:tc>
          <w:tcPr>
            <w:tcW w:w="1715" w:type="dxa"/>
            <w:tcBorders/>
            <w:vAlign w:val="center"/>
          </w:tcPr>
          <w:p>
            <w:pPr>
              <w:pStyle w:val="TableContents"/>
              <w:bidi w:val="0"/>
              <w:spacing w:before="0" w:after="283"/>
              <w:jc w:val="left"/>
              <w:rPr/>
            </w:pPr>
            <w:r>
              <w:rPr/>
              <w:t>CUSIP Numbers.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35"/>
        <w:gridCol w:w="1610"/>
      </w:tblGrid>
      <w:tr>
        <w:trPr/>
        <w:tc>
          <w:tcPr>
            <w:tcW w:w="335" w:type="dxa"/>
            <w:tcBorders/>
            <w:vAlign w:val="center"/>
          </w:tcPr>
          <w:p>
            <w:pPr>
              <w:pStyle w:val="TableContents"/>
              <w:bidi w:val="0"/>
              <w:spacing w:before="0" w:after="283"/>
              <w:jc w:val="left"/>
              <w:rPr/>
            </w:pPr>
            <w:r>
              <w:rPr/>
              <w:t>17.</w:t>
            </w:r>
          </w:p>
        </w:tc>
        <w:tc>
          <w:tcPr>
            <w:tcW w:w="1610" w:type="dxa"/>
            <w:tcBorders/>
            <w:vAlign w:val="center"/>
          </w:tcPr>
          <w:p>
            <w:pPr>
              <w:pStyle w:val="TableContents"/>
              <w:bidi w:val="0"/>
              <w:spacing w:before="0" w:after="283"/>
              <w:jc w:val="left"/>
              <w:rPr/>
            </w:pPr>
            <w:r>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28" w:type="dxa"/>
          <w:right w:w="0" w:type="dxa"/>
        </w:tblCellMar>
      </w:tblPr>
      <w:tblGrid>
        <w:gridCol w:w="6170"/>
      </w:tblGrid>
      <w:tr>
        <w:trPr/>
        <w:tc>
          <w:tcPr>
            <w:tcW w:w="6170" w:type="dxa"/>
            <w:tcBorders>
              <w:bottom w:val="single" w:sz="8" w:space="0" w:color="000000"/>
            </w:tcBorders>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name, address and zip code of assignee or transferee)</w:t>
            </w:r>
          </w:p>
        </w:tc>
      </w:tr>
      <w:tr>
        <w:trPr/>
        <w:tc>
          <w:tcPr>
            <w:tcW w:w="6170" w:type="dxa"/>
            <w:tcBorders/>
            <w:tcMar>
              <w:bottom w:w="0" w:type="dxa"/>
            </w:tcMar>
            <w:vAlign w:val="center"/>
          </w:tcPr>
          <w:p>
            <w:pPr>
              <w:pStyle w:val="TableContents"/>
              <w:bidi w:val="0"/>
              <w:spacing w:before="0" w:after="283"/>
              <w:jc w:val="left"/>
              <w:rPr/>
            </w:pPr>
            <w:r>
              <w:rPr/>
              <w:t> </w:t>
            </w:r>
          </w:p>
        </w:tc>
      </w:tr>
      <w:tr>
        <w:trPr/>
        <w:tc>
          <w:tcPr>
            <w:tcW w:w="6170" w:type="dxa"/>
            <w:tcBorders>
              <w:bottom w:val="single" w:sz="8" w:space="0" w:color="000000"/>
            </w:tcBorders>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Social Security or other identifying number of assignee or transferee)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 agent to transfer this Security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575"/>
        <w:gridCol w:w="65"/>
        <w:gridCol w:w="65"/>
        <w:gridCol w:w="650"/>
        <w:gridCol w:w="539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53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exactly as name appears on the other side of this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6"/>
        <w:gridCol w:w="4127"/>
        <w:gridCol w:w="5172"/>
      </w:tblGrid>
      <w:tr>
        <w:trPr/>
        <w:tc>
          <w:tcPr>
            <w:tcW w:w="906" w:type="dxa"/>
            <w:tcBorders/>
            <w:vAlign w:val="center"/>
          </w:tcPr>
          <w:p>
            <w:pPr>
              <w:pStyle w:val="TableContents"/>
              <w:bidi w:val="0"/>
              <w:spacing w:before="0" w:after="283"/>
              <w:jc w:val="left"/>
              <w:rPr>
                <w:sz w:val="20"/>
              </w:rPr>
            </w:pPr>
            <w:r>
              <w:rPr>
                <w:sz w:val="20"/>
              </w:rPr>
              <w:t>Signature</w:t>
            </w:r>
          </w:p>
        </w:tc>
        <w:tc>
          <w:tcPr>
            <w:tcW w:w="9299" w:type="dxa"/>
            <w:gridSpan w:val="2"/>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sz w:val="20"/>
              </w:rPr>
            </w:pPr>
            <w:r>
              <w:rPr>
                <w:sz w:val="20"/>
              </w:rPr>
              <w:t>Guarantee:</w:t>
            </w:r>
          </w:p>
        </w:tc>
        <w:tc>
          <w:tcPr>
            <w:tcW w:w="4127" w:type="dxa"/>
            <w:tcBorders>
              <w:bottom w:val="single" w:sz="8" w:space="0" w:color="000000"/>
            </w:tcBorders>
            <w:tcMar>
              <w:bottom w:w="28" w:type="dxa"/>
            </w:tcMar>
            <w:vAlign w:val="center"/>
          </w:tcPr>
          <w:p>
            <w:pPr>
              <w:pStyle w:val="TableContents"/>
              <w:bidi w:val="0"/>
              <w:spacing w:before="0" w:after="283"/>
              <w:jc w:val="left"/>
              <w:rPr/>
            </w:pPr>
            <w:r>
              <w:rPr/>
              <w:t> </w:t>
            </w:r>
          </w:p>
        </w:tc>
        <w:tc>
          <w:tcPr>
            <w:tcW w:w="5172"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gridSpan w:val="2"/>
            <w:tcBorders/>
            <w:vAlign w:val="center"/>
          </w:tcPr>
          <w:p>
            <w:pPr>
              <w:pStyle w:val="TableContents"/>
              <w:bidi w:val="0"/>
              <w:spacing w:before="0" w:after="283"/>
              <w:jc w:val="left"/>
              <w:rPr>
                <w:sz w:val="20"/>
              </w:rPr>
            </w:pPr>
            <w:r>
              <w:rPr>
                <w:sz w:val="20"/>
              </w:rPr>
              <w:t>Participant in a recognized Signature Guarantee Medallion Program (or other signature guarantor program reasonably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6" w:name="tm2624301d2_ex5-1.htm"/>
      <w:bookmarkStart w:id="47" w:name="kstm2624301d2_ex51"/>
      <w:bookmarkEnd w:id="46"/>
      <w:bookmarkEnd w:id="4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749935" cy="118745"/>
            <wp:effectExtent l="0" t="0" r="0" b="0"/>
            <wp:docPr id="22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5" descr=""/>
                    <pic:cNvPicPr>
                      <a:picLocks noChangeAspect="1" noChangeArrowheads="1"/>
                    </pic:cNvPicPr>
                  </pic:nvPicPr>
                  <pic:blipFill>
                    <a:blip r:embed="rId39"/>
                    <a:stretch>
                      <a:fillRect/>
                    </a:stretch>
                  </pic:blipFill>
                  <pic:spPr bwMode="auto">
                    <a:xfrm>
                      <a:off x="0" y="0"/>
                      <a:ext cx="749935" cy="11874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Editas Medicine,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Hurley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3"/>
        <w:gridCol w:w="109"/>
        <w:gridCol w:w="9483"/>
      </w:tblGrid>
      <w:tr>
        <w:trPr/>
        <w:tc>
          <w:tcPr>
            <w:tcW w:w="613" w:type="dxa"/>
            <w:tcBorders/>
            <w:vAlign w:val="center"/>
          </w:tcPr>
          <w:p>
            <w:pPr>
              <w:pStyle w:val="TableContents"/>
              <w:bidi w:val="0"/>
              <w:spacing w:before="0" w:after="283"/>
              <w:jc w:val="left"/>
              <w:rPr/>
            </w:pPr>
            <w:r>
              <w:rPr/>
              <w:t>Re:</w:t>
            </w:r>
          </w:p>
        </w:tc>
        <w:tc>
          <w:tcPr>
            <w:tcW w:w="109"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left"/>
              <w:rPr>
                <w:u w:val="single"/>
              </w:rPr>
            </w:pPr>
            <w:r>
              <w:rPr>
                <w:u w:val="single"/>
              </w:rPr>
              <w:t>Editas Medicine, Inc. – 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a Registration Statement on Form S-3 (the “Registration Statement”) to be filed by Editas Medicine, Inc., a Delaware corporation (the “Company”), with the Securities and Exchange Commission (the “Commission”) under the Securities Act of 1933, as amended (the “Securities Act”), for the registration of the following securities of the Company (the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99"/>
        <w:gridCol w:w="9825"/>
      </w:tblGrid>
      <w:tr>
        <w:trPr/>
        <w:tc>
          <w:tcPr>
            <w:tcW w:w="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w:t>
            </w:r>
          </w:p>
        </w:tc>
        <w:tc>
          <w:tcPr>
            <w:tcW w:w="9825" w:type="dxa"/>
            <w:tcBorders/>
            <w:vAlign w:val="center"/>
          </w:tcPr>
          <w:p>
            <w:pPr>
              <w:pStyle w:val="TableContents"/>
              <w:bidi w:val="0"/>
              <w:spacing w:before="0" w:after="283"/>
              <w:jc w:val="left"/>
              <w:rPr/>
            </w:pPr>
            <w:r>
              <w:rPr/>
              <w:t>senior debt securities (“Senior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subordinated debt securities (“Subordinated Debt Securities” and, together with the Senior Debt Securities,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13"/>
        <w:gridCol w:w="9732"/>
      </w:tblGrid>
      <w:tr>
        <w:trPr/>
        <w:tc>
          <w:tcPr>
            <w:tcW w:w="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iii.</w:t>
            </w:r>
          </w:p>
        </w:tc>
        <w:tc>
          <w:tcPr>
            <w:tcW w:w="9732" w:type="dxa"/>
            <w:tcBorders/>
            <w:vAlign w:val="center"/>
          </w:tcPr>
          <w:p>
            <w:pPr>
              <w:pStyle w:val="TableContents"/>
              <w:bidi w:val="0"/>
              <w:spacing w:before="0" w:after="283"/>
              <w:jc w:val="left"/>
              <w:rPr/>
            </w:pPr>
            <w:r>
              <w:rPr/>
              <w:t>common stock, par value $0.0001 per share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12"/>
        <w:gridCol w:w="9733"/>
      </w:tblGrid>
      <w:tr>
        <w:trPr/>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iv.</w:t>
            </w:r>
          </w:p>
        </w:tc>
        <w:tc>
          <w:tcPr>
            <w:tcW w:w="9733" w:type="dxa"/>
            <w:tcBorders/>
            <w:vAlign w:val="center"/>
          </w:tcPr>
          <w:p>
            <w:pPr>
              <w:pStyle w:val="TableContents"/>
              <w:bidi w:val="0"/>
              <w:spacing w:before="0" w:after="283"/>
              <w:jc w:val="left"/>
              <w:rPr/>
            </w:pPr>
            <w:r>
              <w:rPr/>
              <w:t>preferred stock, par value $0.0001 per share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left"/>
              <w:rPr/>
            </w:pPr>
            <w:r>
              <w:rPr/>
              <w:t>depositary shares representing fractional interests in a share or multiple shares of Preferred Stock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left"/>
              <w:rPr/>
            </w:pPr>
            <w:r>
              <w:rPr/>
              <w:t>subscription rights representing rights to purchase Common Stock, Preferred Stock, Debt Securities or other securities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8" w:type="dxa"/>
            <w:tcBorders/>
            <w:vAlign w:val="center"/>
          </w:tcPr>
          <w:p>
            <w:pPr>
              <w:pStyle w:val="TableContents"/>
              <w:bidi w:val="0"/>
              <w:spacing w:before="0" w:after="283"/>
              <w:jc w:val="left"/>
              <w:rPr/>
            </w:pPr>
            <w:r>
              <w:rPr/>
              <w:t>contracts obligating the Company or a holder to purchase or sell Common Stock, Preferred Stock or Depositary Shares at a future date or dates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9788" w:type="dxa"/>
            <w:tcBorders/>
            <w:vAlign w:val="center"/>
          </w:tcPr>
          <w:p>
            <w:pPr>
              <w:pStyle w:val="TableContents"/>
              <w:bidi w:val="0"/>
              <w:spacing w:before="0" w:after="283"/>
              <w:jc w:val="left"/>
              <w:rPr/>
            </w:pPr>
            <w:r>
              <w:rPr/>
              <w:t>warrants to purchase Debt Securities, Common Stock, Preferred Stock or Depositary Shares (“Warrants”);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9908" w:type="dxa"/>
            <w:tcBorders/>
            <w:vAlign w:val="center"/>
          </w:tcPr>
          <w:p>
            <w:pPr>
              <w:pStyle w:val="TableContents"/>
              <w:bidi w:val="0"/>
              <w:spacing w:before="0" w:after="283"/>
              <w:jc w:val="left"/>
              <w:rPr/>
            </w:pPr>
            <w:r>
              <w:rPr/>
              <w:t>units, consisting of one or more securities, including Purchase Contracts, Common Stock, Preferred Stock, Debt Securities, Depositary Shares, Warrants or any other securities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which may be issued from time to time on a delayed or continuous basis pursuant to Rule 415 under the Securities Act with an aggregate offering price of up to $400,000,000, as set forth in the Registration Statement, the base prospectus contained therein (the “Prospectus”) and any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26510" cy="191770"/>
            <wp:effectExtent l="0" t="0" r="0" b="0"/>
            <wp:docPr id="2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6" descr=""/>
                    <pic:cNvPicPr>
                      <a:picLocks noChangeAspect="1" noChangeArrowheads="1"/>
                    </pic:cNvPicPr>
                  </pic:nvPicPr>
                  <pic:blipFill>
                    <a:blip r:embed="rId40"/>
                    <a:stretch>
                      <a:fillRect/>
                    </a:stretch>
                  </pic:blipFill>
                  <pic:spPr bwMode="auto">
                    <a:xfrm>
                      <a:off x="0" y="0"/>
                      <a:ext cx="3826510" cy="19177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counsel for the Company in connection with the filing of the Registration Statement. The Senior Debt Securities may be issued pursuant to a senior indenture (the “Senior Indenture”) to be entered into between the Company and a trustee to be named as trustee (the “Senior Trustee”) and duly qualified under the Trust Indenture Act of 1939, as amended (the “Trust Indenture Act”). The Subordinated Debt Securities may be issued pursuant to a subordinated indenture (the “Subordinated Indenture,” and together with the Senior Indenture, the “Indentures,” and each individually, an “Indenture”) to be entered into between the Company and a trustee to be named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shares of Preferred Stock represented by Depositary Shares will be deposited pursuant to a Depositary Agreement (the “Depositary Agreement”) to be entered into between the Company and a bank or trust company to be named, as depositary. The Purchase Contracts may be issued pursuant to a Purchase Contract Agreement (the “Purchase Contract Agreement”) to be entered into between the Company and a bank or trust company to be named, as purchase contract agent. The Units may be issued pursuant to a Unit Agreement (the “Unit Agreement”) to be entered into between the Company and a bank or trust company to be named, as unit agent. The Subscription Rights may be issued pursuant to a subscription rights certificate or subscription rights agreement to be entered into between the Company and a bank or trust company to be named, as subscription agent (the “Subscription Rights Agreement”). The Warrants may be issued pursuant to a warrant agreement (the “Warrant Agreement”) to be entered into between the Company and a bank or trust company to be named, as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acting as counsel for the Company in connection with the sales agreement prospectus included in the Registration Statement (the “Sales Agreement Prospectus”) relating to the issuance and sale of shares of Common Stock having an aggregate offering price of up to $150,000,000 (the “Sales Agreement Shares”) under a Sales Agreement, dated August 31, 2026, between the Company and Leerink Partners LLC, as agent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and relied upon signed copies of the Registration Statement to be filed with the Commission, including the exhibits thereto. We have also examined and relied upon the Sales Agreement, the Restated Certificate of Incorporation of the Company (as amended or restated from time to time, the “Certificate of Incorporation”), the Amended and Restated Bylaws of the Company (as amended or restated from time to time, the “Bylaws”) and minutes of meetings of the stockholders and the Board of Directors of the Company, including duly authorized committees thereof, as provided to us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and officers of the Company, and we have assumed (i) the Registration Statement will be effective and will comply with all applicable laws at the time Securities are offered or issued as contemplated by the Registration Statement; (ii) other than for the Sales Agreement Shares,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the Sales Agreement Prospectus, as applicable, and any applicable prospectus supplement; (iv) in the case of Debt Securities, (a) the applicable Indenture will be duly authorized, executed and delivered by the applicable Trustee in substantially the form filed as Exhibit 4.4 or Exhibit 4.5 to the Registration Statement, (b) the applicable Trustee will be duly eligible to serve as trustee, and (c) the Debt Securities will be duly authenticated by the Trustee named in the applicable Indenture; (v) any Depositary Agreement, Purchase Contract Agreement, Unit Agreement, Subscription Rights Agreement or Warrant Agreement, as applicable, will be duly authorized, executed and delivered by all parties thereto other than the Company; (vi) other than for the Sales Agreement Shares, a definitive purchase, underwriting or similar agreement with respect to any Securities offered, to the extent applicable, will be duly authorized, executed and delivered by all parties thereto other than the Company; (vii) 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 (ix) if issued in uncertificated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Purchase Contract Agreement, Unit Agreement, Subscription Rights Agreement or Warrant Agreement will be governed by the laws of the State of New York or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of the Board of Directors of the Company or any person acting pursuant to authority properly delegated to such person by the Board of Directors of the Company or any committee of the Board of Directors of the Company) shall not have taken any action to rescind or otherwise reduce its prior authorization of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below are qualified to the extent that they may be subject to or affected by (i) 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Debt Securities, when (i) specifically authorized for issuance by proper action of the Board of Directors of the Company or an authorized committee thereof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any applicable underwriting agreement or other purchase agreement, such Debt Securities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shares of Common Stock (other than the Sales Agreement Shares),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any applicable underwriting or other purchase agreement or upon conversion, exercise or exchange of any Security offered under the Registration Statement against payment therefor, and (iv) the Company has received the consideration provided for in the Authorizing Resolutions and any applicable underwriting agreement or other purchase agreement and such consideration per share is not less than the par value per share of the Common Stock, the Common Stock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shares of any series of Preferred Stock, when (i)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(ii) such Certificate of Designation has been duly filed with the Secretary of State of the State of Delaware, (iii) the terms of the issuance and sale of the series of Preferred Stock have been duly established in conformity with the Certificate of Incorporation, Bylaws and Authorizing Resolutions, (iv) the shares of the series of Preferred Stock have been issued and delivered as contemplated by the Registration Statement, the Prospectus and any applicable prospectus supplement in accordance with any applicable underwriting or other purchase agreement against payment therefor, and (v) the Company has received the consideration provided for in the Authorizing Resolutions and any applicable underwriting agreement or other purchase agreement and such consideration per share is not less than the par value per share of the Preferred Stock, the shares of such series of Preferred Stock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the Depositary Shares, when (i) Authorizing Resolutions have specifically authorized the issuance and terms of the Depositary Shares, the terms of the offering thereof and related matters, including the adoption of a Certificate of Designation relating to the Preferred Stock underlying the Depositary Shares and the filing of the Certificate of Designation with the Secretary of State of the State of Delaware, (ii)  such Certificate of Designation has been duly filed with the Secretary of State of the State of Delaware, (iii) the applicable Depositary Agreement relating to the Depositary Shares has been duly authorized, executed and delivered; any depositary receipts evidencing rights in the Depositary Shares have been executed; and the depositary appointed by the Company, (iv) the terms of the issuance and sale of the Depositary Shares have been duly established in conformity with the Certificate of Incorporation and Bylaws, (v) the Depositary Shares have been issued and delivered as contemplated by the Registration Statement, the Prospectus and any applicable prospectus supplement in accordance with any applicable underwriting or other purchase agreement against payment therefor, (vi) the shares of Preferred Stock underlying the Depositary Shares have been deposited with a bank or trust company (which meets the requirements for the depositary set forth in the Registration Statement), and (vii) the Company has received the consideration provided for in the Authorizing Resolutions and any applicable underwriting agreement or other purchase agreement, the Depositary Shares will be legally issued and will entitle the holders of such Depositary Shares to the rights specified in the applicable Depositary Agreement and the applicable depositary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 respect to the Purchase Contracts, when (i) specifically authorized for issuance by Authorizing Resolutions, (ii) the applicable Purchase Contract Agreement has been duly authorized, executed and delivered, (iii) the terms of the Purchase Contracts and of their issuance and sale have been duly established in conformity with the applicable Purchase Contract Agreement and the Authorizing Resolutions, (iv) the Purchase Contracts have been duly executed and delivered in accordance with the applicable Purchase Contract Agreement and issued and delivered as contemplated by the Registration Statement, the Prospectus and any applicable prospectus supplement in accordance with any applicable underwriting or other purchase agreement against payment therefor, and (v) the Company has received the consideration provided for in the Authorizing Resolutions and any applicable underwriting agreement or other purchase agreement, such Purchase Contracts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With respect to the Units, when (i) specifically authorized for issuance by Authorizing Resolutions, (ii) any applicable Unit Agreement has been duly authorized, executed and delivered, (iii) the terms of the Units and of their issuance and sale have been duly established in conformity with any applicable Unit Agreement and the Authorizing Resolutions, (iv) the Units have been duly executed and delivered in accordance with any applicable Unit Agreement and issued and delivered as contemplated by the Registration Statement, the Prospectus and any applicable prospectus supplement in accordance with any applicable underwriting or other purchase agreement against payment therefor, and (v) the Company has received the consideration provided for in the Authorizing Resolutions and any applicable underwriting agreement or other purchase agreement, such Units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With respect to the Subscription Rights, when (i) specifically authorized for issuance by Authorizing Resolutions, (ii) any applicable Subscription Rights Agreement has been duly authorized, executed and delivered, (iii) the terms of the Subscription Rights and of their issuance and sale have been duly established in conformity with any applicable Subscription Rights Agreement and the Authorizing Resolutions, (iv) the Subscription Rights have been duly executed and delivered in accordance with any applicable Subscription Rights Agreement and issued and delivered as contemplated by the Registration Statement, the Prospectus and any applicable prospectus supplement in accordance with any applicable underwriting or other purchase agreement against payment therefor, and (v) the Company has received the consideration provided for in the Authorizing Resolutions and any applicable underwriting agreement or other purchase agreement, such Subscription Rights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With respect to the Warrants, when (i) specifically authorized for issuance by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the Authorizing Resolutions, (iv) the Warrants have been duly executed by the Company and, if applicable, countersigned in accordance with any Warrant Agreement and the Authorizing Resolutions and issued and delivered as contemplated by the Registration Statement, the Prospectus and any applicable prospectus supplement in accordance with any applicable underwriting or other purchase agreement against payment therefor, and (v) the Company has received the consideration provided for in the Authorizing Resolutions and any applicable underwriting agreement or other purchase agreement, such Warrants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With respect to the Sales Agreement Shares, such Sales Agreement Shares have been duly authorized for issuance, and when the Sales Agreement Shares have been issued and paid for in accordance with the terms and conditions of the Sales Agreement, the Sales Agreement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in accordance with the requirements of Item 601(b)(5) of Regulation S-K under the Securities Act and to the use of our name therein and in the related Prospectus, the Sales Agreement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Wilmer Cutler Pickering Hale and Dorr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WILMER CUTLER PICKERING HALE AND DORR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8" w:name="tm2624301d2_ex23-1.htm"/>
      <w:bookmarkStart w:id="49" w:name="kstm2624301d2_ex231"/>
      <w:bookmarkEnd w:id="48"/>
      <w:bookmarkEnd w:id="49"/>
      <w:r>
        <w:rPr/>
        <w:t> </w:t>
      </w:r>
      <w:r>
        <w:br w:type="page"/>
      </w:r>
    </w:p>
    <w:p>
      <w:pPr>
        <w:pStyle w:val="TextBody"/>
        <w:bidi w:val="0"/>
        <w:jc w:val="right"/>
        <w:rPr/>
      </w:pPr>
      <w:r>
        <w:rPr/>
        <w:t>Exhibit 23.1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Editas Medicine, Inc. for the registration of $400,000,000 of common stock, preferred stock, debt securities, depositary shares, subscription rights, purchase contracts, warrants and units and to the incorporation by reference therein of our report dated March 9, 2026, with respect to the consolidated financial statements of Editas Medicine,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 w:name="tm2624301d1_ex-filingfees.htm"/>
      <w:bookmarkStart w:id="51" w:name="kstm2624301d1_exfilingfees"/>
      <w:bookmarkStart w:id="52" w:name="tm2624301d1_ex-filingfees.htm"/>
      <w:bookmarkStart w:id="53" w:name="kstm2624301d1_exfilingfees"/>
      <w:bookmarkEnd w:id="52"/>
      <w:bookmarkEnd w:id="53"/>
      <w:r>
        <w:br w:type="page"/>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Editas Medicine,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5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$ 400,000,000.00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$ 55,240.00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54" w:name="MaxAggtOfferingPrice"/>
            <w:bookmarkEnd w:id="54"/>
            <w:r>
              <w:rPr/>
              <w:t xml:space="preserve">$ 400,000,000.00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5" w:name="TotalFeeAmt"/>
            <w:bookmarkEnd w:id="55"/>
            <w:r>
              <w:rPr/>
              <w:t xml:space="preserve">$ 55,240.00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6" w:name="TotalPreviouslyPaidAmt"/>
            <w:bookmarkEnd w:id="5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7" w:name="TotalOffsetAmt"/>
            <w:bookmarkEnd w:id="5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8" w:name="NetFeeAmt"/>
            <w:bookmarkEnd w:id="58"/>
            <w:r>
              <w:rPr/>
              <w:t xml:space="preserve">$ 55,240.00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of up to $400,000,000.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offering price are estimated solely for the purpose of calculating the registration fee pursuant to Rule 457(o) under the Securities Act. Each depositary share will be issued under a deposit agreement, will represent an interest in a fractional share or multiple shares of preferred stock and will be evidenced by a depositary receipt. The subscription rights to purchase shares of common stock or preferred stock or other securities will be offered without additional consideration. Each purchase contract will be issued under a purchase agreement and will obligate holders to purchase from or sell to Editas Medicine, Inc. and obligate Editas Medicine, Inc. to sell to or purchase from the holders, a specified number of shares of common stock, preferred stock or depositary shares. The warrants covered by this registration statement may be warrants for common stock, preferred stock, depositary shares or debt securities. The purchase contracts will be issued separately or as a part of units consisting of a purchase contract and either shares of common stock, shares of preferred stock, debt securities, debt obligations of third parties securing the holder's obligations to purchase the securities under the share purchase contracts or the rights to purchase any securities under this registration statement. Units may be issued under a unit agreement and will represent an interest in one or more securities registered under this registration statement including shares of common stock or preferred stock, debt securities, depositary shares, subscription rights, warrants or purchase contracts, in any combination, which may or may not be separable from one another.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50664/000165066426000017/edit-20251231.htm" TargetMode="External"/><Relationship Id="rId4" Type="http://schemas.openxmlformats.org/officeDocument/2006/relationships/hyperlink" Target="https://www.sec.gov/ix?doc=/Archives/edgar/data/1650664/000165066426000037/edit-20260428.htm" TargetMode="External"/><Relationship Id="rId5" Type="http://schemas.openxmlformats.org/officeDocument/2006/relationships/hyperlink" Target="https://www.sec.gov/ix?doc=/Archives/edgar/data/1650664/000165066426000045/edit-20260331.htm" TargetMode="External"/><Relationship Id="rId6" Type="http://schemas.openxmlformats.org/officeDocument/2006/relationships/hyperlink" Target="https://www.sec.gov/ix?doc=/Archives/edgar/data/1650664/000165066426000083/edit-20260630.htm" TargetMode="External"/><Relationship Id="rId7" Type="http://schemas.openxmlformats.org/officeDocument/2006/relationships/hyperlink" Target="https://www.sec.gov/ix?doc=/Archives/edgar/data/1650664/000165066426000027/edit-20260326.htm" TargetMode="External"/><Relationship Id="rId8" Type="http://schemas.openxmlformats.org/officeDocument/2006/relationships/hyperlink" Target="https://www.sec.gov/ix?doc=/Archives/edgar/data/1650664/000165066426000030/edit-20260401.htm" TargetMode="External"/><Relationship Id="rId9" Type="http://schemas.openxmlformats.org/officeDocument/2006/relationships/hyperlink" Target="https://www.sec.gov/ix?doc=/Archives/edgar/data/1650664/000165066426000049/edit-20260514.htm" TargetMode="External"/><Relationship Id="rId10" Type="http://schemas.openxmlformats.org/officeDocument/2006/relationships/hyperlink" Target="https://www.sec.gov/ix?doc=/Archives/edgar/data/1650664/000110465926065908/tm2615565d1_8k.htm" TargetMode="External"/><Relationship Id="rId11" Type="http://schemas.openxmlformats.org/officeDocument/2006/relationships/hyperlink" Target="https://www.sec.gov/ix?doc=/Archives/edgar/data/1650664/000110465926066021/tm2615565d2_8k.htm" TargetMode="External"/><Relationship Id="rId12" Type="http://schemas.openxmlformats.org/officeDocument/2006/relationships/hyperlink" Target="https://www.sec.gov/ix?doc=/Archives/edgar/data/1650664/000110465926066317/tm2615565d3_8k.htm" TargetMode="External"/><Relationship Id="rId13" Type="http://schemas.openxmlformats.org/officeDocument/2006/relationships/hyperlink" Target="https://www.sec.gov/ix?doc=/Archives/edgar/data/1650664/000165066426000063/edit-20260617.htm" TargetMode="External"/><Relationship Id="rId14" Type="http://schemas.openxmlformats.org/officeDocument/2006/relationships/hyperlink" Target="https://www.sec.gov/ix?doc=/Archives/edgar/data/1650664/000165066426000082/edit-20260803.htm" TargetMode="External"/><Relationship Id="rId15" Type="http://schemas.openxmlformats.org/officeDocument/2006/relationships/hyperlink" Target="https://www.sec.gov/Archives/edgar/data/1650664/000110465916092420/a16-3079_18a12b.htm" TargetMode="External"/><Relationship Id="rId16" Type="http://schemas.openxmlformats.org/officeDocument/2006/relationships/hyperlink" Target="https://www.sec.gov/Archives/edgar/data/1650664/000165066426000017/ex42-descriptionofcapitals.htm" TargetMode="External"/><Relationship Id="rId17" Type="http://schemas.openxmlformats.org/officeDocument/2006/relationships/hyperlink" Target="https://www.sec.gov/ix?doc=/Archives/edgar/data/1650664/000165066426000017/edit-20251231.htm" TargetMode="External"/><Relationship Id="rId18" Type="http://schemas.openxmlformats.org/officeDocument/2006/relationships/hyperlink" Target="https://www.sec.gov/ix?doc=/Archives/edgar/data/1650664/000165066426000017/edit-20251231.htm" TargetMode="External"/><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hyperlink" Target="https://www.sec.gov/ix?doc=/Archives/edgar/data/1650664/000165066426000017/edit-20251231.htm" TargetMode="External"/><Relationship Id="rId22" Type="http://schemas.openxmlformats.org/officeDocument/2006/relationships/hyperlink" Target="https://www.sec.gov/ix?doc=/Archives/edgar/data/1650664/000165066426000037/edit-20260428.htm" TargetMode="External"/><Relationship Id="rId23" Type="http://schemas.openxmlformats.org/officeDocument/2006/relationships/hyperlink" Target="https://www.sec.gov/ix?doc=/Archives/edgar/data/1650664/000165066426000045/edit-20260331.htm" TargetMode="External"/><Relationship Id="rId24" Type="http://schemas.openxmlformats.org/officeDocument/2006/relationships/hyperlink" Target="https://www.sec.gov/ix?doc=/Archives/edgar/data/1650664/000165066426000083/edit-20260630.htm" TargetMode="External"/><Relationship Id="rId25" Type="http://schemas.openxmlformats.org/officeDocument/2006/relationships/hyperlink" Target="https://www.sec.gov/ix?doc=/Archives/edgar/data/1650664/000165066426000027/edit-20260326.htm" TargetMode="External"/><Relationship Id="rId26" Type="http://schemas.openxmlformats.org/officeDocument/2006/relationships/hyperlink" Target="https://www.sec.gov/ix?doc=/Archives/edgar/data/1650664/000165066426000030/edit-20260401.htm" TargetMode="External"/><Relationship Id="rId27" Type="http://schemas.openxmlformats.org/officeDocument/2006/relationships/hyperlink" Target="https://www.sec.gov/ix?doc=/Archives/edgar/data/1650664/000165066426000049/edit-20260514.htm" TargetMode="External"/><Relationship Id="rId28" Type="http://schemas.openxmlformats.org/officeDocument/2006/relationships/hyperlink" Target="https://www.sec.gov/ix?doc=/Archives/edgar/data/1650664/000110465926065908/tm2615565d1_8k.htm" TargetMode="External"/><Relationship Id="rId29" Type="http://schemas.openxmlformats.org/officeDocument/2006/relationships/hyperlink" Target="https://www.sec.gov/ix?doc=/Archives/edgar/data/1650664/000110465926066021/tm2615565d2_8k.htm" TargetMode="External"/><Relationship Id="rId30" Type="http://schemas.openxmlformats.org/officeDocument/2006/relationships/hyperlink" Target="https://www.sec.gov/ix?doc=/Archives/edgar/data/1650664/000110465926066317/tm2615565d3_8k.htm" TargetMode="External"/><Relationship Id="rId31" Type="http://schemas.openxmlformats.org/officeDocument/2006/relationships/hyperlink" Target="https://www.sec.gov/ix?doc=/Archives/edgar/data/1650664/000165066426000063/edit-20260617.htm" TargetMode="External"/><Relationship Id="rId32" Type="http://schemas.openxmlformats.org/officeDocument/2006/relationships/hyperlink" Target="https://www.sec.gov/ix?doc=/Archives/edgar/data/1650664/000165066426000082/edit-20260803.htm" TargetMode="External"/><Relationship Id="rId33" Type="http://schemas.openxmlformats.org/officeDocument/2006/relationships/hyperlink" Target="https://www.sec.gov/Archives/edgar/data/1650664/000110465916092420/a16-3079_18a12b.htm" TargetMode="External"/><Relationship Id="rId34" Type="http://schemas.openxmlformats.org/officeDocument/2006/relationships/hyperlink" Target="https://www.sec.gov/Archives/edgar/data/1650664/000165066426000017/ex42-descriptionofcapitals.htm" TargetMode="External"/><Relationship Id="rId35" Type="http://schemas.openxmlformats.org/officeDocument/2006/relationships/image" Target="media/image1.jpeg"/><Relationship Id="rId36" Type="http://schemas.openxmlformats.org/officeDocument/2006/relationships/hyperlink" Target="https://www.sec.gov/Archives/edgar/data/1650664/000165066425000086/edit-charteramendmentautho.htm" TargetMode="External"/><Relationship Id="rId37" Type="http://schemas.openxmlformats.org/officeDocument/2006/relationships/hyperlink" Target="https://www.sec.gov/Archives/edgar/data/1650664/000165066424000138/amendedandrestatedby-law.htm" TargetMode="External"/><Relationship Id="rId38" Type="http://schemas.openxmlformats.org/officeDocument/2006/relationships/hyperlink" Target="https://www.sec.gov/Archives/edgar/data/1650664/000104746916009534/a2226902zex-4_1.htm" TargetMode="External"/><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130926</Words>
  <Characters>671840</Characters>
  <CharactersWithSpaces>808374</CharactersWithSpaces>
  <Paragraphs>6306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