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2026</w:t>
      </w:r>
    </w:p>
    <w:p>
      <w:pPr>
        <w:spacing w:after="0" w:line="2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Editas Medicine,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ectPr>
          <w:pgSz w:w="11900" w:h="16838" w:orient="portrait"/>
          <w:cols w:equalWidth="0" w:num="1">
            <w:col w:w="11080"/>
          </w:cols>
          <w:pgMar w:left="320" w:top="1240" w:right="49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001-37687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sectPr>
          <w:pgSz w:w="11900" w:h="16838" w:orient="portrait"/>
          <w:cols w:equalWidth="0" w:num="3">
            <w:col w:w="4960" w:space="720"/>
            <w:col w:w="2560" w:space="720"/>
            <w:col w:w="2120"/>
          </w:cols>
          <w:pgMar w:left="320" w:top="1240" w:right="4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360" w:space="720"/>
            <w:col w:w="2360" w:space="720"/>
            <w:col w:w="2920"/>
          </w:cols>
          <w:pgMar w:left="320" w:top="1240" w:right="499" w:bottom="1440" w:gutter="0" w:footer="0" w:header="0"/>
          <w:type w:val="continuous"/>
        </w:sectPr>
      </w:pPr>
    </w:p>
    <w:p>
      <w:pPr>
        <w:spacing w:after="0" w:line="43"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11 Hurley Street</w:t>
      </w:r>
    </w:p>
    <w:p>
      <w:pPr>
        <w:sectPr>
          <w:pgSz w:w="11900" w:h="16838" w:orient="portrait"/>
          <w:cols w:equalWidth="0" w:num="1">
            <w:col w:w="11080"/>
          </w:cols>
          <w:pgMar w:left="320" w:top="1240" w:right="499" w:bottom="1440" w:gutter="0" w:footer="0" w:header="0"/>
          <w:type w:val="continuous"/>
        </w:sectPr>
      </w:pPr>
    </w:p>
    <w:p>
      <w:pPr>
        <w:spacing w:after="0" w:line="210"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sectPr>
          <w:pgSz w:w="11900" w:h="16838" w:orient="portrait"/>
          <w:cols w:equalWidth="0" w:num="2">
            <w:col w:w="7480" w:space="720"/>
            <w:col w:w="2880"/>
          </w:cols>
          <w:pgMar w:left="320" w:top="1240" w:right="4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1240"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w:t>
      </w:r>
    </w:p>
    <w:p>
      <w:pPr>
        <w:spacing w:after="0" w:line="4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0"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40" w:right="499" w:bottom="1440" w:gutter="0" w:footer="0" w:header="0"/>
          <w:type w:val="continuous"/>
        </w:sectPr>
      </w:pPr>
    </w:p>
    <w:p>
      <w:pPr>
        <w:spacing w:after="0" w:line="9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20" w:space="720"/>
            <w:col w:w="2260" w:space="720"/>
            <w:col w:w="3060"/>
          </w:cols>
          <w:pgMar w:left="320" w:top="1240" w:right="4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200" w:lineRule="exact"/>
        <w:rPr>
          <w:sz w:val="24"/>
          <w:szCs w:val="24"/>
          <w:color w:val="auto"/>
        </w:rPr>
      </w:pPr>
    </w:p>
    <w:p>
      <w:pPr>
        <w:sectPr>
          <w:pgSz w:w="11900" w:h="16838" w:orient="portrait"/>
          <w:cols w:equalWidth="0" w:num="3">
            <w:col w:w="4720" w:space="720"/>
            <w:col w:w="2300" w:space="720"/>
            <w:col w:w="2620"/>
          </w:cols>
          <w:pgMar w:left="320" w:top="1240" w:right="499" w:bottom="1440" w:gutter="0" w:footer="0" w:header="0"/>
          <w:type w:val="continuous"/>
        </w:sectPr>
      </w:pPr>
    </w:p>
    <w:p>
      <w:pPr>
        <w:spacing w:after="0" w:line="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40"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May 14, 2026, Editas Medicine, Inc. (the “Company”) issued a press release titled “Editas Medicine Reports New Preclinical Data Demonstrating Progress of EDIT-401 as Potential Treatment for Hyperlipidemia at the American Society of Gene and Cell Therapy 2026 Annual Meeting,” a copy of which is furnished as Exhibit 99.1 hereto.</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On May 14, 2026, at the 2026 Annual Meeting of the American Society of Gene and Cell Therapy (“ASGCT”), the Company reported new preclinical data supporting the continued advancement of the Company’s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candidate, EDIT-401, and its potential as a one-time treatment for hyperlipidemia, as well as the broader potential of the Company’s differentiated upregulation strategy. The Company reported that a single dose of EDIT-401 achieved 90% or greater mean LDL cholesterol (“LDL-C”) reduction across all dose groups in non-human primates. This reduction was achieved with only moderate levels (10-40%) of functional editing of LDLR alleles and a six or greater-fold mean increase in hepatic LDLR protein. LDL-C lowering was rapid and remained durable across evaluated dose levels (1.5 mg/kg-3.0 mg/kg) through approximately six months. The data demonstrated a promising preclinical safety profile with no adverse clinical observations at the therapeutically relevant dose (1.5 mg/kg). The highest delivery of EDIT-401 was observed in the hepatocytes as compared to other non-target tissues with undetectable oocyte delivery. The Company also reported at ASGCT that data evaluating pharmacokinetics and pharmacodynamics of a single dose of EDIT-401(mu) across multiple dose levels in heterozygous </w:t>
      </w:r>
      <w:r>
        <w:rPr>
          <w:rFonts w:ascii="Times New Roman" w:cs="Times New Roman" w:eastAsia="Times New Roman" w:hAnsi="Times New Roman"/>
          <w:sz w:val="18"/>
          <w:szCs w:val="18"/>
          <w:i w:val="1"/>
          <w:iCs w:val="1"/>
          <w:color w:val="auto"/>
        </w:rPr>
        <w:t>Ldlr</w:t>
      </w:r>
      <w:r>
        <w:rPr>
          <w:rFonts w:ascii="Times New Roman" w:cs="Times New Roman" w:eastAsia="Times New Roman" w:hAnsi="Times New Roman"/>
          <w:sz w:val="18"/>
          <w:szCs w:val="18"/>
          <w:color w:val="auto"/>
        </w:rPr>
        <w:t xml:space="preserve"> loss-of-function mice and wildtype mice support that dose adjustments may not be needed to achieve LDL-C lowering in heterozygous familial hypercholesterolemia (HeFH) patients.</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6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2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on May 14, 2026*</w:t>
            </w:r>
          </w:p>
        </w:tc>
        <w:tc>
          <w:tcPr>
            <w:tcW w:w="6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right="4340" w:firstLine="26"/>
        <w:spacing w:after="0" w:line="642" w:lineRule="auto"/>
        <w:tabs>
          <w:tab w:leader="none" w:pos="11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This exhibit shall be deemed to be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39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218"/>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86550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55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500"/>
        <w:spacing w:after="0" w:line="300" w:lineRule="auto"/>
        <w:rPr>
          <w:sz w:val="20"/>
          <w:szCs w:val="20"/>
          <w:color w:val="auto"/>
        </w:rPr>
      </w:pPr>
      <w:r>
        <w:rPr>
          <w:rFonts w:ascii="Times New Roman" w:cs="Times New Roman" w:eastAsia="Times New Roman" w:hAnsi="Times New Roman"/>
          <w:sz w:val="22"/>
          <w:szCs w:val="22"/>
          <w:b w:val="1"/>
          <w:bCs w:val="1"/>
          <w:color w:val="auto"/>
        </w:rPr>
        <w:t>Editas Medicine Reports New Preclinical Data Demonstrating Progress of EDIT-401 as Potential Treatment for Hyperlipidemia at the American Society of Gene and Cell Therapy 2026 Annual Meeting</w:t>
      </w:r>
    </w:p>
    <w:p>
      <w:pPr>
        <w:spacing w:after="0" w:line="83" w:lineRule="exact"/>
        <w:rPr>
          <w:sz w:val="20"/>
          <w:szCs w:val="20"/>
          <w:color w:val="auto"/>
        </w:rPr>
      </w:pPr>
    </w:p>
    <w:p>
      <w:pPr>
        <w:jc w:val="center"/>
        <w:ind w:left="340"/>
        <w:spacing w:after="0" w:line="300" w:lineRule="auto"/>
        <w:rPr>
          <w:sz w:val="20"/>
          <w:szCs w:val="20"/>
          <w:color w:val="auto"/>
        </w:rPr>
      </w:pPr>
      <w:r>
        <w:rPr>
          <w:rFonts w:ascii="Times New Roman" w:cs="Times New Roman" w:eastAsia="Times New Roman" w:hAnsi="Times New Roman"/>
          <w:sz w:val="22"/>
          <w:szCs w:val="22"/>
          <w:i w:val="1"/>
          <w:iCs w:val="1"/>
          <w:color w:val="auto"/>
        </w:rPr>
        <w:t>New data demonstrate promising preclinical safety profile and durable LDL-C lowering of ≥90% with single dose of EDIT-401 in non-human primates through ~6 months</w:t>
      </w:r>
    </w:p>
    <w:p>
      <w:pPr>
        <w:spacing w:after="0" w:line="83"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1"/>
          <w:szCs w:val="21"/>
          <w:b w:val="1"/>
          <w:bCs w:val="1"/>
          <w:color w:val="auto"/>
        </w:rPr>
        <w:t xml:space="preserve">CAMBRIDGE, Mass., May 14, 2026 </w:t>
      </w:r>
      <w:r>
        <w:rPr>
          <w:rFonts w:ascii="Times New Roman" w:cs="Times New Roman" w:eastAsia="Times New Roman" w:hAnsi="Times New Roman"/>
          <w:sz w:val="21"/>
          <w:szCs w:val="21"/>
          <w:color w:val="auto"/>
        </w:rPr>
        <w:t>– Editas Medicine, Inc. (Nasdaq: EDIT), a pioneering gene editing company developing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transformative medicines for serious diseases, shared new preclinical data supporting the continued advancement of Editas’ lead </w:t>
      </w:r>
      <w:r>
        <w:rPr>
          <w:rFonts w:ascii="Times New Roman" w:cs="Times New Roman" w:eastAsia="Times New Roman" w:hAnsi="Times New Roman"/>
          <w:sz w:val="21"/>
          <w:szCs w:val="21"/>
          <w:i w:val="1"/>
          <w:iCs w:val="1"/>
          <w:color w:val="auto"/>
        </w:rPr>
        <w:t xml:space="preserve">in vivo </w:t>
      </w:r>
      <w:r>
        <w:rPr>
          <w:rFonts w:ascii="Times New Roman" w:cs="Times New Roman" w:eastAsia="Times New Roman" w:hAnsi="Times New Roman"/>
          <w:sz w:val="21"/>
          <w:szCs w:val="21"/>
          <w:color w:val="auto"/>
        </w:rPr>
        <w:t>development candidate, EDIT-401, and its potential as a one-time treatment for hyperlipidemia, as well as the broader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potential of the Company’s differentiated upregulation strategy. The data is being presented this week at the 2026 Annual Meeting of the American Society of Gene and Cell Therapy (ASGCT) in Boston, including one oral presentation and two poster presentations, as well as one oral presentation at TIDES USA 2026: Oligonucleotide and Peptide Therapeutics Conference.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EDIT-401 data presented include:</w:t>
      </w:r>
    </w:p>
    <w:p>
      <w:pPr>
        <w:spacing w:after="0" w:line="183" w:lineRule="exact"/>
        <w:rPr>
          <w:sz w:val="20"/>
          <w:szCs w:val="20"/>
          <w:color w:val="auto"/>
        </w:rPr>
      </w:pPr>
    </w:p>
    <w:p>
      <w:pPr>
        <w:ind w:left="660" w:right="600" w:hanging="328"/>
        <w:spacing w:after="0" w:line="27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 oral presentation at ASGCT, Editas reported that a single dose of EDIT-401 achieved ≥90 percent mean LDL-C reduction across all dose groups in non-human primates (NHPs).</w:t>
      </w:r>
    </w:p>
    <w:p>
      <w:pPr>
        <w:spacing w:after="0" w:line="1" w:lineRule="exact"/>
        <w:rPr>
          <w:rFonts w:ascii="Times New Roman" w:cs="Times New Roman" w:eastAsia="Times New Roman" w:hAnsi="Times New Roman"/>
          <w:sz w:val="22"/>
          <w:szCs w:val="22"/>
          <w:color w:val="auto"/>
        </w:rPr>
      </w:pPr>
    </w:p>
    <w:p>
      <w:pPr>
        <w:ind w:left="1300" w:right="120" w:hanging="324"/>
        <w:spacing w:after="0" w:line="263" w:lineRule="auto"/>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≥90 percent mean LDL-C reduction was achieved with only moderate levels (10-40 percent) of functional editing</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of LDLR alleles and ≥6-fold mean increase in hepatic LDLR protein.</w:t>
      </w:r>
    </w:p>
    <w:p>
      <w:pPr>
        <w:spacing w:after="0" w:line="1"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Courier New" w:cs="Courier New" w:eastAsia="Courier New" w:hAnsi="Courier New"/>
          <w:sz w:val="21"/>
          <w:szCs w:val="21"/>
          <w:color w:val="auto"/>
        </w:rPr>
        <w:t xml:space="preserve">o  </w:t>
      </w:r>
      <w:r>
        <w:rPr>
          <w:rFonts w:ascii="Times New Roman" w:cs="Times New Roman" w:eastAsia="Times New Roman" w:hAnsi="Times New Roman"/>
          <w:sz w:val="21"/>
          <w:szCs w:val="21"/>
          <w:color w:val="auto"/>
        </w:rPr>
        <w:t>LDL-C lowering was rapid and remained durable across evaluated dose levels (1.5 mg/kg-3.0 mg/kg) through ~6</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months.</w:t>
      </w:r>
    </w:p>
    <w:p>
      <w:pPr>
        <w:spacing w:after="0" w:line="7" w:lineRule="exact"/>
        <w:rPr>
          <w:sz w:val="20"/>
          <w:szCs w:val="20"/>
          <w:color w:val="auto"/>
        </w:rPr>
      </w:pPr>
    </w:p>
    <w:p>
      <w:pPr>
        <w:ind w:left="1300" w:right="480" w:hanging="320"/>
        <w:spacing w:after="0" w:line="271" w:lineRule="auto"/>
        <w:tabs>
          <w:tab w:leader="none" w:pos="1295" w:val="left"/>
        </w:tabs>
        <w:numPr>
          <w:ilvl w:val="1"/>
          <w:numId w:val="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Promising preclinical safety profile with no adverse clinical observations at therapeutically relevant dose (1.5 mg/kg).</w:t>
      </w:r>
    </w:p>
    <w:p>
      <w:pPr>
        <w:spacing w:after="0" w:line="1" w:lineRule="exact"/>
        <w:rPr>
          <w:rFonts w:ascii="Courier New" w:cs="Courier New" w:eastAsia="Courier New" w:hAnsi="Courier New"/>
          <w:sz w:val="22"/>
          <w:szCs w:val="22"/>
          <w:color w:val="auto"/>
        </w:rPr>
      </w:pPr>
    </w:p>
    <w:p>
      <w:pPr>
        <w:ind w:left="1300" w:right="300" w:hanging="320"/>
        <w:spacing w:after="0" w:line="278" w:lineRule="auto"/>
        <w:tabs>
          <w:tab w:leader="none" w:pos="1295" w:val="left"/>
        </w:tabs>
        <w:numPr>
          <w:ilvl w:val="1"/>
          <w:numId w:val="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highest delivery of EDIT-401 was observed in the hepatocytes as compared to other non-target tissues with undetectable oocyte delivery.</w:t>
      </w:r>
    </w:p>
    <w:p>
      <w:pPr>
        <w:ind w:left="660" w:right="420" w:hanging="328"/>
        <w:spacing w:after="0" w:line="26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 oral presentation at TIDES, Editas presented data demonstrating EDIT-401 dose-dependent LDL-C reduction in NHPs.</w:t>
      </w:r>
    </w:p>
    <w:p>
      <w:pPr>
        <w:spacing w:after="0" w:line="2" w:lineRule="exact"/>
        <w:rPr>
          <w:rFonts w:ascii="Times New Roman" w:cs="Times New Roman" w:eastAsia="Times New Roman" w:hAnsi="Times New Roman"/>
          <w:sz w:val="22"/>
          <w:szCs w:val="22"/>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 poster presentation at ASGCT, Editas reported that data evaluating pharmacokinetics and pharmacodynamics of a single dose of EDIT-401(mu) across multiple dose levels in heterozygous </w:t>
      </w:r>
      <w:r>
        <w:rPr>
          <w:rFonts w:ascii="Times New Roman" w:cs="Times New Roman" w:eastAsia="Times New Roman" w:hAnsi="Times New Roman"/>
          <w:sz w:val="22"/>
          <w:szCs w:val="22"/>
          <w:i w:val="1"/>
          <w:iCs w:val="1"/>
          <w:color w:val="auto"/>
        </w:rPr>
        <w:t>Ldlr</w:t>
      </w:r>
      <w:r>
        <w:rPr>
          <w:rFonts w:ascii="Times New Roman" w:cs="Times New Roman" w:eastAsia="Times New Roman" w:hAnsi="Times New Roman"/>
          <w:sz w:val="22"/>
          <w:szCs w:val="22"/>
          <w:color w:val="auto"/>
        </w:rPr>
        <w:t xml:space="preserve"> loss-of-function mice and wildtype mice support that dose adjustments may not be needed to achieve LDL-C lowering in Heterozygous Familial Hypercholesterolemia (HeFH) patients.</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 xml:space="preserve">Additional </w:t>
      </w:r>
      <w:r>
        <w:rPr>
          <w:rFonts w:ascii="Times New Roman" w:cs="Times New Roman" w:eastAsia="Times New Roman" w:hAnsi="Times New Roman"/>
          <w:sz w:val="22"/>
          <w:szCs w:val="22"/>
          <w:b w:val="1"/>
          <w:bCs w:val="1"/>
          <w:i w:val="1"/>
          <w:iCs w:val="1"/>
          <w:color w:val="auto"/>
        </w:rPr>
        <w:t>in vivo</w:t>
      </w:r>
      <w:r>
        <w:rPr>
          <w:rFonts w:ascii="Times New Roman" w:cs="Times New Roman" w:eastAsia="Times New Roman" w:hAnsi="Times New Roman"/>
          <w:sz w:val="22"/>
          <w:szCs w:val="22"/>
          <w:b w:val="1"/>
          <w:bCs w:val="1"/>
          <w:color w:val="auto"/>
        </w:rPr>
        <w:t xml:space="preserve"> upregulation findings from a poster presentation at ASGCT include:</w:t>
      </w:r>
    </w:p>
    <w:p>
      <w:pPr>
        <w:spacing w:after="0" w:line="185" w:lineRule="exact"/>
        <w:rPr>
          <w:sz w:val="20"/>
          <w:szCs w:val="20"/>
          <w:color w:val="auto"/>
        </w:rPr>
      </w:pPr>
    </w:p>
    <w:p>
      <w:pPr>
        <w:jc w:val="both"/>
        <w:ind w:left="660" w:right="140" w:hanging="328"/>
        <w:spacing w:after="0" w:line="282"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Data support leveraging DNA large language prediction models (DNA-LLM) to accelerate and streamline the pursuit of gene editing-based strategies designed to mitigate disease through augmentation of alternate or compensatory pathways and further highlight the broader potential of Editas’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gene upregulation platform.</w:t>
      </w:r>
    </w:p>
    <w:p>
      <w:pPr>
        <w:spacing w:after="0" w:line="10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1"/>
          <w:szCs w:val="21"/>
          <w:color w:val="auto"/>
        </w:rPr>
        <w:t>“These new EDIT-401 preclinical data, including durability of LDL-C reduction across a range of doses through ~6 months demonstrated in NHPs, strengthen our confidence in EDIT-401 as a potential one-time treatment to deliver meaningful and durable LDL-C lowering and support its continued advancement toward first-in-human clinical development,” said Linda C. Burkly, Ph.D., Executive Vice President and Chief Scientific Officer, Editas Medicine. “Further, the data presented also highlight the broader potential and differentiation of our upregulation strategy to generate new medicines across multiple disease areas.”</w:t>
      </w:r>
    </w:p>
    <w:p>
      <w:pPr>
        <w:spacing w:after="0" w:line="95"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22"/>
          <w:szCs w:val="22"/>
          <w:color w:val="auto"/>
        </w:rPr>
        <w:t>The presentation details are listed below. Abstracts can be accessed on the ASGCT website, and the presentations will be posted on the Editas Medicine website during the conferences.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American Society of Gene and Cell Therapy (ASGCT) 2026 Annual Meeting, May 11-15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Oral Presentation:</w:t>
      </w:r>
    </w:p>
    <w:p>
      <w:pPr>
        <w:spacing w:after="0" w:line="3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Preclinical Development of EDIT-401, a Durable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CRISPR Gene Editing Therapy That Upregulates LDLR Protein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Lower LDL-C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Date and Time: </w:t>
      </w:r>
      <w:r>
        <w:rPr>
          <w:rFonts w:ascii="Times New Roman" w:cs="Times New Roman" w:eastAsia="Times New Roman" w:hAnsi="Times New Roman"/>
          <w:sz w:val="22"/>
          <w:szCs w:val="22"/>
          <w:color w:val="auto"/>
        </w:rPr>
        <w:t>Thursday, May 14, 3:30 p.m. – 5:00 p.m. EDT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Gene Therapy for Cardiovascular Diseases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Presentation Room: </w:t>
      </w:r>
      <w:r>
        <w:rPr>
          <w:rFonts w:ascii="Times New Roman" w:cs="Times New Roman" w:eastAsia="Times New Roman" w:hAnsi="Times New Roman"/>
          <w:sz w:val="22"/>
          <w:szCs w:val="22"/>
          <w:color w:val="auto"/>
        </w:rPr>
        <w:t>206AB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Final Abstract Number: </w:t>
      </w:r>
      <w:r>
        <w:rPr>
          <w:rFonts w:ascii="Times New Roman" w:cs="Times New Roman" w:eastAsia="Times New Roman" w:hAnsi="Times New Roman"/>
          <w:sz w:val="22"/>
          <w:szCs w:val="22"/>
          <w:color w:val="auto"/>
        </w:rPr>
        <w:t>380</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Poster Presentations: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Pharmacokinetics and Pharmacodynamics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 Editing Therapy for Lowering LDL-C in Mice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Date and Time: </w:t>
      </w:r>
      <w:r>
        <w:rPr>
          <w:rFonts w:ascii="Times New Roman" w:cs="Times New Roman" w:eastAsia="Times New Roman" w:hAnsi="Times New Roman"/>
          <w:sz w:val="22"/>
          <w:szCs w:val="22"/>
          <w:color w:val="auto"/>
        </w:rPr>
        <w:t>Thursday, May 14, 5:00 p.m. – 6:30 p.m. EDT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Thursday Poster Reception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Presentation Room: </w:t>
      </w:r>
      <w:r>
        <w:rPr>
          <w:rFonts w:ascii="Times New Roman" w:cs="Times New Roman" w:eastAsia="Times New Roman" w:hAnsi="Times New Roman"/>
          <w:sz w:val="22"/>
          <w:szCs w:val="22"/>
          <w:color w:val="auto"/>
        </w:rPr>
        <w:t>Exhibit and Poster Hall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Final Abstract Number: </w:t>
      </w:r>
      <w:r>
        <w:rPr>
          <w:rFonts w:ascii="Times New Roman" w:cs="Times New Roman" w:eastAsia="Times New Roman" w:hAnsi="Times New Roman"/>
          <w:sz w:val="22"/>
          <w:szCs w:val="22"/>
          <w:color w:val="auto"/>
        </w:rPr>
        <w:t>3423</w:t>
      </w:r>
    </w:p>
    <w:p>
      <w:pPr>
        <w:spacing w:after="0" w:line="325"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CRISPR-based Disruption of an Important Gene Repressor Element Upregulates a Compensatory Protein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Normalize Disease-Associated Biomarkers in a Knockout Mouse Disease Model </w:t>
      </w:r>
      <w:r>
        <w:rPr>
          <w:rFonts w:ascii="Times New Roman" w:cs="Times New Roman" w:eastAsia="Times New Roman" w:hAnsi="Times New Roman"/>
          <w:sz w:val="22"/>
          <w:szCs w:val="22"/>
          <w:b w:val="1"/>
          <w:bCs w:val="1"/>
          <w:color w:val="auto"/>
        </w:rPr>
        <w:t xml:space="preserve">Session Date and Time: </w:t>
      </w:r>
      <w:r>
        <w:rPr>
          <w:rFonts w:ascii="Times New Roman" w:cs="Times New Roman" w:eastAsia="Times New Roman" w:hAnsi="Times New Roman"/>
          <w:sz w:val="22"/>
          <w:szCs w:val="22"/>
          <w:color w:val="auto"/>
        </w:rPr>
        <w:t>Wednesday, May 13, 5:00 p.m. – 6:30 p.m. EDT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Wednesday Poster Reception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Presentation Room: </w:t>
      </w:r>
      <w:r>
        <w:rPr>
          <w:rFonts w:ascii="Times New Roman" w:cs="Times New Roman" w:eastAsia="Times New Roman" w:hAnsi="Times New Roman"/>
          <w:sz w:val="22"/>
          <w:szCs w:val="22"/>
          <w:color w:val="auto"/>
        </w:rPr>
        <w:t>Exhibit and Poster Hall</w:t>
      </w:r>
    </w:p>
    <w:p>
      <w:pPr>
        <w:sectPr>
          <w:pgSz w:w="11900" w:h="16838" w:orient="portrait"/>
          <w:cols w:equalWidth="0" w:num="1">
            <w:col w:w="11180"/>
          </w:cols>
          <w:pgMar w:left="320" w:top="1429"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 xml:space="preserve">Final Abstract Number: </w:t>
      </w:r>
      <w:r>
        <w:rPr>
          <w:rFonts w:ascii="Times New Roman" w:cs="Times New Roman" w:eastAsia="Times New Roman" w:hAnsi="Times New Roman"/>
          <w:sz w:val="22"/>
          <w:szCs w:val="22"/>
          <w:color w:val="auto"/>
        </w:rPr>
        <w:t>2324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TIDES USA 2026: Oligonucleotide and Peptide Therapeutics Conference, May 11-14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Oral Presentation:</w:t>
      </w:r>
    </w:p>
    <w:p>
      <w:pPr>
        <w:spacing w:after="0" w:line="33" w:lineRule="exact"/>
        <w:rPr>
          <w:sz w:val="20"/>
          <w:szCs w:val="20"/>
          <w:color w:val="auto"/>
        </w:rPr>
      </w:pPr>
    </w:p>
    <w:p>
      <w:pPr>
        <w:ind w:right="1280"/>
        <w:spacing w:after="0" w:line="268" w:lineRule="auto"/>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Transformative LDL Cholesterol Lowering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CRISPR Gene Editing Approach for Hyperlipidemia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Atherosclerotic Cardiovascular Disease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Date and Time: </w:t>
      </w:r>
      <w:r>
        <w:rPr>
          <w:rFonts w:ascii="Times New Roman" w:cs="Times New Roman" w:eastAsia="Times New Roman" w:hAnsi="Times New Roman"/>
          <w:sz w:val="22"/>
          <w:szCs w:val="22"/>
          <w:color w:val="auto"/>
        </w:rPr>
        <w:t>Wednesday, May 13, 8:30 a.m. – 9:00 a.m. EDT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mRNA &amp; Genome Editing: Technology &amp; Applications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Editas Medicine</w:t>
      </w:r>
    </w:p>
    <w:p>
      <w:pPr>
        <w:spacing w:after="0" w:line="15"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2"/>
          <w:szCs w:val="22"/>
          <w:color w:val="auto"/>
        </w:rPr>
        <w:t xml:space="preserve">As a pioneering gene editing company, Editas Medicine is focused on translating the power and potential of CRISPR genome editing systems into a robust pipeline of transformative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medicines for people living with serious diseases around the world. Editas Medicine aims to discover, develop, manufacture, and commercialize durable, precision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gene editing medicines for a broad class of diseases. Editas Medicine is the exclusive licensee of Broad Institute’s Cas12a patent estate and Broad Institute and Harvard University’s Cas9 patent estates for human medicines. For the latest information and scientific presentations, please visit www.editasmedicine.com.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press release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press release include statements regarding the progress and results of the Company’s preclinical studies and planned clinical trials, including the Company’s expectation to initiate a first-in-human clinical trial of EDIT-401; and the potential of, and expectations for, EDIT-401.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timing, progress, and results of preclinical studies and clinical trials; uncertainty regarding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and that the Company will not be able to raise funding sufficient for its foreseeable and unforeseeable operating expenses and capital expenditure requirements. These and other risks are described in greater detail under the caption “Risk Factors” included in the Company’s most recent Annual Report on Form 10-K, which is</w:t>
      </w:r>
    </w:p>
    <w:p>
      <w:pPr>
        <w:sectPr>
          <w:pgSz w:w="11900" w:h="16838" w:orient="portrait"/>
          <w:cols w:equalWidth="0" w:num="1">
            <w:col w:w="11240"/>
          </w:cols>
          <w:pgMar w:left="320" w:top="1431" w:right="33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22"/>
          <w:szCs w:val="22"/>
          <w:color w:val="auto"/>
        </w:rPr>
        <w:t>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and Media Contacts: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ir@editasmed.com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media@editasmed.com</w:t>
      </w:r>
    </w:p>
    <w:sectPr>
      <w:pgSz w:w="11900" w:h="16838" w:orient="portrait"/>
      <w:cols w:equalWidth="0" w:num="1">
        <w:col w:w="11080"/>
      </w:cols>
      <w:pgMar w:left="320" w:top="142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o"/>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2026-05-14T05:27:02Z</dcterms:created>
  <dcterms:modified xsi:type="dcterms:W3CDTF">2026-05-14T05:27:02Z</dcterms:modified>
</cp:coreProperties>
</file>