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2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ectPr>
          <w:pgSz w:w="11900" w:h="16838" w:orient="portrait"/>
          <w:cols w:equalWidth="0" w:num="1">
            <w:col w:w="11080"/>
          </w:cols>
          <w:pgMar w:left="320" w:top="1240" w:right="49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001-37687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sectPr>
          <w:pgSz w:w="11900" w:h="16838" w:orient="portrait"/>
          <w:cols w:equalWidth="0" w:num="3">
            <w:col w:w="4960" w:space="720"/>
            <w:col w:w="2560" w:space="720"/>
            <w:col w:w="2120"/>
          </w:cols>
          <w:pgMar w:left="320" w:top="1240" w:right="4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360" w:space="720"/>
            <w:col w:w="2360" w:space="720"/>
            <w:col w:w="2920"/>
          </w:cols>
          <w:pgMar w:left="320" w:top="1240" w:right="499" w:bottom="1440" w:gutter="0" w:footer="0" w:header="0"/>
          <w:type w:val="continuous"/>
        </w:sectPr>
      </w:pPr>
    </w:p>
    <w:p>
      <w:pPr>
        <w:spacing w:after="0" w:line="4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11 Hurley Street</w:t>
      </w:r>
    </w:p>
    <w:p>
      <w:pPr>
        <w:sectPr>
          <w:pgSz w:w="11900" w:h="16838" w:orient="portrait"/>
          <w:cols w:equalWidth="0" w:num="1">
            <w:col w:w="11080"/>
          </w:cols>
          <w:pgMar w:left="320" w:top="1240" w:right="499" w:bottom="1440" w:gutter="0" w:footer="0" w:header="0"/>
          <w:type w:val="continuous"/>
        </w:sectPr>
      </w:pPr>
    </w:p>
    <w:p>
      <w:pPr>
        <w:spacing w:after="0" w:line="21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sectPr>
          <w:pgSz w:w="11900" w:h="16838" w:orient="portrait"/>
          <w:cols w:equalWidth="0" w:num="2">
            <w:col w:w="7480" w:space="720"/>
            <w:col w:w="2880"/>
          </w:cols>
          <w:pgMar w:left="320" w:top="1240" w:right="4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1240"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4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0"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40" w:right="499" w:bottom="1440" w:gutter="0" w:footer="0" w:header="0"/>
          <w:type w:val="continuous"/>
        </w:sectPr>
      </w:pPr>
    </w:p>
    <w:p>
      <w:pPr>
        <w:spacing w:after="0" w:line="9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2260" w:space="720"/>
            <w:col w:w="3060"/>
          </w:cols>
          <w:pgMar w:left="320" w:top="1240" w:right="4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200" w:lineRule="exact"/>
        <w:rPr>
          <w:sz w:val="24"/>
          <w:szCs w:val="24"/>
          <w:color w:val="auto"/>
        </w:rPr>
      </w:pPr>
    </w:p>
    <w:p>
      <w:pPr>
        <w:sectPr>
          <w:pgSz w:w="11900" w:h="16838" w:orient="portrait"/>
          <w:cols w:equalWidth="0" w:num="3">
            <w:col w:w="4720" w:space="720"/>
            <w:col w:w="2300" w:space="720"/>
            <w:col w:w="2620"/>
          </w:cols>
          <w:pgMar w:left="320" w:top="1240" w:right="499" w:bottom="1440" w:gutter="0" w:footer="0" w:header="0"/>
          <w:type w:val="continuous"/>
        </w:sectPr>
      </w:pPr>
    </w:p>
    <w:p>
      <w:pPr>
        <w:spacing w:after="0" w:line="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40"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5, 2026, Editas Medicine, Inc. (the “Company”) issued a press release announcing financial results for the fiscal quarter ended March 31, 2026 and other business highlights. A copy of the press release is being furnished as Exhibit 99.1 to this Current Report on Form 8-K.</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1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6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the Company on May 5,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right="4340" w:firstLine="26"/>
        <w:spacing w:after="0" w:line="642" w:lineRule="auto"/>
        <w:tabs>
          <w:tab w:leader="none" w:pos="11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This exhibit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39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218"/>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8874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600075"/>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Editas Medicine Announces First Quarter 2026 Results and Business Updates</w:t>
      </w:r>
    </w:p>
    <w:p>
      <w:pPr>
        <w:spacing w:after="0" w:line="233" w:lineRule="exact"/>
        <w:rPr>
          <w:sz w:val="20"/>
          <w:szCs w:val="20"/>
          <w:color w:val="auto"/>
        </w:rPr>
      </w:pPr>
    </w:p>
    <w:p>
      <w:pPr>
        <w:jc w:val="center"/>
        <w:ind w:left="340" w:right="120"/>
        <w:spacing w:after="0" w:line="262" w:lineRule="auto"/>
        <w:rPr>
          <w:sz w:val="20"/>
          <w:szCs w:val="20"/>
          <w:color w:val="auto"/>
        </w:rPr>
      </w:pPr>
      <w:r>
        <w:rPr>
          <w:rFonts w:ascii="Times New Roman" w:cs="Times New Roman" w:eastAsia="Times New Roman" w:hAnsi="Times New Roman"/>
          <w:sz w:val="22"/>
          <w:szCs w:val="22"/>
          <w:i w:val="1"/>
          <w:iCs w:val="1"/>
          <w:color w:val="auto"/>
        </w:rPr>
        <w:t>EDIT-401, which demonstrated &gt;90% mean LDL-C reduction in preclinical studies, on track to achieve early human proof-of-concept data by year-end 2026</w:t>
      </w:r>
    </w:p>
    <w:p>
      <w:pPr>
        <w:spacing w:after="0" w:line="163" w:lineRule="exact"/>
        <w:rPr>
          <w:sz w:val="20"/>
          <w:szCs w:val="20"/>
          <w:color w:val="auto"/>
        </w:rPr>
      </w:pPr>
    </w:p>
    <w:p>
      <w:pPr>
        <w:jc w:val="center"/>
        <w:ind w:left="340" w:right="420"/>
        <w:spacing w:after="0" w:line="238" w:lineRule="auto"/>
        <w:rPr>
          <w:sz w:val="20"/>
          <w:szCs w:val="20"/>
          <w:color w:val="auto"/>
        </w:rPr>
      </w:pPr>
      <w:r>
        <w:rPr>
          <w:rFonts w:ascii="Times New Roman" w:cs="Times New Roman" w:eastAsia="Times New Roman" w:hAnsi="Times New Roman"/>
          <w:sz w:val="22"/>
          <w:szCs w:val="22"/>
          <w:i w:val="1"/>
          <w:iCs w:val="1"/>
          <w:color w:val="auto"/>
        </w:rPr>
        <w:t>Company to present new EDIT-401 preclinical data at upcoming scientific meetings, including data showing significant reductions in Lp(a) and ApoB in non-human primates at the 94th EAS Congress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U.S. Patent and Trademark Office reaffirmed prior decision in favor of the Broad Institute in CRISPR/Cas9 interference</w:t>
      </w:r>
    </w:p>
    <w:p>
      <w:pPr>
        <w:spacing w:after="0" w:line="210"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2"/>
          <w:szCs w:val="22"/>
          <w:color w:val="auto"/>
        </w:rPr>
        <w:t>CAMBRIDGE, Mass., May 5, 2026 – Editas Medicine, Inc. (Nasdaq: EDIT), a pioneering gene editing company focused on developing transformative medicines for serious diseases, today reported financial results for the first quarter 2026 and provided business updates.</w:t>
      </w:r>
    </w:p>
    <w:p>
      <w:pPr>
        <w:spacing w:after="0" w:line="18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 xml:space="preserve">“In the first quarter, we continued to advance EDIT-401, a potentially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editing medicine designed to treat hyperlipidemia, toward the clinic,” said Gilmore O’Neill, M.B., M.M.Sc., President and Chief Executive Officer of Editas Medicine. “We are highly encouraged by our recent preclinical safety and efficacy data, including emerging data from our GLP toxicology study, as well as data demonstrating EDIT-401’s ability to reduce multiple independent risk factors for atherosclerotic cardiovascular disease, including LDL-C, Lp(a), and ApoB, in non-human primates. Based on these data, we believe EDIT-401 has a potential best-in-class profile as a one-time treatment for hyperlipidemia, and we remain on track to initiate a first-in-human study with early human proof-of-concept data by year end.”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Upcoming Data Presentations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American Society of Gene and Cell Therapy (ASGCT) 29th Annual Meeting, May 11-15</w:t>
      </w:r>
    </w:p>
    <w:p>
      <w:pPr>
        <w:spacing w:after="0" w:line="15" w:lineRule="exact"/>
        <w:rPr>
          <w:sz w:val="20"/>
          <w:szCs w:val="20"/>
          <w:color w:val="auto"/>
        </w:rPr>
      </w:pPr>
    </w:p>
    <w:p>
      <w:pPr>
        <w:ind w:left="660" w:right="40" w:hanging="328"/>
        <w:spacing w:after="0" w:line="231"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Preclinical Development of EDIT-401, a Durable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CRISPR Gene Editing Therapy That Upregulates LDLR Protein to Lower LDL-C</w:t>
      </w:r>
    </w:p>
    <w:p>
      <w:pPr>
        <w:spacing w:after="0" w:line="1" w:lineRule="exact"/>
        <w:rPr>
          <w:rFonts w:ascii="Arial" w:cs="Arial" w:eastAsia="Arial" w:hAnsi="Arial"/>
          <w:sz w:val="22"/>
          <w:szCs w:val="22"/>
          <w:color w:val="auto"/>
        </w:rPr>
      </w:pPr>
    </w:p>
    <w:p>
      <w:pPr>
        <w:ind w:left="660" w:right="28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Pharmacokinetics and Pharmacodynamics of EDIT-401(mu), an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Editing Therapy for Lowering LDL-C in Mice</w:t>
      </w:r>
    </w:p>
    <w:p>
      <w:pPr>
        <w:spacing w:after="0" w:line="1" w:lineRule="exact"/>
        <w:rPr>
          <w:rFonts w:ascii="Times New Roman" w:cs="Times New Roman" w:eastAsia="Times New Roman" w:hAnsi="Times New Roman"/>
          <w:sz w:val="22"/>
          <w:szCs w:val="22"/>
          <w:color w:val="auto"/>
        </w:rPr>
      </w:pPr>
    </w:p>
    <w:p>
      <w:pPr>
        <w:ind w:left="660" w:right="580" w:hanging="328"/>
        <w:spacing w:after="0" w:line="23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vivo </w:t>
      </w:r>
      <w:r>
        <w:rPr>
          <w:rFonts w:ascii="Times New Roman" w:cs="Times New Roman" w:eastAsia="Times New Roman" w:hAnsi="Times New Roman"/>
          <w:sz w:val="22"/>
          <w:szCs w:val="22"/>
          <w:color w:val="auto"/>
        </w:rPr>
        <w:t>CRISPR-based Disruption of an Important Gene Repressor Element Upregulates a Compensatory Protein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Normalize Disease-Associated Biomarkers in a Knockout Mouse Disease Model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TIDES USA 2025: Oligonucleotide &amp; Peptide Therapeutics, May 11-14</w:t>
      </w:r>
    </w:p>
    <w:p>
      <w:pPr>
        <w:spacing w:after="0" w:line="15" w:lineRule="exact"/>
        <w:rPr>
          <w:sz w:val="20"/>
          <w:szCs w:val="20"/>
          <w:color w:val="auto"/>
        </w:rPr>
      </w:pPr>
    </w:p>
    <w:p>
      <w:pPr>
        <w:ind w:left="660" w:right="1180" w:hanging="328"/>
        <w:spacing w:after="0" w:line="238"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Transformative LDL Cholesterol Lowering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CRISPR Gene Editing Approach for Hyperlipidemia and Atherosclerotic Cardiovascular Disease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94</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22"/>
          <w:szCs w:val="22"/>
          <w:b w:val="1"/>
          <w:bCs w:val="1"/>
          <w:color w:val="auto"/>
        </w:rPr>
        <w:t xml:space="preserve"> European Atherosclerosis Society (EAS) Congress, May 24-27</w:t>
      </w:r>
    </w:p>
    <w:p>
      <w:pPr>
        <w:spacing w:after="0" w:line="18" w:lineRule="exact"/>
        <w:rPr>
          <w:sz w:val="20"/>
          <w:szCs w:val="20"/>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CRISPR Gene Editing Medicine Upregulates LDLR and Meaningfully Reduces LDL-C in Non-Human Primates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National Lipid Association (NLA) Sessions, June 11-14</w:t>
      </w:r>
    </w:p>
    <w:p>
      <w:pPr>
        <w:spacing w:after="0" w:line="18" w:lineRule="exact"/>
        <w:rPr>
          <w:sz w:val="20"/>
          <w:szCs w:val="20"/>
          <w:color w:val="auto"/>
        </w:rPr>
      </w:pP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CRISPR Gene Editing Medicine Leads to Upregulation of LDLR and Robust Reduction of Two Independent ASCVD Risk Factors, LDL-C and Lp(a), in Preclinical Studies</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EDIT-401</w:t>
      </w:r>
    </w:p>
    <w:p>
      <w:pPr>
        <w:spacing w:after="0" w:line="15" w:lineRule="exact"/>
        <w:rPr>
          <w:sz w:val="20"/>
          <w:szCs w:val="20"/>
          <w:color w:val="auto"/>
        </w:rPr>
      </w:pPr>
    </w:p>
    <w:p>
      <w:pPr>
        <w:ind w:left="660" w:hanging="328"/>
        <w:spacing w:after="0" w:line="231"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Editas continues to advance preclinical studies for its lead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development candidate, EDIT-401, including the Good Laboratory Practice (GLP) toxicology study in non-human primates to support advancement into a first-in-human clinical trial.</w:t>
      </w:r>
    </w:p>
    <w:p>
      <w:pPr>
        <w:ind w:left="660" w:right="80" w:hanging="328"/>
        <w:spacing w:after="0" w:line="241" w:lineRule="auto"/>
        <w:tabs>
          <w:tab w:leader="none" w:pos="655" w:val="left"/>
        </w:tabs>
        <w:numPr>
          <w:ilvl w:val="0"/>
          <w:numId w:val="7"/>
        </w:numPr>
        <w:rPr>
          <w:rFonts w:ascii="Arial" w:cs="Arial" w:eastAsia="Arial" w:hAnsi="Arial"/>
          <w:sz w:val="21"/>
          <w:szCs w:val="21"/>
          <w:color w:val="auto"/>
        </w:rPr>
      </w:pPr>
      <w:r>
        <w:rPr>
          <w:rFonts w:ascii="Times New Roman" w:cs="Times New Roman" w:eastAsia="Times New Roman" w:hAnsi="Times New Roman"/>
          <w:sz w:val="21"/>
          <w:szCs w:val="21"/>
          <w:color w:val="auto"/>
        </w:rPr>
        <w:t>The Company is preparing to initiate a first-in-human clinical trial of EDIT-401 in patients with Heterozygous Familial Hypercholesterolemia (HeFH) later this year, and expects to have early human proof-of-concept data by the end of 2026.</w:t>
      </w:r>
    </w:p>
    <w:p>
      <w:pPr>
        <w:ind w:left="660" w:right="240" w:hanging="328"/>
        <w:spacing w:after="0" w:line="23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Editas plans to complete enrolling the dose-finding portion of the first-in-human clinical trial of EDIT-401 with topline data results available in 2027.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 w:lineRule="exact"/>
        <w:rPr>
          <w:sz w:val="20"/>
          <w:szCs w:val="20"/>
          <w:color w:val="auto"/>
        </w:rPr>
      </w:pPr>
    </w:p>
    <w:p>
      <w:pPr>
        <w:ind w:left="660" w:right="40" w:hanging="328"/>
        <w:spacing w:after="0" w:line="228"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On March 26, the U.S. Patent and Trademark Office reaffirmed the Patent Trial and Appeal Board’s (PTAB’s) previous decision favoring the Broad Institute in the U.S. patent interference involving specific patents exclusively licensed to Editas Medicine for CRISPR/Cas9 editing in human cells between the University of California, the University of Vienna, and Emmanuelle Charpentier (collectively, CVC) and the Broad Institute, Massachusetts Institute of Technology, and Harvard University (collectively, Broad).</w:t>
      </w:r>
    </w:p>
    <w:p>
      <w:pPr>
        <w:spacing w:after="0" w:line="1" w:lineRule="exact"/>
        <w:rPr>
          <w:rFonts w:ascii="Arial" w:cs="Arial" w:eastAsia="Arial" w:hAnsi="Arial"/>
          <w:sz w:val="22"/>
          <w:szCs w:val="22"/>
          <w:color w:val="auto"/>
        </w:rPr>
      </w:pPr>
    </w:p>
    <w:p>
      <w:pPr>
        <w:ind w:left="660" w:right="260" w:hanging="328"/>
        <w:spacing w:after="0" w:line="258" w:lineRule="auto"/>
        <w:tabs>
          <w:tab w:leader="none" w:pos="65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action by the PTAB is its third favorable decision determining that Broad was the first to invent the use of CRISPR/Cas9 for gene editing in eukaryotic cells, including human cells. CVC retains the right to appeal the decision.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Upcoming Events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Editas Medicine plans to participate in the following investor event:</w:t>
      </w:r>
    </w:p>
    <w:p>
      <w:pPr>
        <w:spacing w:after="0" w:line="233" w:lineRule="exact"/>
        <w:rPr>
          <w:sz w:val="20"/>
          <w:szCs w:val="20"/>
          <w:color w:val="auto"/>
        </w:rPr>
      </w:pPr>
    </w:p>
    <w:p>
      <w:pPr>
        <w:ind w:left="660" w:right="6640" w:hanging="328"/>
        <w:spacing w:after="0" w:line="241"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2026 Jefferies Global Healthcare Conference Format: Presentation</w:t>
      </w:r>
    </w:p>
    <w:p>
      <w:pPr>
        <w:ind w:left="660"/>
        <w:spacing w:after="0" w:line="230" w:lineRule="auto"/>
        <w:rPr>
          <w:rFonts w:ascii="Arial" w:cs="Arial" w:eastAsia="Arial" w:hAnsi="Arial"/>
          <w:sz w:val="22"/>
          <w:szCs w:val="22"/>
          <w:color w:val="auto"/>
        </w:rPr>
      </w:pPr>
      <w:r>
        <w:rPr>
          <w:rFonts w:ascii="Times New Roman" w:cs="Times New Roman" w:eastAsia="Times New Roman" w:hAnsi="Times New Roman"/>
          <w:sz w:val="22"/>
          <w:szCs w:val="22"/>
          <w:color w:val="auto"/>
        </w:rPr>
        <w:t>Date: June 4, 2026</w:t>
      </w:r>
    </w:p>
    <w:p>
      <w:pPr>
        <w:ind w:left="660" w:right="8820"/>
        <w:spacing w:after="0" w:line="231" w:lineRule="auto"/>
        <w:rPr>
          <w:rFonts w:ascii="Arial" w:cs="Arial" w:eastAsia="Arial" w:hAnsi="Arial"/>
          <w:sz w:val="22"/>
          <w:szCs w:val="22"/>
          <w:color w:val="auto"/>
        </w:rPr>
      </w:pPr>
      <w:r>
        <w:rPr>
          <w:rFonts w:ascii="Times New Roman" w:cs="Times New Roman" w:eastAsia="Times New Roman" w:hAnsi="Times New Roman"/>
          <w:sz w:val="22"/>
          <w:szCs w:val="22"/>
          <w:color w:val="auto"/>
        </w:rPr>
        <w:t>Time: 4:20 p.m. ET New York, NY</w:t>
      </w:r>
    </w:p>
    <w:p>
      <w:pPr>
        <w:spacing w:after="0" w:line="205" w:lineRule="exact"/>
        <w:rPr>
          <w:sz w:val="20"/>
          <w:szCs w:val="20"/>
          <w:color w:val="auto"/>
        </w:rPr>
      </w:pPr>
    </w:p>
    <w:p>
      <w:pPr>
        <w:ind w:right="1040"/>
        <w:spacing w:after="0" w:line="241" w:lineRule="auto"/>
        <w:rPr>
          <w:sz w:val="20"/>
          <w:szCs w:val="20"/>
          <w:color w:val="auto"/>
        </w:rPr>
      </w:pPr>
      <w:r>
        <w:rPr>
          <w:rFonts w:ascii="Times New Roman" w:cs="Times New Roman" w:eastAsia="Times New Roman" w:hAnsi="Times New Roman"/>
          <w:sz w:val="22"/>
          <w:szCs w:val="22"/>
          <w:color w:val="auto"/>
        </w:rPr>
        <w:t>To access a live webcast of the investor presentation, please visit the “Investors” section of the Company’s website at www.editasmedicine.com. An archived replay will be available for approximately 30 days following the event.</w:t>
      </w:r>
    </w:p>
    <w:p>
      <w:pPr>
        <w:spacing w:after="0" w:line="219" w:lineRule="auto"/>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1"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22"/>
          <w:szCs w:val="22"/>
          <w:color w:val="auto"/>
        </w:rPr>
        <w:t>Cash and cash equivalents as of March 31, 2026, were $123.6 million compared to $146.6 million as of December 31, 2025. The Company expects that the existing cash and cash equivalents will enable the Company to fund its operating expenses and capital expenditure requirements into the third quarter of 2027.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w:t>
      </w:r>
    </w:p>
    <w:p>
      <w:pPr>
        <w:spacing w:after="0" w:line="197" w:lineRule="exact"/>
        <w:rPr>
          <w:sz w:val="20"/>
          <w:szCs w:val="20"/>
          <w:color w:val="auto"/>
        </w:rPr>
      </w:pPr>
    </w:p>
    <w:p>
      <w:pPr>
        <w:ind w:left="340" w:right="320" w:hanging="332"/>
        <w:spacing w:after="0" w:line="236" w:lineRule="auto"/>
        <w:tabs>
          <w:tab w:leader="none" w:pos="335" w:val="left"/>
        </w:tabs>
        <w:numPr>
          <w:ilvl w:val="0"/>
          <w:numId w:val="1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For the three months ended March 31, 2026, net loss attributable to common stockholders was $25.0 million, or $0.26 per share, compared to net loss of $76.1 million, or $0.92 per share, for the same period in 2025.</w:t>
      </w:r>
    </w:p>
    <w:p>
      <w:pPr>
        <w:spacing w:after="0" w:line="150" w:lineRule="exact"/>
        <w:rPr>
          <w:rFonts w:ascii="Times New Roman" w:cs="Times New Roman" w:eastAsia="Times New Roman" w:hAnsi="Times New Roman"/>
          <w:sz w:val="22"/>
          <w:szCs w:val="22"/>
          <w:i w:val="1"/>
          <w:iCs w:val="1"/>
          <w:color w:val="auto"/>
        </w:rPr>
      </w:pPr>
    </w:p>
    <w:p>
      <w:pPr>
        <w:ind w:left="340" w:right="120" w:hanging="332"/>
        <w:spacing w:after="0" w:line="225" w:lineRule="auto"/>
        <w:tabs>
          <w:tab w:leader="none" w:pos="33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Collaboration and other research and development revenues decreased to $2.8 million for the three months ended March 31, 2026, compared to $4.7 million for the same period in 2025. The decrease is primarily attributable to the recognition of the remaining deferred revenue upon conclusion of a collaboration agreement with a strategic partner in 2025.</w:t>
      </w:r>
    </w:p>
    <w:p>
      <w:pPr>
        <w:sectPr>
          <w:pgSz w:w="11900" w:h="16838" w:orient="portrait"/>
          <w:cols w:equalWidth="0" w:num="1">
            <w:col w:w="11180"/>
          </w:cols>
          <w:pgMar w:left="320" w:top="1161" w:right="399" w:bottom="1440" w:gutter="0" w:footer="0" w:header="0"/>
        </w:sectPr>
      </w:pPr>
    </w:p>
    <w:bookmarkStart w:id="5" w:name="page6"/>
    <w:bookmarkEnd w:id="5"/>
    <w:p>
      <w:pPr>
        <w:ind w:left="340" w:right="120" w:hanging="332"/>
        <w:spacing w:after="0" w:line="217" w:lineRule="auto"/>
        <w:tabs>
          <w:tab w:leader="none" w:pos="3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Research and development expenses decreased by $9.0 million to $17.6 million for the three months ended March 31, 2026, compared to $26.6 million for the same period in 2025. The decrease is primarily related to reduced headcount (the “Reduction”) and decreased clinical and manufacturing costs related to discontinuation of the clinical development of the Company’s reni-cel program (the “Discontinuation”) initiated in December 2024 and ongoing throughout 2025, partially offset by costs attributable to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research and discovery in 2026 and increased sublicense and license fees.</w:t>
      </w:r>
    </w:p>
    <w:p>
      <w:pPr>
        <w:spacing w:after="0" w:line="179" w:lineRule="exact"/>
        <w:rPr>
          <w:rFonts w:ascii="Times New Roman" w:cs="Times New Roman" w:eastAsia="Times New Roman" w:hAnsi="Times New Roman"/>
          <w:sz w:val="22"/>
          <w:szCs w:val="22"/>
          <w:color w:val="auto"/>
        </w:rPr>
      </w:pPr>
    </w:p>
    <w:p>
      <w:pPr>
        <w:ind w:left="340" w:right="100" w:hanging="332"/>
        <w:spacing w:after="0" w:line="231" w:lineRule="auto"/>
        <w:tabs>
          <w:tab w:leader="none" w:pos="3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and administrative expenses decreased by $3.1 million to $10.2 million for the three months ended March 31, 2026, compared to $13.4 million for the same period in 2025. The decrease is primarily attributable to a reduction in employee-related expenses related to the Reduction, as well as reduced professional services in connection with the discontinuation of the clinical development of the Company’s reni-cel program initiated in December 2024 and ongoing throughout 2025.</w:t>
      </w:r>
    </w:p>
    <w:p>
      <w:pPr>
        <w:spacing w:after="0" w:line="150" w:lineRule="exact"/>
        <w:rPr>
          <w:rFonts w:ascii="Times New Roman" w:cs="Times New Roman" w:eastAsia="Times New Roman" w:hAnsi="Times New Roman"/>
          <w:sz w:val="21"/>
          <w:szCs w:val="21"/>
          <w:color w:val="auto"/>
        </w:rPr>
      </w:pPr>
    </w:p>
    <w:p>
      <w:pPr>
        <w:ind w:left="340" w:right="220" w:hanging="332"/>
        <w:spacing w:after="0" w:line="217" w:lineRule="auto"/>
        <w:tabs>
          <w:tab w:leader="none" w:pos="3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three months ended March 31, 2026, the Company recorded no restructuring and impairment charges compared to $40.9 million for the same period in 2025. The restructuring and impairment charges for the three months ended March 31, 2025 were primarily attributable to reni-cel related contract costs, accelerated expense recognized due to changes in useful life estimates for leasehold improvements, software, and a right-of-use asset, and impairment charges related to the sale of certain assets, resulting from the actions associated with the Discontinuation and the Reduction.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Heterozygous Familial Hypercholesterolemia (HeFH)</w:t>
      </w:r>
    </w:p>
    <w:p>
      <w:pPr>
        <w:ind w:right="220"/>
        <w:spacing w:after="0" w:line="223" w:lineRule="exact"/>
        <w:rPr>
          <w:sz w:val="20"/>
          <w:szCs w:val="20"/>
          <w:color w:val="auto"/>
        </w:rPr>
      </w:pPr>
      <w:r>
        <w:rPr>
          <w:rFonts w:ascii="Times New Roman" w:cs="Times New Roman" w:eastAsia="Times New Roman" w:hAnsi="Times New Roman"/>
          <w:sz w:val="22"/>
          <w:szCs w:val="22"/>
          <w:color w:val="auto"/>
        </w:rPr>
        <w:t>Heterozygous Familial Hypercholesterolemia (HeFH) is an inherited genetic disorder that leads to significantly elevated LDL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cholesterol levels from an early age. Individuals with HeFH are at high risk of heart disease, heart attack, or stroke if the condition is not identified and treated early. An estimated 1.2 million people in the United States are living with HeFH, though many remain undiagnosed. Elevated LDL-C, also known as hyperlipidemia, is a highly prevalent disease affecting over 70 million patients in the United States alone. Substantial unmet need exists across multiple at-risk segments of patients with hyperlipidemia, including the HeFH population.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Editas Medicine</w:t>
      </w:r>
    </w:p>
    <w:p>
      <w:pPr>
        <w:spacing w:after="0" w:line="211" w:lineRule="auto"/>
        <w:rPr>
          <w:sz w:val="20"/>
          <w:szCs w:val="20"/>
          <w:color w:val="auto"/>
        </w:rPr>
      </w:pPr>
      <w:r>
        <w:rPr>
          <w:rFonts w:ascii="Times New Roman" w:cs="Times New Roman" w:eastAsia="Times New Roman" w:hAnsi="Times New Roman"/>
          <w:sz w:val="22"/>
          <w:szCs w:val="22"/>
          <w:color w:val="auto"/>
        </w:rPr>
        <w:t xml:space="preserve">As a pioneering gene editing company, Editas Medicine is focused on translating the power and potential of the CRISPR genome editing systems into a robust pipeline of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medicines for people living with serious diseases around the world. Editas Medicine aims to discover, develop, manufacture, and commercialize durable, precision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editing medicines for a broad class of diseases. Editas Medicine is the exclusive licensee of Broad Institute’s Cas12a patent estate and Broad Institute and Harvard University’s Cas9 patent estates for human medicines. For the latest information and scientific presentations, please visit www.editasmedicine.com.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8" w:lineRule="auto"/>
        <w:rPr>
          <w:sz w:val="20"/>
          <w:szCs w:val="20"/>
          <w:color w:val="auto"/>
        </w:rPr>
      </w:pPr>
      <w:r>
        <w:rPr>
          <w:rFonts w:ascii="Times New Roman" w:cs="Times New Roman" w:eastAsia="Times New Roman" w:hAnsi="Times New Roman"/>
          <w:sz w:val="21"/>
          <w:szCs w:val="21"/>
          <w:color w:val="auto"/>
        </w:rPr>
        <w:t xml:space="preserve">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initiation, timing, progress and results of the Company’s preclinical studies and planned clinical trials, including the Company’s expectation to initiate a first-in-human clinical trial of EDIT-401 later this year, achieve early human proof-of-concept data for EDIT-401 by year-end 2026, and complete enrolling the dose-finding portion of the EDIT-401 clinical trial with topline data results available in 2027; the timing for the Company’s receipt and presentation of data from its preclinical studies; the potential of, and expectations for, EDIT-401 and the Company’s other future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product candidates; the timing or likelihood of regulatory submissions and approvals; and the Company’s expectations regarding its cash runway. The Company may not actually achieve the plans, intentions, or expectations disclosed in these forward-looking statements, and you should not place undue reliance on these forward-looking</w:t>
      </w:r>
    </w:p>
    <w:p>
      <w:pPr>
        <w:sectPr>
          <w:pgSz w:w="11900" w:h="16838" w:orient="portrait"/>
          <w:cols w:equalWidth="0" w:num="1">
            <w:col w:w="11180"/>
          </w:cols>
          <w:pgMar w:left="320" w:top="1125" w:right="399" w:bottom="1440" w:gutter="0" w:footer="0" w:header="0"/>
        </w:sectPr>
      </w:pPr>
    </w:p>
    <w:bookmarkStart w:id="6" w:name="page7"/>
    <w:bookmarkEnd w:id="6"/>
    <w:p>
      <w:pPr>
        <w:spacing w:after="0" w:line="209" w:lineRule="auto"/>
        <w:rPr>
          <w:sz w:val="20"/>
          <w:szCs w:val="20"/>
          <w:color w:val="auto"/>
        </w:rPr>
      </w:pPr>
      <w:r>
        <w:rPr>
          <w:rFonts w:ascii="Times New Roman" w:cs="Times New Roman" w:eastAsia="Times New Roman" w:hAnsi="Times New Roman"/>
          <w:sz w:val="22"/>
          <w:szCs w:val="22"/>
          <w:color w:val="auto"/>
        </w:rPr>
        <w:t>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and that the Company will not be able to raise funding sufficient for its foreseeable and unforeseeable operating expenses and capital expenditure requirements.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press release contains hyperlinks to information that is not deemed to be incorporated by reference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EDITAS MEDICINE,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 of Operations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(amounts in thousands, except share and per share data)</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80"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560" w:type="dxa"/>
        <w:tblCellMar>
          <w:top w:w="0" w:type="dxa"/>
          <w:left w:w="0" w:type="dxa"/>
          <w:bottom w:w="0" w:type="dxa"/>
          <w:right w:w="0" w:type="dxa"/>
        </w:tblCellMar>
      </w:tblPr>
      <w:tr>
        <w:trPr>
          <w:trHeight w:val="200"/>
        </w:trPr>
        <w:tc>
          <w:tcPr>
            <w:tcW w:w="49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other research and development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16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(76,163)</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related to sale of future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97,879,343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83,055,066</w:t>
            </w:r>
          </w:p>
        </w:tc>
        <w:tc>
          <w:tcPr>
            <w:tcW w:w="0" w:type="dxa"/>
            <w:vAlign w:val="bottom"/>
          </w:tcPr>
          <w:p>
            <w:pPr>
              <w:spacing w:after="0"/>
              <w:rPr>
                <w:sz w:val="1"/>
                <w:szCs w:val="1"/>
                <w:color w:val="auto"/>
              </w:rPr>
            </w:pPr>
          </w:p>
        </w:tc>
      </w:tr>
    </w:tbl>
    <w:p>
      <w:pPr>
        <w:sectPr>
          <w:pgSz w:w="11900" w:h="16838" w:orient="portrait"/>
          <w:cols w:equalWidth="0" w:num="1">
            <w:col w:w="11220"/>
          </w:cols>
          <w:pgMar w:left="320" w:top="909"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EDITAS MEDICINE,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Selected Consolidated Balance Sheet Items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(amounts in thousands)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Media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ir@editasmed.com</w:t>
      </w:r>
    </w:p>
    <w:p>
      <w:pPr>
        <w:spacing w:after="0"/>
        <w:rPr>
          <w:sz w:val="20"/>
          <w:szCs w:val="20"/>
          <w:color w:val="auto"/>
        </w:rPr>
      </w:pPr>
      <w:r>
        <w:rPr>
          <w:rFonts w:ascii="Times New Roman" w:cs="Times New Roman" w:eastAsia="Times New Roman" w:hAnsi="Times New Roman"/>
          <w:sz w:val="22"/>
          <w:szCs w:val="22"/>
          <w:color w:val="auto"/>
        </w:rPr>
        <w:t>media@editasmed.com</w:t>
      </w:r>
    </w:p>
    <w:sectPr>
      <w:pgSz w:w="11900" w:h="16838" w:orient="portrait"/>
      <w:cols w:equalWidth="0" w:num="1">
        <w:col w:w="11220"/>
      </w:cols>
      <w:pgMar w:left="320" w:top="94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10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2026-05-05T06:09:34Z</dcterms:created>
  <dcterms:modified xsi:type="dcterms:W3CDTF">2026-05-05T06:09:34Z</dcterms:modified>
</cp:coreProperties>
</file>