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5960474.xml.htm"/>
      <w:bookmarkStart w:id="1" w:name="kswkform4_178596047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Parison Amy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11 HURLEY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CAMBRIDGE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02141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Editas Medicine,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EDIT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SVP, 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7"/>
        <w:gridCol w:w="775"/>
        <w:gridCol w:w="602"/>
        <w:gridCol w:w="353"/>
        <w:gridCol w:w="819"/>
        <w:gridCol w:w="465"/>
        <w:gridCol w:w="679"/>
        <w:gridCol w:w="1183"/>
        <w:gridCol w:w="1012"/>
        <w:gridCol w:w="93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6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678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2.58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14,292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Sale was effected pursuant to a durable automatic sales instruction plan adopted by the Reporting Person on July 7, 2022, and represents the sale of shares by the Issuer necessary to meet tax withholding obligations as a result of vesting in restricted stock units on August 1, 2026. The sale does not represent a discretionary trade by the Reporting Person.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Amy Parison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2063082" TargetMode="External"/><Relationship Id="rId5" Type="http://schemas.openxmlformats.org/officeDocument/2006/relationships/hyperlink" Target="http://www.sec.gov/cgi-bin/browse-edgar?action=getcompany&amp;CIK=000165066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623</Words>
  <Characters>3358</Characters>
  <CharactersWithSpaces>3913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