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____________ to 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001-37687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4736"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434"/>
        <w:gridCol w:w="434"/>
        <w:gridCol w:w="617"/>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46-4097528</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11 Hurley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Cambridge, Massachusetts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02141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(617) 401-9000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xml:space="preserve">The number of shares of Common Stock outstanding as of July 31, 2026 was 153,580,035.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57"/>
        <w:gridCol w:w="488"/>
        <w:gridCol w:w="488"/>
        <w:gridCol w:w="2770"/>
        <w:gridCol w:w="2638"/>
        <w:gridCol w:w="2690"/>
        <w:gridCol w:w="167"/>
        <w:gridCol w:w="167"/>
        <w:gridCol w:w="240"/>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0">
              <w:r>
                <w:rPr>
                  <w:rStyle w:val="InternetLink"/>
                  <w:rFonts w:ascii="Times New Roman;serif" w:hAnsi="Times New Roman;serif"/>
                  <w:b w:val="false"/>
                  <w:strike w:val="false"/>
                  <w:dstrike w:val="false"/>
                  <w:color w:val="000000"/>
                  <w:sz w:val="20"/>
                  <w:u w:val="none"/>
                  <w:effect w:val="none"/>
                </w:rPr>
                <w:t>3</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3">
              <w:r>
                <w:rPr>
                  <w:rStyle w:val="InternetLink"/>
                  <w:rFonts w:ascii="Times New Roman;serif" w:hAnsi="Times New Roman;serif"/>
                  <w:b w:val="false"/>
                  <w:color w:val="0000FF"/>
                  <w:sz w:val="20"/>
                  <w:u w:val="single"/>
                </w:rPr>
                <w:t>Item 1.</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3">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3">
              <w:r>
                <w:rPr>
                  <w:rStyle w:val="InternetLink"/>
                  <w:rFonts w:ascii="Times New Roman;serif" w:hAnsi="Times New Roman;serif"/>
                  <w:b w:val="false"/>
                  <w:strike w:val="false"/>
                  <w:dstrike w:val="false"/>
                  <w:color w:val="000000"/>
                  <w:sz w:val="20"/>
                  <w:u w:val="none"/>
                  <w:effect w:val="none"/>
                </w:rPr>
                <w:t>3</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6">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E32E1"/>
                <w:sz w:val="20"/>
                <w:u w:val="single"/>
              </w:rPr>
              <w:t>June 30, 2026</w:t>
            </w:r>
            <w:hyperlink w:anchor="ia26acbec11fa458fa51cce50f5b3b2d2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December 31, 2025</w:t>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6">
              <w:r>
                <w:rPr>
                  <w:rStyle w:val="InternetLink"/>
                  <w:rFonts w:ascii="Times New Roman;serif" w:hAnsi="Times New Roman;serif"/>
                  <w:b w:val="false"/>
                  <w:strike w:val="false"/>
                  <w:dstrike w:val="false"/>
                  <w:color w:val="000000"/>
                  <w:sz w:val="20"/>
                  <w:u w:val="none"/>
                  <w:effect w:val="none"/>
                </w:rPr>
                <w:t>3</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9">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E32E1"/>
                <w:sz w:val="20"/>
                <w:u w:val="single"/>
              </w:rPr>
              <w:t>three and six</w:t>
            </w:r>
            <w:hyperlink w:anchor="ia26acbec11fa458fa51cce50f5b3b2d2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a26acbec11fa458fa51cce50f5b3b2d2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9">
              <w:r>
                <w:rPr>
                  <w:rStyle w:val="InternetLink"/>
                  <w:rFonts w:ascii="Times New Roman;serif" w:hAnsi="Times New Roman;serif"/>
                  <w:b w:val="false"/>
                  <w:strike w:val="false"/>
                  <w:dstrike w:val="false"/>
                  <w:color w:val="000000"/>
                  <w:sz w:val="20"/>
                  <w:u w:val="none"/>
                  <w:effect w:val="none"/>
                </w:rPr>
                <w:t>4</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22">
              <w:r>
                <w:rPr>
                  <w:rStyle w:val="InternetLink"/>
                  <w:rFonts w:ascii="Times New Roman;serif" w:hAnsi="Times New Roman;serif"/>
                  <w:b w:val="false"/>
                  <w:color w:val="000080"/>
                  <w:sz w:val="20"/>
                  <w:u w:val="single"/>
                </w:rPr>
                <w:t xml:space="preserve">Condensed Consolidated Statements of Comprehensive Loss for the </w:t>
              </w:r>
            </w:hyperlink>
            <w:r>
              <w:rPr>
                <w:rFonts w:ascii="Times New Roman;serif" w:hAnsi="Times New Roman;serif"/>
                <w:b w:val="false"/>
                <w:color w:val="0E32E1"/>
                <w:sz w:val="20"/>
                <w:u w:val="single"/>
              </w:rPr>
              <w:t>three and six</w:t>
            </w:r>
            <w:hyperlink w:anchor="ia26acbec11fa458fa51cce50f5b3b2d2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a26acbec11fa458fa51cce50f5b3b2d2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22">
              <w:r>
                <w:rPr>
                  <w:rStyle w:val="InternetLink"/>
                  <w:rFonts w:ascii="Times New Roman;serif" w:hAnsi="Times New Roman;serif"/>
                  <w:b w:val="false"/>
                  <w:strike w:val="false"/>
                  <w:dstrike w:val="false"/>
                  <w:color w:val="000000"/>
                  <w:sz w:val="20"/>
                  <w:u w:val="none"/>
                  <w:effect w:val="none"/>
                </w:rPr>
                <w:t>5</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25">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E32E1"/>
                <w:sz w:val="20"/>
                <w:u w:val="single"/>
              </w:rPr>
              <w:t>three and six months ended June 30, 2026 and 2025</w:t>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25">
              <w:r>
                <w:rPr>
                  <w:rStyle w:val="InternetLink"/>
                  <w:rFonts w:ascii="Times New Roman;serif" w:hAnsi="Times New Roman;serif"/>
                  <w:b w:val="false"/>
                  <w:strike w:val="false"/>
                  <w:dstrike w:val="false"/>
                  <w:color w:val="000000"/>
                  <w:sz w:val="20"/>
                  <w:u w:val="none"/>
                  <w:effect w:val="none"/>
                </w:rPr>
                <w:t>6</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six</w:t>
            </w:r>
            <w:hyperlink w:anchor="ia26acbec11fa458fa51cce50f5b3b2d2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June 30, 2026</w:t>
            </w:r>
            <w:hyperlink w:anchor="ia26acbec11fa458fa51cce50f5b3b2d2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28">
              <w:r>
                <w:rPr>
                  <w:rStyle w:val="InternetLink"/>
                  <w:rFonts w:ascii="Times New Roman;serif" w:hAnsi="Times New Roman;serif"/>
                  <w:b w:val="false"/>
                  <w:strike w:val="false"/>
                  <w:dstrike w:val="false"/>
                  <w:color w:val="000000"/>
                  <w:sz w:val="20"/>
                  <w:u w:val="none"/>
                  <w:effect w:val="none"/>
                </w:rPr>
                <w:t>7</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34">
              <w:r>
                <w:rPr>
                  <w:rStyle w:val="InternetLink"/>
                  <w:rFonts w:ascii="Times New Roman;serif" w:hAnsi="Times New Roman;serif"/>
                  <w:b w:val="false"/>
                  <w:color w:val="0000FF"/>
                  <w:sz w:val="20"/>
                  <w:u w:val="single"/>
                </w:rPr>
                <w:t xml:space="preserve">Notes to Condensed Consolidated Financial Statements </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34">
              <w:r>
                <w:rPr>
                  <w:rStyle w:val="InternetLink"/>
                  <w:rFonts w:ascii="Times New Roman;serif" w:hAnsi="Times New Roman;serif"/>
                  <w:b w:val="false"/>
                  <w:strike w:val="false"/>
                  <w:dstrike w:val="false"/>
                  <w:color w:val="000000"/>
                  <w:sz w:val="20"/>
                  <w:u w:val="none"/>
                  <w:effect w:val="none"/>
                </w:rPr>
                <w:t>9</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82">
              <w:r>
                <w:rPr>
                  <w:rStyle w:val="InternetLink"/>
                  <w:rFonts w:ascii="Times New Roman;serif" w:hAnsi="Times New Roman;serif"/>
                  <w:b w:val="false"/>
                  <w:color w:val="0000FF"/>
                  <w:sz w:val="20"/>
                  <w:u w:val="single"/>
                </w:rPr>
                <w:t>Item 2.</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82">
              <w:r>
                <w:rPr>
                  <w:rStyle w:val="InternetLink"/>
                  <w:rFonts w:ascii="Times New Roman;serif" w:hAnsi="Times New Roman;serif"/>
                  <w:b w:val="false"/>
                  <w:strike w:val="false"/>
                  <w:dstrike w:val="false"/>
                  <w:color w:val="000000"/>
                  <w:sz w:val="20"/>
                  <w:u w:val="none"/>
                  <w:effect w:val="none"/>
                </w:rPr>
                <w:t>22</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3">
              <w:r>
                <w:rPr>
                  <w:rStyle w:val="InternetLink"/>
                  <w:rFonts w:ascii="Times New Roman;serif" w:hAnsi="Times New Roman;serif"/>
                  <w:b w:val="false"/>
                  <w:color w:val="0000FF"/>
                  <w:sz w:val="20"/>
                  <w:u w:val="single"/>
                </w:rPr>
                <w:t>Item 3.</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3">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03">
              <w:r>
                <w:rPr>
                  <w:rStyle w:val="InternetLink"/>
                  <w:rFonts w:ascii="Times New Roman;serif" w:hAnsi="Times New Roman;serif"/>
                  <w:b w:val="false"/>
                  <w:strike w:val="false"/>
                  <w:dstrike w:val="false"/>
                  <w:color w:val="000000"/>
                  <w:sz w:val="20"/>
                  <w:u w:val="none"/>
                  <w:effect w:val="none"/>
                </w:rPr>
                <w:t>37</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6">
              <w:r>
                <w:rPr>
                  <w:rStyle w:val="InternetLink"/>
                  <w:rFonts w:ascii="Times New Roman;serif" w:hAnsi="Times New Roman;serif"/>
                  <w:b w:val="false"/>
                  <w:color w:val="0000FF"/>
                  <w:sz w:val="20"/>
                  <w:u w:val="single"/>
                </w:rPr>
                <w:t>Item 4.</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6">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06">
              <w:r>
                <w:rPr>
                  <w:rStyle w:val="InternetLink"/>
                  <w:rFonts w:ascii="Times New Roman;serif" w:hAnsi="Times New Roman;serif"/>
                  <w:b w:val="false"/>
                  <w:strike w:val="false"/>
                  <w:dstrike w:val="false"/>
                  <w:color w:val="000000"/>
                  <w:sz w:val="20"/>
                  <w:u w:val="none"/>
                  <w:effect w:val="none"/>
                </w:rPr>
                <w:t>37</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09">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09">
              <w:r>
                <w:rPr>
                  <w:rStyle w:val="InternetLink"/>
                  <w:rFonts w:ascii="Times New Roman;serif" w:hAnsi="Times New Roman;serif"/>
                  <w:b w:val="false"/>
                  <w:strike w:val="false"/>
                  <w:dstrike w:val="false"/>
                  <w:color w:val="000000"/>
                  <w:sz w:val="20"/>
                  <w:u w:val="none"/>
                  <w:effect w:val="none"/>
                </w:rPr>
                <w:t>38</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2">
              <w:r>
                <w:rPr>
                  <w:rStyle w:val="InternetLink"/>
                  <w:rFonts w:ascii="Times New Roman;serif" w:hAnsi="Times New Roman;serif"/>
                  <w:b w:val="false"/>
                  <w:color w:val="0000FF"/>
                  <w:sz w:val="20"/>
                  <w:u w:val="single"/>
                </w:rPr>
                <w:t>Item 1.</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2">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12">
              <w:r>
                <w:rPr>
                  <w:rStyle w:val="InternetLink"/>
                  <w:rFonts w:ascii="Times New Roman;serif" w:hAnsi="Times New Roman;serif"/>
                  <w:b w:val="false"/>
                  <w:strike w:val="false"/>
                  <w:dstrike w:val="false"/>
                  <w:color w:val="000000"/>
                  <w:sz w:val="20"/>
                  <w:u w:val="none"/>
                  <w:effect w:val="none"/>
                </w:rPr>
                <w:t>38</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5">
              <w:r>
                <w:rPr>
                  <w:rStyle w:val="InternetLink"/>
                  <w:rFonts w:ascii="Times New Roman;serif" w:hAnsi="Times New Roman;serif"/>
                  <w:b w:val="false"/>
                  <w:color w:val="0000FF"/>
                  <w:sz w:val="20"/>
                  <w:u w:val="single"/>
                </w:rPr>
                <w:t>Item 1A.</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5">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15">
              <w:r>
                <w:rPr>
                  <w:rStyle w:val="InternetLink"/>
                  <w:rFonts w:ascii="Times New Roman;serif" w:hAnsi="Times New Roman;serif"/>
                  <w:b w:val="false"/>
                  <w:strike w:val="false"/>
                  <w:dstrike w:val="false"/>
                  <w:color w:val="000000"/>
                  <w:sz w:val="20"/>
                  <w:u w:val="none"/>
                  <w:effect w:val="none"/>
                </w:rPr>
                <w:t>38</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8">
              <w:r>
                <w:rPr>
                  <w:rStyle w:val="InternetLink"/>
                  <w:rFonts w:ascii="Times New Roman;serif" w:hAnsi="Times New Roman;serif"/>
                  <w:b w:val="false"/>
                  <w:color w:val="0000FF"/>
                  <w:sz w:val="20"/>
                  <w:u w:val="single"/>
                </w:rPr>
                <w:t>Item 5.</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18">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18">
              <w:r>
                <w:rPr>
                  <w:rStyle w:val="InternetLink"/>
                  <w:rFonts w:ascii="Times New Roman;serif" w:hAnsi="Times New Roman;serif"/>
                  <w:b w:val="false"/>
                  <w:strike w:val="false"/>
                  <w:dstrike w:val="false"/>
                  <w:color w:val="000000"/>
                  <w:sz w:val="20"/>
                  <w:u w:val="none"/>
                  <w:effect w:val="none"/>
                </w:rPr>
                <w:t>40</w:t>
              </w:r>
            </w:hyperlink>
          </w:p>
        </w:tc>
      </w:tr>
      <w:tr>
        <w:trPr/>
        <w:tc>
          <w:tcPr>
            <w:tcW w:w="15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21">
              <w:r>
                <w:rPr>
                  <w:rStyle w:val="InternetLink"/>
                  <w:rFonts w:ascii="Times New Roman;serif" w:hAnsi="Times New Roman;serif"/>
                  <w:b w:val="false"/>
                  <w:color w:val="0000FF"/>
                  <w:sz w:val="20"/>
                  <w:u w:val="single"/>
                </w:rPr>
                <w:t>Item 6.</w:t>
              </w:r>
            </w:hyperlink>
          </w:p>
        </w:tc>
        <w:tc>
          <w:tcPr>
            <w:tcW w:w="8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21">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21">
              <w:r>
                <w:rPr>
                  <w:rStyle w:val="InternetLink"/>
                  <w:rFonts w:ascii="Times New Roman;serif" w:hAnsi="Times New Roman;serif"/>
                  <w:b w:val="false"/>
                  <w:strike w:val="false"/>
                  <w:dstrike w:val="false"/>
                  <w:color w:val="000000"/>
                  <w:sz w:val="20"/>
                  <w:u w:val="none"/>
                  <w:effect w:val="none"/>
                </w:rPr>
                <w:t>41</w:t>
              </w:r>
            </w:hyperlink>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26acbec11fa458fa51cce50f5b3b2d2_124">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acbec11fa458fa51cce50f5b3b2d2_124">
              <w:r>
                <w:rPr>
                  <w:rStyle w:val="InternetLink"/>
                  <w:rFonts w:ascii="Times New Roman;serif" w:hAnsi="Times New Roman;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046"/>
        <w:gridCol w:w="2334"/>
        <w:gridCol w:w="2336"/>
        <w:gridCol w:w="197"/>
        <w:gridCol w:w="741"/>
        <w:gridCol w:w="109"/>
        <w:gridCol w:w="109"/>
        <w:gridCol w:w="109"/>
        <w:gridCol w:w="109"/>
        <w:gridCol w:w="200"/>
        <w:gridCol w:w="755"/>
        <w:gridCol w:w="160"/>
      </w:tblGrid>
      <w:tr>
        <w:trPr/>
        <w:tc>
          <w:tcPr>
            <w:tcW w:w="304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163,895 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other non-current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46,246 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net of current portion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net of current portion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159,246 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7)</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Stockholders’ equity </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5,000,000 shares authorized; no shares issued or outstanding</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390,000,000 shares authorized; 153,530,898 and 97,866,996 shares issued and outstanding at June 30, 2026 and December 31, 2025, respectively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1,655,781 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(1,628,503)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27,288 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stockholders’ equity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708"/>
        <w:gridCol w:w="1434"/>
        <w:gridCol w:w="1441"/>
        <w:gridCol w:w="227"/>
        <w:gridCol w:w="795"/>
        <w:gridCol w:w="119"/>
        <w:gridCol w:w="109"/>
        <w:gridCol w:w="109"/>
        <w:gridCol w:w="109"/>
        <w:gridCol w:w="211"/>
        <w:gridCol w:w="783"/>
        <w:gridCol w:w="109"/>
        <w:gridCol w:w="109"/>
        <w:gridCol w:w="109"/>
        <w:gridCol w:w="109"/>
        <w:gridCol w:w="227"/>
        <w:gridCol w:w="795"/>
        <w:gridCol w:w="119"/>
        <w:gridCol w:w="109"/>
        <w:gridCol w:w="109"/>
        <w:gridCol w:w="109"/>
        <w:gridCol w:w="211"/>
        <w:gridCol w:w="888"/>
        <w:gridCol w:w="157"/>
      </w:tblGrid>
      <w:tr>
        <w:trPr/>
        <w:tc>
          <w:tcPr>
            <w:tcW w:w="170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(43,557)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(127,707)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119,294,615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84,412,200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108,646,137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83,737,382</w:t>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374" w:type="dxa"/>
        <w:jc w:val="center"/>
        <w:tblInd w:w="0" w:type="dxa"/>
        <w:tblLayout w:type="fixed"/>
        <w:tblCellMar>
          <w:top w:w="28" w:type="dxa"/>
          <w:left w:w="28" w:type="dxa"/>
          <w:bottom w:w="28" w:type="dxa"/>
          <w:right w:w="28" w:type="dxa"/>
        </w:tblCellMar>
      </w:tblPr>
      <w:tblGrid>
        <w:gridCol w:w="1368"/>
        <w:gridCol w:w="1195"/>
        <w:gridCol w:w="121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1759" w:type="dxa"/>
        <w:jc w:val="left"/>
        <w:tblInd w:w="0" w:type="dxa"/>
        <w:tblLayout w:type="fixed"/>
        <w:tblCellMar>
          <w:top w:w="28" w:type="dxa"/>
          <w:left w:w="28" w:type="dxa"/>
          <w:bottom w:w="28" w:type="dxa"/>
          <w:right w:w="28" w:type="dxa"/>
        </w:tblCellMar>
      </w:tblPr>
      <w:tblGrid>
        <w:gridCol w:w="531"/>
        <w:gridCol w:w="282"/>
        <w:gridCol w:w="283"/>
        <w:gridCol w:w="356"/>
        <w:gridCol w:w="356"/>
        <w:gridCol w:w="294"/>
        <w:gridCol w:w="208"/>
        <w:gridCol w:w="231"/>
        <w:gridCol w:w="390"/>
        <w:gridCol w:w="130"/>
        <w:gridCol w:w="310"/>
        <w:gridCol w:w="310"/>
        <w:gridCol w:w="311"/>
        <w:gridCol w:w="196"/>
        <w:gridCol w:w="871"/>
        <w:gridCol w:w="109"/>
        <w:gridCol w:w="435"/>
        <w:gridCol w:w="435"/>
        <w:gridCol w:w="436"/>
        <w:gridCol w:w="196"/>
        <w:gridCol w:w="406"/>
        <w:gridCol w:w="109"/>
        <w:gridCol w:w="375"/>
        <w:gridCol w:w="375"/>
        <w:gridCol w:w="376"/>
        <w:gridCol w:w="196"/>
        <w:gridCol w:w="886"/>
        <w:gridCol w:w="109"/>
        <w:gridCol w:w="390"/>
        <w:gridCol w:w="390"/>
        <w:gridCol w:w="391"/>
        <w:gridCol w:w="196"/>
        <w:gridCol w:w="73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086" w:type="dxa"/>
            <w:gridSpan w:val="3"/>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97,866,996</w:t>
            </w:r>
          </w:p>
        </w:tc>
        <w:tc>
          <w:tcPr>
            <w:tcW w:w="20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(1,628,503)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awards</w:t>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34,038</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97,901,034</w:t>
            </w:r>
          </w:p>
        </w:tc>
        <w:tc>
          <w:tcPr>
            <w:tcW w:w="20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(1,653,485)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warrants to purchase future common stock from financing</w:t>
            </w:r>
          </w:p>
        </w:tc>
        <w:tc>
          <w:tcPr>
            <w:tcW w:w="10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55,555,556</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116,880 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20,040</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awards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54,268</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debt securities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153,530,898</w:t>
            </w:r>
          </w:p>
        </w:tc>
        <w:tc>
          <w:tcPr>
            <w:tcW w:w="208"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1,776,987 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(1,671,715)</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105,281 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1684" w:type="dxa"/>
        <w:jc w:val="center"/>
        <w:tblInd w:w="0" w:type="dxa"/>
        <w:tblLayout w:type="fixed"/>
        <w:tblCellMar>
          <w:top w:w="28" w:type="dxa"/>
          <w:left w:w="28" w:type="dxa"/>
          <w:bottom w:w="28" w:type="dxa"/>
          <w:right w:w="28" w:type="dxa"/>
        </w:tblCellMar>
      </w:tblPr>
      <w:tblGrid>
        <w:gridCol w:w="531"/>
        <w:gridCol w:w="282"/>
        <w:gridCol w:w="283"/>
        <w:gridCol w:w="325"/>
        <w:gridCol w:w="325"/>
        <w:gridCol w:w="266"/>
        <w:gridCol w:w="208"/>
        <w:gridCol w:w="269"/>
        <w:gridCol w:w="331"/>
        <w:gridCol w:w="151"/>
        <w:gridCol w:w="931"/>
        <w:gridCol w:w="196"/>
        <w:gridCol w:w="871"/>
        <w:gridCol w:w="109"/>
        <w:gridCol w:w="1306"/>
        <w:gridCol w:w="196"/>
        <w:gridCol w:w="421"/>
        <w:gridCol w:w="109"/>
        <w:gridCol w:w="1126"/>
        <w:gridCol w:w="196"/>
        <w:gridCol w:w="886"/>
        <w:gridCol w:w="109"/>
        <w:gridCol w:w="1171"/>
        <w:gridCol w:w="196"/>
        <w:gridCol w:w="73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086" w:type="dxa"/>
            <w:gridSpan w:val="3"/>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vMerge w:val="continue"/>
            <w:tcBorders/>
            <w:tcMar>
              <w:top w:w="0" w:type="dxa"/>
              <w:left w:w="0" w:type="dxa"/>
              <w:bottom w:w="0" w:type="dxa"/>
              <w:right w:w="0" w:type="dxa"/>
            </w:tcMar>
            <w:vAlign w:val="center"/>
          </w:tcPr>
          <w:p>
            <w:pPr>
              <w:pStyle w:val="Normal"/>
              <w:bidi w:val="0"/>
              <w:jc w:val="left"/>
              <w:rPr/>
            </w:pPr>
            <w:r>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82,734,696</w:t>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at-the-market equity offering, net</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706,236</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Vesting of restricted common stock awards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268,604</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debt securities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83,709,536</w:t>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(1,544,531)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at-the-market equity offering, net</w:t>
            </w:r>
          </w:p>
        </w:tc>
        <w:tc>
          <w:tcPr>
            <w:tcW w:w="9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3,419,836</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102,894</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156,159</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debt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87,388,425</w:t>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1,616,931 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(1,597,766)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9109" w:type="dxa"/>
        <w:jc w:val="center"/>
        <w:tblInd w:w="0" w:type="dxa"/>
        <w:tblLayout w:type="fixed"/>
        <w:tblCellMar>
          <w:top w:w="28" w:type="dxa"/>
          <w:left w:w="28" w:type="dxa"/>
          <w:bottom w:w="28" w:type="dxa"/>
          <w:right w:w="28" w:type="dxa"/>
        </w:tblCellMar>
      </w:tblPr>
      <w:tblGrid>
        <w:gridCol w:w="2326"/>
        <w:gridCol w:w="2047"/>
        <w:gridCol w:w="2061"/>
        <w:gridCol w:w="237"/>
        <w:gridCol w:w="928"/>
        <w:gridCol w:w="122"/>
        <w:gridCol w:w="122"/>
        <w:gridCol w:w="211"/>
        <w:gridCol w:w="901"/>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266" w:type="dxa"/>
            <w:gridSpan w:val="3"/>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discounts on marketable securities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related to sale of future revenues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held for sale assets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non-cash items </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sale of future revenues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(52,629)</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(98,011)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equipment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 of common stock, net of issuance costs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on sale of future revenues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at-the-market equity offering</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117,535 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184,485 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11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181,815 </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Restricted cash</w:t>
            </w:r>
            <w:r>
              <w:rPr>
                <w:rFonts w:ascii="Times New Roman;serif" w:hAnsi="Times New Roman;serif"/>
                <w:b w:val="false"/>
                <w:color w:val="000000"/>
                <w:sz w:val="13"/>
              </w:rPr>
              <w:t>1</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184,485 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23"/>
        <w:gridCol w:w="1308"/>
        <w:gridCol w:w="1308"/>
        <w:gridCol w:w="1295"/>
        <w:gridCol w:w="1158"/>
        <w:gridCol w:w="1158"/>
        <w:gridCol w:w="1178"/>
        <w:gridCol w:w="360"/>
        <w:gridCol w:w="361"/>
        <w:gridCol w:w="156"/>
      </w:tblGrid>
      <w:tr>
        <w:trPr/>
        <w:tc>
          <w:tcPr>
            <w:tcW w:w="192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8" w:type="dxa"/>
            <w:gridSpan w:val="7"/>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 and June 30, 2025, restricted cash of $2,670 and $3,877 was included in Restricted cash and other non-current assets on the Consolidated Balance Sheet, respectively.</w:t>
            </w:r>
          </w:p>
        </w:tc>
        <w:tc>
          <w:tcPr>
            <w:tcW w:w="877" w:type="dxa"/>
            <w:gridSpan w:val="3"/>
            <w:tcBorders/>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and non-cash activities:</w:t>
            </w:r>
          </w:p>
        </w:tc>
        <w:tc>
          <w:tcPr>
            <w:tcW w:w="3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611" w:type="dxa"/>
            <w:gridSpan w:val="3"/>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expenses included in accounts payable and accrued expenses</w:t>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operating lease liabilities</w:t>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operating lease liabilities and right-of-use assets due to lease modification</w:t>
            </w:r>
          </w:p>
        </w:tc>
        <w:tc>
          <w:tcPr>
            <w:tcW w:w="2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611" w:type="dxa"/>
            <w:gridSpan w:val="3"/>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611" w:type="dxa"/>
            <w:gridSpan w:val="3"/>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termination of right-of-use asset</w:t>
            </w:r>
          </w:p>
        </w:tc>
        <w:tc>
          <w:tcPr>
            <w:tcW w:w="2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3611" w:type="dxa"/>
            <w:gridSpan w:val="3"/>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Editas Medicine, Inc. (the “Company”) is a pioneering gene editing company dedicated to developing transformative genomic medicines to treat a broad range of serious diseases. The Company was incorporated in the state of Delaware in September 2013. Its principal offices are in Cambridge, Massachusetts.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efforts to business planning, research and development, recruiting management and technical staff, and raising capital. The Company has primarily financed its operations through various equity financings, payments received under a research collaboration with the Bristol-Myers Squibb Company (“BMS”), through its wholly owned subsidiary Juno Therapeutics, Inc. (“Juno Therapeutics”), payments received under its former strategic alliance with Allergan Pharmaceuticals International Limited (together with its affiliates, “Allergan”), which was terminated in August 2020, payments received under a purchase and sale agreement with DRI Healthcare Acquisitions LP (“DRI,” and such agreement, the “DRI Agreement”), and payments received under the Company’s license agreement with Vertex Pharmaceuticals, Inc. (“Vertex”, and such agreement, the “Vertex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raised an aggregate of $1.2 billion in net proceeds through the sale of shares of its common stock in public offerings and at-the-market offerings. The Company also has funded its business from payments received under its DRI Agreement, under the Vertex License Agreement, under the collaboration with BMS through its wholly owned subsidiary Juno Therapeutics and its former strategic alliance with Allergan (which was terminated in August 2020). As of June 30, 2026, the Company had cash, cash equivalents, and marketable securities of $211.6 million.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Company completed a public offering (the “Offering”) in which it sold 55,555,556 shares of its common stock and accompanying common stock warrants to purchase up to 55,555,556 shares of its common stock (or pre-funded warrants to purchase shares of its common stock in lieu thereof). The Company received net proceeds of approximately $116.9 million after deducting underwriting discounts and commissions and other costs, and excluding any proceeds that may be received from the exercise of the common stock warrants. If all of the common stock warrants sold in the Offering were to be exercised in cash for shares of the Company’s common stock, the Company would receive additional proceeds of approximately $192.5 million.</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In May 2021, the Company entered into a common stock sales agreement (the “Sales Agreement”) with TD Securities (USA) LLC (as successor to Cowen and Company, LLC) (“TD Cowen”), under which the Company from time to time can issue and sell shares of the Company’s common stock through TD Cowen in at-the-market offerings for aggregate gross sale proceeds of up to $300.0 million. The Company amended the Sales Agreement in February 2024 in connection with filing a new registration statement. In March 2025, the Company further amended the Sales Agreement in connection with amending its existing shelf registration statement following the loss of the Company’s status as a “well-known seasoned issuer” (as defined under Rule 405 of the Securities Act of 1933, as amended), reducing the amount of shares of common stock the Company may issue and sell through TD Cowen to aggregate gross sale proceeds of up to $150.0 million (the “ATM Facility”). In May 2026, the Company notified TD Cowen that it was suspending and terminating the prospectus supplement, dated March 21, 2025, related to the Sales Agreement. The Company will not make any sales of its common stock pursuant to the Sales Agreement unless and until a new prospectus or prospectus supplement is filed and, if applicable, a new registration statement covering such shares of common stock is declared effective by the Securities and Exchange Commission (“SEC”). The Sales Agreement remains in full force and effect. As of June 30, 2026, the Company had sold 14,327,365 shares of common stock under the ATM Facility for gross proceeds of $43.9 million </w:t>
      </w:r>
      <w:r>
        <w:rPr>
          <w:rFonts w:ascii="Times New Roman;serif" w:hAnsi="Times New Roman;serif"/>
          <w:b w:val="false"/>
          <w:color w:val="000000"/>
          <w:sz w:val="20"/>
          <w:shd w:fill="FFFFFF" w:val="clear"/>
        </w:rPr>
        <w:t xml:space="preserve">and has </w:t>
      </w:r>
      <w:r>
        <w:rPr>
          <w:rFonts w:ascii="Times New Roman;serif" w:hAnsi="Times New Roman;serif"/>
          <w:b w:val="false"/>
          <w:color w:val="000000"/>
          <w:sz w:val="20"/>
        </w:rPr>
        <w:t>$106.1 million</w:t>
      </w:r>
      <w:r>
        <w:rPr>
          <w:color w:val="000000"/>
          <w:shd w:fill="FFFFFF" w:val="clear"/>
        </w:rPr>
        <w:t xml:space="preserve"> </w:t>
      </w:r>
      <w:r>
        <w:rPr>
          <w:rFonts w:ascii="Times New Roman;serif" w:hAnsi="Times New Roman;serif"/>
          <w:b w:val="false"/>
          <w:color w:val="000000"/>
          <w:sz w:val="20"/>
          <w:shd w:fill="FFFFFF" w:val="clear"/>
        </w:rPr>
        <w:t>of shares of common stock remaining available for issuance and sale under the ATM Facility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annual net operating losses in every year since its inception. As of August 5, 2026, the issuance date of the condensed consolidated financial statements, the Company expects that its existing cash and cash equivalents will be sufficient to fund its operating expenses and capital expenditure requirements for at least the next twelve months. The Company had an accumulated deficit of $1.7 billion at June 30, 2026, and will require substantial additional capital to fund its operations. The Company has never generated any product revenue. There can be no assurance that the Company will be able to obtain additional debt or equity financings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included herein have been prepared, without audit, pursuant to the rules and regulations of the SEC. Certain information and footnote disclosures normally included in financial statements prepared in accordance with generally accepted accounting principles in the United States of America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for the fiscal year ended December 31, 2025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wholly owned subsidiaries, Editas Securities Corporation and Editas Medicine, LLC. All intercompany transactions and balances of the subsidiaries have been eliminated in consolidation. In the opinion of management, the information furnished reflects all adjustments, all of which are of a normal and recurring nature, necessary for a fair statement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three months ended June 30, 2026 and 2025 are referred to as the second quarter of 2026 and 2025, respectively. The results of operations for interim periods are not necessarily indicative of results to be expected for the full year or any other interim period.</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significant accounting policies are described in Note 2, “Summary of Significant Accounting Policies,” to the consolidated financial statements included in the Annual Report. There have been no material changes to the significant accounting policies previously disclosed in the Annual Report, except for the following: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815-40, including whether the warrants are indexed to the Company’s own common stock and whether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end-date while the warrants are outstanding.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warrants are issued together with other securities in a single transaction, the Company allocates the gross proceeds among the freestanding instruments based on their relative fair values. The Company estimates the fair value of warrants using option pricing models, which require the use of significant unobservable inputs. Such measurements are classified within Level 3 of the fair value hierarchy. Issuance costs are allocated to the warrants on the same relative-fair-value basis. Costs allocated to equity-classified warrants reduce additional paid-in capital, and costs allocated to liability-classified warrants are expensed as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issued or modified warrants that meet all the criteria for equity classification, the warrants are required to be recorded as a component of equity at the time of issuance. Warrants classified in equity are not remeasured after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provided they continue to qualify for equity classification.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the statements of operations.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the Financial Accounting Standards Board (“FASB”) issued Accounting Standards Update (“ASU”) 2025-07 </w:t>
      </w:r>
      <w:r>
        <w:rPr>
          <w:rFonts w:ascii="Times New Roman;serif" w:hAnsi="Times New Roman;serif"/>
          <w:b w:val="false"/>
          <w:i/>
          <w:color w:val="000000"/>
          <w:sz w:val="20"/>
        </w:rPr>
        <w:t>Derivatives Scope Refinements and Scope Clarification for Share-Based Noncash Consideration from a Customer in a Revenue Contract</w:t>
      </w:r>
      <w:r>
        <w:rPr>
          <w:rFonts w:ascii="Times New Roman;serif" w:hAnsi="Times New Roman;serif"/>
          <w:b w:val="false"/>
          <w:color w:val="000000"/>
          <w:sz w:val="20"/>
        </w:rPr>
        <w:t>. The amendments provide for a new scope exception to the derivatives guidance for underlyings based on the operations or activities specific to one of the parties to the contract, and also clarify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the ASU. The amendments are effective for annual reporting periods beginning after December 15, 2026, including interim periods within those fiscal years. Early adoption is permitted. The Company adopted the standard prospectively in the first quarter of 2026, and it did not have a material impact on its condensed consolidated financial statements.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-Expense Disaggregation Disclosures (Subtopic 220-40): Disaggregation of Income Statement Expenses</w:t>
      </w:r>
      <w:r>
        <w:rPr>
          <w:rFonts w:ascii="Times New Roman;serif" w:hAnsi="Times New Roman;serif"/>
          <w:b w:val="false"/>
          <w:color w:val="000000"/>
          <w:sz w:val="20"/>
        </w:rPr>
        <w:t>, which is intended to improve the disclosure of expenses by providing more detailed information about the types of expenses in commonly presented expense captions. The amendments in this ASU are effective for annual reporting periods beginning after December 15, 2026, and interim periods beginning after December 15, 2027. Early adoption is permitted. The amendments can be applied either prospectively or retrospectively. The Company has not early adopted this ASU and is currently evaluating the impact of this new standard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Cash Equivalents and Marketable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consisted of the following at June 30, 2026 (in thousands):</w:t>
      </w:r>
    </w:p>
    <w:tbl>
      <w:tblPr>
        <w:tblW w:w="10205" w:type="dxa"/>
        <w:jc w:val="left"/>
        <w:tblInd w:w="0" w:type="dxa"/>
        <w:tblLayout w:type="fixed"/>
        <w:tblCellMar>
          <w:top w:w="28" w:type="dxa"/>
          <w:left w:w="28" w:type="dxa"/>
          <w:bottom w:w="28" w:type="dxa"/>
          <w:right w:w="28" w:type="dxa"/>
        </w:tblCellMar>
      </w:tblPr>
      <w:tblGrid>
        <w:gridCol w:w="1305"/>
        <w:gridCol w:w="1146"/>
        <w:gridCol w:w="1152"/>
        <w:gridCol w:w="109"/>
        <w:gridCol w:w="109"/>
        <w:gridCol w:w="109"/>
        <w:gridCol w:w="211"/>
        <w:gridCol w:w="826"/>
        <w:gridCol w:w="109"/>
        <w:gridCol w:w="109"/>
        <w:gridCol w:w="109"/>
        <w:gridCol w:w="109"/>
        <w:gridCol w:w="248"/>
        <w:gridCol w:w="478"/>
        <w:gridCol w:w="130"/>
        <w:gridCol w:w="109"/>
        <w:gridCol w:w="109"/>
        <w:gridCol w:w="109"/>
        <w:gridCol w:w="257"/>
        <w:gridCol w:w="495"/>
        <w:gridCol w:w="134"/>
        <w:gridCol w:w="109"/>
        <w:gridCol w:w="109"/>
        <w:gridCol w:w="109"/>
        <w:gridCol w:w="316"/>
        <w:gridCol w:w="406"/>
        <w:gridCol w:w="164"/>
        <w:gridCol w:w="109"/>
        <w:gridCol w:w="109"/>
        <w:gridCol w:w="109"/>
        <w:gridCol w:w="211"/>
        <w:gridCol w:w="826"/>
        <w:gridCol w:w="156"/>
      </w:tblGrid>
      <w:tr>
        <w:trP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6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211,645 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consisted of the following at December 31, 2025 (in thousands):</w:t>
      </w:r>
    </w:p>
    <w:tbl>
      <w:tblPr>
        <w:tblW w:w="8399"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211"/>
        <w:gridCol w:w="826"/>
        <w:gridCol w:w="109"/>
        <w:gridCol w:w="109"/>
        <w:gridCol w:w="109"/>
        <w:gridCol w:w="109"/>
        <w:gridCol w:w="248"/>
        <w:gridCol w:w="478"/>
        <w:gridCol w:w="130"/>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17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on available-for-sale securities during the three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June 30, 2026 were as follows (in thousands):</w:t>
      </w:r>
    </w:p>
    <w:tbl>
      <w:tblPr>
        <w:tblW w:w="9459" w:type="dxa"/>
        <w:jc w:val="left"/>
        <w:tblInd w:w="0" w:type="dxa"/>
        <w:tblLayout w:type="fixed"/>
        <w:tblCellMar>
          <w:top w:w="28" w:type="dxa"/>
          <w:left w:w="28" w:type="dxa"/>
          <w:bottom w:w="28" w:type="dxa"/>
          <w:right w:w="28" w:type="dxa"/>
        </w:tblCellMar>
      </w:tblPr>
      <w:tblGrid>
        <w:gridCol w:w="1346"/>
        <w:gridCol w:w="1182"/>
        <w:gridCol w:w="1191"/>
        <w:gridCol w:w="109"/>
        <w:gridCol w:w="109"/>
        <w:gridCol w:w="109"/>
        <w:gridCol w:w="211"/>
        <w:gridCol w:w="826"/>
        <w:gridCol w:w="109"/>
        <w:gridCol w:w="109"/>
        <w:gridCol w:w="109"/>
        <w:gridCol w:w="109"/>
        <w:gridCol w:w="223"/>
        <w:gridCol w:w="876"/>
        <w:gridCol w:w="115"/>
        <w:gridCol w:w="109"/>
        <w:gridCol w:w="109"/>
        <w:gridCol w:w="109"/>
        <w:gridCol w:w="270"/>
        <w:gridCol w:w="520"/>
        <w:gridCol w:w="141"/>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214,315 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2025 were as follows (in thousands):</w:t>
      </w:r>
    </w:p>
    <w:tbl>
      <w:tblPr>
        <w:tblW w:w="9460" w:type="dxa"/>
        <w:jc w:val="left"/>
        <w:tblInd w:w="0" w:type="dxa"/>
        <w:tblLayout w:type="fixed"/>
        <w:tblCellMar>
          <w:top w:w="28" w:type="dxa"/>
          <w:left w:w="28" w:type="dxa"/>
          <w:bottom w:w="28" w:type="dxa"/>
          <w:right w:w="28" w:type="dxa"/>
        </w:tblCellMar>
      </w:tblPr>
      <w:tblGrid>
        <w:gridCol w:w="1346"/>
        <w:gridCol w:w="1183"/>
        <w:gridCol w:w="1191"/>
        <w:gridCol w:w="109"/>
        <w:gridCol w:w="109"/>
        <w:gridCol w:w="109"/>
        <w:gridCol w:w="211"/>
        <w:gridCol w:w="826"/>
        <w:gridCol w:w="109"/>
        <w:gridCol w:w="109"/>
        <w:gridCol w:w="109"/>
        <w:gridCol w:w="109"/>
        <w:gridCol w:w="223"/>
        <w:gridCol w:w="876"/>
        <w:gridCol w:w="115"/>
        <w:gridCol w:w="109"/>
        <w:gridCol w:w="109"/>
        <w:gridCol w:w="109"/>
        <w:gridCol w:w="270"/>
        <w:gridCol w:w="520"/>
        <w:gridCol w:w="141"/>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liability for sale of future revenues, as described in Note 12, “Debt”, approximates the amount recorded on the Company’s balance sheet as of June 30, 2026 and December 31, 2025, which represents a Level 3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Accrued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6256" w:type="dxa"/>
        <w:jc w:val="left"/>
        <w:tblInd w:w="0" w:type="dxa"/>
        <w:tblLayout w:type="fixed"/>
        <w:tblCellMar>
          <w:top w:w="28" w:type="dxa"/>
          <w:left w:w="28" w:type="dxa"/>
          <w:bottom w:w="28" w:type="dxa"/>
          <w:right w:w="28" w:type="dxa"/>
        </w:tblCellMar>
      </w:tblPr>
      <w:tblGrid>
        <w:gridCol w:w="1359"/>
        <w:gridCol w:w="1192"/>
        <w:gridCol w:w="1198"/>
        <w:gridCol w:w="211"/>
        <w:gridCol w:w="721"/>
        <w:gridCol w:w="109"/>
        <w:gridCol w:w="109"/>
        <w:gridCol w:w="109"/>
        <w:gridCol w:w="109"/>
        <w:gridCol w:w="221"/>
        <w:gridCol w:w="757"/>
        <w:gridCol w:w="161"/>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contract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Property and equipment, net consisted of the following (in thousands):</w:t>
      </w:r>
      <w:r>
        <w:rPr>
          <w:color w:val="000000"/>
        </w:rPr>
        <w:t xml:space="preserve"> </w:t>
      </w:r>
    </w:p>
    <w:tbl>
      <w:tblPr>
        <w:tblW w:w="5191"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number of license agreements under which the Company licenses patents, patent applications and other intellectual property from third parties. As such, the Company is obligated to pay licensors for various costs including upfront license fees, annual license fees, certain licensor expense reimbursements, success payments, research funding payments, and milestones triggerable upon certain development, regulatory, and commercial events as well as royalties on future product sales. These contracts are generally cancellable, with notice, at the Company’s option and do not have significant cancellation penalties. The terms and conditions as well as the accounting analysis for the Company’s significant commitments and contingencies are described in Note 8, “Commitments and Contingencies” to the consolidated financial statements included in the Annual Report. There have been no material changes to the terms and conditions, or the accounting conclusions, previously disclosed in the Annual Report. The Company is not currently subject to any material contingencies that require disclosure.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Licensor Expense Reimbursement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reimburse The Broad Institute, Inc. (“Broad”) and the President and Fellows of Harvard College (“Harvard”) for expenses incurred by each of them associated with the prosecution and maintenance of the patent rights that the Company licenses from them pursuant to the Amended and Restated Cas9-I License Agreement by and among the Company, Broad, and Harvard (the “Cas9-I License Agreement”), including the interference and opposition proceedings involving patents licensed to the Company under the license agreement, and other license agreements between the Company and Broad. The Company incurred an aggregate of $3.4 million and $5.7 million in expenses during the three and six months ended June 30, 2026, respectively. The Company incurred an aggregate of $2.3 million and $4.2 million in expense during the three and six months ended June 30, 2025, respectively, for such reimbursement.</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Lease Termination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the Company entered into a license and service agreement pursuant to which it leased manufacturing space for its continued research and development activities. The lease commenced April 1, 2024. In September 2024, the Company entered into a modification of the lease, and as a result of the modification the lease payments decreased and the notification period for the termination of the license and service agreement increased from 12 months’ prior written notice to 18 months’ prior written notice. In January 2025, the Company gave its termination notice on the license and service agreement, which resulted in the end of the term of the agreement being July 2026, and $8.9 million of remaining payments owed. In April 2025, the Company entered into a further modification to the lease providing that the lease would terminate on April 30, 2025 with a final fixed payment of $3.7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8. Collaboration Agreements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multiple collaborations, out-licenses and strategic alliances with third parties that typically involve payments to or from the Company, including upfront payments, payments for research and development services, option payments, milestone payments and royalty payments to or from the Company. The terms and conditions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well as the accounting analysis for the Company’s significant collaborations, out-licenses and strategic alliances are described in Note 9, “Collaboration Agreements,” to the consolidated financial statements included in the Annual Report.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contract liabilities were primarily related to the Company’s collaboration with BMS. The following table presents changes in the Company’s accounts receivable and contract liabilities for the six months ended (in thousands):</w:t>
      </w:r>
    </w:p>
    <w:tbl>
      <w:tblPr>
        <w:tblW w:w="9090" w:type="dxa"/>
        <w:jc w:val="left"/>
        <w:tblInd w:w="0" w:type="dxa"/>
        <w:tblLayout w:type="fixed"/>
        <w:tblCellMar>
          <w:top w:w="28" w:type="dxa"/>
          <w:left w:w="28" w:type="dxa"/>
          <w:bottom w:w="28" w:type="dxa"/>
          <w:right w:w="28" w:type="dxa"/>
        </w:tblCellMar>
      </w:tblPr>
      <w:tblGrid>
        <w:gridCol w:w="641"/>
        <w:gridCol w:w="563"/>
        <w:gridCol w:w="565"/>
        <w:gridCol w:w="468"/>
        <w:gridCol w:w="1600"/>
        <w:gridCol w:w="241"/>
        <w:gridCol w:w="109"/>
        <w:gridCol w:w="109"/>
        <w:gridCol w:w="109"/>
        <w:gridCol w:w="211"/>
        <w:gridCol w:w="616"/>
        <w:gridCol w:w="109"/>
        <w:gridCol w:w="109"/>
        <w:gridCol w:w="109"/>
        <w:gridCol w:w="109"/>
        <w:gridCol w:w="211"/>
        <w:gridCol w:w="796"/>
        <w:gridCol w:w="109"/>
        <w:gridCol w:w="109"/>
        <w:gridCol w:w="109"/>
        <w:gridCol w:w="109"/>
        <w:gridCol w:w="384"/>
        <w:gridCol w:w="1315"/>
        <w:gridCol w:w="28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June 30, 2026</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Amendment to BMS Collaboration Agreement</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an amendment (“2024 Amendment”) to the Second Amended and Restated Collaboration and License Agreement, dated as of November 11, 2019, by and between the Company and BMS, through its wholly owned subsidiary Juno Therapeutics, to extend the collaboration to November 2026, with options to extend the collaboration for up to an additional two years, and to provide BMS the ability to select up to three new gene targets for research. As of June 30, 2026, the options to extend the collaboration have expired.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assessment for the 2024 Amendment is described in Note 9, “Collaboration Agreements,” to the consolidated financial statements included in the Annual Report.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$32.3 million of short-term deferred revenue and no long-term deferred revenue in the accompanying condensed consolidated balance sheets. As of December 31, 2025, there was $44.5 million of long-term deferred revenue in the accompanying condensed consolidated balance sheets. The Company recognized $8.2 million of revenue related to the expiration of certain material rights to opt-in to additional research programs under its collaboration with BMS during the three and six months ended June 30, 2026. This amount was included in deferred revenue at the beginning of the period. During the three and six months ended June 30, 2025, the Company did not recognize any revenue related to its collaboration with BMS.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collaboration agreements discussed above, the Company has various other collaboration agreements that are not individually significant to its operating results or financial condition at this time. Pursuant to the terms of those agreements, the Company may be required to pay, or it may receive, additional payments contingent upon the occurrence of future events (e.g., upon the achievement of various development and commercial milestones), which in the aggregate could be significant. The Company may also incur, or be reimbursed for, significant research and development costs pursuant to these collaboration agreements. In addition, if any future products related to these collaborations are approved for sale, the Company may be required to pay, or it may receive, royalties on future sales of those products. The payment or receipt of these amounts, however, is contingent upon the occurrence of future events. Due to the uncertainty of clinical development and the high historical failure rates generally associated with drug development and commercialization, it is possible the Company may not receive any such payments under any or all of its existing collaboration and license agreements, including the agreements described within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Common Stock</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Underwritten Offering</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26, 2026, the Company completed the Offering of 55,555,556 shares (the “Underwritten Shares”) of the Company’s common stock, $0.0001 par value per share, and accompanying common stock warrants to purchase up to 55,555,556 shares of common stock (or pre-funded warrants to purchase shares of common stock in lieu thereof). Each Underwritten Share was offered and sold together with an accompanying common stock warrant at a combined public offering price of $2.25. The underwriters agreed to purchase each Underwritten Share and accompanying common stock warrant from the Company pursuant to the Underwriting Agreement at a combined price of $2.115. The Offering closed on May 27, 2026. Each common stock warrant has an exercise price per share of $3.50 (or $3.4999 if the common stock warrant is being exercised for pre-funded warrants) and the common stock warrants are immediately exercisable from the date of issuance until the earlier of (i) the date that is 30 days following the first public announcement by the Company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Phase 1 clinical data for EDIT-401 that discloses at least three patients in the trial that each demonstrated greater than 80% reduction in LDL-C as compared to baseline with at least one month of follow-up and (ii) May 27, 2029, the third anniversary of the date of issuance.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proceeds from the Offering were $125.0 million. Net proceeds were $116.9 million after deducting underwriting discounts and commissions and estimated Offering expenses payable by the Company. The Company intends to use the net proceeds for the progression of EDIT-401, including clinical development and manufacturing, and for working capital and other general corporate purposes.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Under the terms of the</w:t>
      </w:r>
      <w:r>
        <w:rPr>
          <w:color w:val="000000"/>
        </w:rPr>
        <w:t xml:space="preserve"> </w:t>
      </w:r>
      <w:r>
        <w:rPr>
          <w:rFonts w:ascii="Times New Roman;serif" w:hAnsi="Times New Roman;serif"/>
          <w:b w:val="false"/>
          <w:color w:val="000000"/>
          <w:sz w:val="20"/>
        </w:rPr>
        <w:t xml:space="preserve">common stock warrants issued in the Offering, the warrant is settled, at the holder's election, in shares of common stock or in a pre-funded warrant to purchase an identical number of shares of common stock as it would have received if it had exercised the warrant for shares of common stock. If the warrant is exercised for a pre-funded warrant, the applicable exercise price for the common stock warrant would be the exercise price of $3.4999 rather than $3.50. The resulting issued pre-funded warrant shall have an exercise price of $0.0001 per share. In addition, if the common stock warrants are exercised for shares, the Company will settle the exercises by delivering registered shares or, if a registration statement covering the underlying shares is unavailable, legended or restricted shares. The common stock warrants may not be settled in cash other than a cash payment in lieu of fractional shares and a customary buy-in remedy for a failure to timely deliver shares. The warrants are subject to customary anti-dilution adjustments for stock dividends and splits, pro rata distributions, and purchase rights, and to adjustment upon specified fundamental transactions. They contain no down-round or other price-based anti-dilution feature. No common stock warrants have been exercised as of July 31, 2026.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 xml:space="preserve">The Company determined that the common stock warrants are freestanding financial instruments that are legally detachable and separately exercisable from the common stock. The Company evaluated the common stock warrants under Accounting Standards Codification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(“ASC 480”), and concluded that they are not within the scope of ASC 480. The warrants do not embody an unconditional obligation to redeem by transferring assets, an obligation to repurchase the Company's shares by transferring assets, or an obligation to issue a variable number of shares with a monetary value based predominantly on a fixed amount, on variations in something other than the fair value of the Company's shares, or on variations inversely related to the Company's share price.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 Company then evaluated the common stock warrants under ASC 815-40, </w:t>
      </w:r>
      <w:r>
        <w:rPr>
          <w:rFonts w:ascii="Times New Roman;serif" w:hAnsi="Times New Roman;serif"/>
          <w:b w:val="false"/>
          <w:i/>
          <w:color w:val="000000"/>
          <w:sz w:val="20"/>
        </w:rPr>
        <w:t>Derivatives and Hedging — Contracts in Entity's Own Equity</w:t>
      </w:r>
      <w:r>
        <w:rPr>
          <w:color w:val="000000"/>
        </w:rPr>
        <w:t xml:space="preserve"> </w:t>
      </w:r>
      <w:r>
        <w:rPr>
          <w:rFonts w:ascii="Times New Roman;serif" w:hAnsi="Times New Roman;serif"/>
          <w:b w:val="false"/>
          <w:color w:val="000000"/>
          <w:sz w:val="20"/>
        </w:rPr>
        <w:t>(“ASC 815-40”). The warrants are indexed to the Company's own stock. Under the two-step framework in ASC 815-40-15, neither the exercise contingencies nor the settlement provisions preclude indexation, and the warrants provide for settlement of a fixed number of shares at a fixed exercise price. The warrants also meet the conditions for equity classification in ASC 815-40-25, including that settlement is in the Company's shares, the Company has a sufficient number of authorized and unissued shares to settle the warrants, and the Company controls settlement. Accordingly, the common stock warrants were classified as a component of permanent stockholders' equity within additional paid-in capital.</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warrants outstanding at June 30, 2026 are summarized in the table below: </w:t>
      </w:r>
    </w:p>
    <w:tbl>
      <w:tblPr>
        <w:tblW w:w="4950" w:type="dxa"/>
        <w:jc w:val="center"/>
        <w:tblInd w:w="0" w:type="dxa"/>
        <w:tblLayout w:type="fixed"/>
        <w:tblCellMar>
          <w:top w:w="28" w:type="dxa"/>
          <w:left w:w="28" w:type="dxa"/>
          <w:bottom w:w="28" w:type="dxa"/>
          <w:right w:w="28" w:type="dxa"/>
        </w:tblCellMar>
      </w:tblPr>
      <w:tblGrid>
        <w:gridCol w:w="1065"/>
        <w:gridCol w:w="935"/>
        <w:gridCol w:w="940"/>
        <w:gridCol w:w="587"/>
        <w:gridCol w:w="587"/>
        <w:gridCol w:w="836"/>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Warrants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55,555,556 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55,555,556 </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Common Stock Warrants Valuation and Allocation of Proceeds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fair value of the common stock warrants was measured at issuance for the purpose of allocating the proceeds of the Offering and is a Level 3 measurement within the fair value hierarchy under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The Company estimated the fair value of each warrant at $1.33 using a probability-weighted Black-Scholes option pricing model that reflected two scenarios: (i) a shorter-term scenario running to the expected date of the EDIT-401 Phase 1 data announcement and (ii) a scenario running to the three-year contractual term. The inputs to the option pricing model were the underlying common stock price of $3.08, the exercise price of $3.50, expected volatility of approximately 94.5% to 94.8% based on the Company's historical equity volatility, an expected term reflecting the probability-weighted scenarios,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risk-free interest rate derived from the U.S. Treasury yield curve, and an expected dividend yield of 0%. The measurement is classified as Level 3 because of the significant unobservable inputs, principally the expected term, which depends on the estimated probability and timing of the EDIT-401 Phase 1 data announcement, and the expected volatility.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proceeds between the common stock and the accompanying common stock warrants based on their relative fair values at the pricing date. The fair value of the common stock was its closing price of $3.08 per share, and the fair value of each accompanying common stock warrant was $1.33. The amounts allocated to the common stock and to the warrants are recorded within additional paid-in capital. The Company allocated $87.3 million to the common stock and $37.7 million to the warrants before issuance costs. Issuance costs of $8.1 million were allocated between the common stock and the warrants on the same basis and recorded as a reduction of additional paid-in capital, with no amount expensed because both instruments are classified in equity. The net amount recognized in additional paid-in capital equals $116.9 million of net proceeds, less the par value of the common stock shares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10.</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 for all stock-based compensation awards in the condensed consolidated statements of operations was as follows (in thousands):</w:t>
      </w:r>
    </w:p>
    <w:tbl>
      <w:tblPr>
        <w:tblW w:w="8220" w:type="dxa"/>
        <w:jc w:val="center"/>
        <w:tblInd w:w="0" w:type="dxa"/>
        <w:tblLayout w:type="fixed"/>
        <w:tblCellMar>
          <w:top w:w="28" w:type="dxa"/>
          <w:left w:w="28" w:type="dxa"/>
          <w:bottom w:w="28" w:type="dxa"/>
          <w:right w:w="28" w:type="dxa"/>
        </w:tblCellMar>
      </w:tblPr>
      <w:tblGrid>
        <w:gridCol w:w="1250"/>
        <w:gridCol w:w="1097"/>
        <w:gridCol w:w="110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restricted stock units activity for the six months ended June 30, 2026:</w:t>
      </w:r>
    </w:p>
    <w:tbl>
      <w:tblPr>
        <w:tblW w:w="9745" w:type="dxa"/>
        <w:jc w:val="left"/>
        <w:tblInd w:w="0" w:type="dxa"/>
        <w:tblLayout w:type="fixed"/>
        <w:tblCellMar>
          <w:top w:w="28" w:type="dxa"/>
          <w:left w:w="28" w:type="dxa"/>
          <w:bottom w:w="28" w:type="dxa"/>
          <w:right w:w="28" w:type="dxa"/>
        </w:tblCellMar>
      </w:tblPr>
      <w:tblGrid>
        <w:gridCol w:w="1683"/>
        <w:gridCol w:w="1478"/>
        <w:gridCol w:w="1488"/>
        <w:gridCol w:w="263"/>
        <w:gridCol w:w="263"/>
        <w:gridCol w:w="268"/>
        <w:gridCol w:w="109"/>
        <w:gridCol w:w="109"/>
        <w:gridCol w:w="109"/>
        <w:gridCol w:w="855"/>
        <w:gridCol w:w="2496"/>
        <w:gridCol w:w="624"/>
      </w:tblGrid>
      <w:tr>
        <w:trPr/>
        <w:tc>
          <w:tcPr>
            <w:tcW w:w="168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as of December 31, 2025</w:t>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as of June 30, 2026</w:t>
            </w:r>
          </w:p>
        </w:tc>
        <w:tc>
          <w:tcPr>
            <w:tcW w:w="7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restricted stock units that contained performance-based vesting provisions granted in the six months ended June 30, 2026 and 2025. There was no expense related to the vesting of performance-based restricted stock units for the three and six months ended June 30, 2026 and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restricted stock units was $1.7 million, which the Company expects to recognize over a remaining weighted-average period of 1.1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1193"/>
        <w:gridCol w:w="1047"/>
        <w:gridCol w:w="1053"/>
        <w:gridCol w:w="540"/>
        <w:gridCol w:w="541"/>
        <w:gridCol w:w="313"/>
        <w:gridCol w:w="109"/>
        <w:gridCol w:w="109"/>
        <w:gridCol w:w="109"/>
        <w:gridCol w:w="307"/>
        <w:gridCol w:w="897"/>
        <w:gridCol w:w="158"/>
        <w:gridCol w:w="109"/>
        <w:gridCol w:w="109"/>
        <w:gridCol w:w="109"/>
        <w:gridCol w:w="571"/>
        <w:gridCol w:w="571"/>
        <w:gridCol w:w="573"/>
        <w:gridCol w:w="109"/>
        <w:gridCol w:w="109"/>
        <w:gridCol w:w="109"/>
        <w:gridCol w:w="312"/>
        <w:gridCol w:w="915"/>
        <w:gridCol w:w="233"/>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w:t>
              <w:br/>
              <w:t>Value</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4,789,807 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(439,869)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(446,567)</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12,287,025 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12,287,025 </w:t>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4,510,084 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stock options was $14.1 million, which the Company expects to recognize over a remaining weighted-average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common share is calculated by dividing the net loss attributable to common stockholders by the weighted average number of shares of common stock outstanding during the period, without consideration for potentially dilutive securities. Diluted net loss per share is computed by dividing the net loss attributable to common stockholders by the weighted average number of shares of common stock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diluted net loss per share calculation, unvested restricted stock unit awards, outstanding stock options, and outstanding common stock warrants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were the same for all periods presented.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loss per share allocable to common stockholders because their inclusion would have been anti-dilutive:</w:t>
      </w:r>
    </w:p>
    <w:tbl>
      <w:tblPr>
        <w:tblW w:w="5579" w:type="dxa"/>
        <w:jc w:val="left"/>
        <w:tblInd w:w="0" w:type="dxa"/>
        <w:tblLayout w:type="fixed"/>
        <w:tblCellMar>
          <w:top w:w="28" w:type="dxa"/>
          <w:left w:w="28" w:type="dxa"/>
          <w:bottom w:w="28" w:type="dxa"/>
          <w:right w:w="28" w:type="dxa"/>
        </w:tblCellMar>
      </w:tblPr>
      <w:tblGrid>
        <w:gridCol w:w="1136"/>
        <w:gridCol w:w="998"/>
        <w:gridCol w:w="1001"/>
        <w:gridCol w:w="343"/>
        <w:gridCol w:w="343"/>
        <w:gridCol w:w="350"/>
        <w:gridCol w:w="109"/>
        <w:gridCol w:w="109"/>
        <w:gridCol w:w="109"/>
        <w:gridCol w:w="314"/>
        <w:gridCol w:w="314"/>
        <w:gridCol w:w="453"/>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923,539</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12,287,025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10,445,817</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warrants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55,555,556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11,369,356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12. Debt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for the Sale of Future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2024, the Company entered into the DRI Agreement under which it sold, transferred, assigned, and conveyed to DRI certain future license fees and other payments owed to the Company by Vertex under the terms of the Vertex License Agreement in exchange for an upfront cash payment by DRI to the Company of $57.0 million.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the Company may receive under the Vertex License Agreement. All amounts above will be adjusted to exclude payments that the Company owes to Broad and Harvard under the Cas9-I License Agreement, as defined in Note 7, Commitments and Contingencies. The Company has retained rights to certain portions of certain sales-based annual license fees and the contingent upfront payment that may become due under the Vertex License Agreement, and the amounts that correspond to its licensor obligations.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accordance with ASC Topic 470, </w:t>
      </w:r>
      <w:r>
        <w:rPr>
          <w:rFonts w:ascii="Times New Roman;serif" w:hAnsi="Times New Roman;serif"/>
          <w:b w:val="false"/>
          <w:i/>
          <w:color w:val="000000"/>
          <w:sz w:val="20"/>
        </w:rPr>
        <w:t>Borrower’s Accounting for Debt Modification</w:t>
      </w:r>
      <w:r>
        <w:rPr>
          <w:rFonts w:ascii="Times New Roman;serif" w:hAnsi="Times New Roman;serif"/>
          <w:b w:val="false"/>
          <w:color w:val="000000"/>
          <w:sz w:val="20"/>
        </w:rPr>
        <w:t>, the Company has accounted for the transaction as debt. The gross proceeds of $57.0 million were recorded as a liability for the sale of future revenues, net of transaction costs of $1.8 million, which will be amortized over the estimated life of the arrangement using the effective interest method.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effective interest rate used to record non-cash interest expense under the DRI Agreement based on the estimate of future revenue payments to be made to DRI. As of June 30, 2026, the estimated effective interest rate under the agreement was 7.7%. Over the life of the arrangement, the actual effective interest rate will be affected by the amount and timing of the payments made to DRI and changes in the Company's revenue forecasts. At each reporting date, the Company will reassess its estimate of total future payments to be made to DRI, and prospectively adjust the effective interest rate and amortization of the liability as necessary.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liability related to the sale of future revenues under the DRI Agreement as of June 30, 2026 (in thousands): </w:t>
      </w:r>
    </w:p>
    <w:tbl>
      <w:tblPr>
        <w:tblW w:w="9014" w:type="dxa"/>
        <w:jc w:val="left"/>
        <w:tblInd w:w="0" w:type="dxa"/>
        <w:tblLayout w:type="fixed"/>
        <w:tblCellMar>
          <w:top w:w="28" w:type="dxa"/>
          <w:left w:w="28" w:type="dxa"/>
          <w:bottom w:w="28" w:type="dxa"/>
          <w:right w:w="28" w:type="dxa"/>
        </w:tblCellMar>
      </w:tblPr>
      <w:tblGrid>
        <w:gridCol w:w="2788"/>
        <w:gridCol w:w="2450"/>
        <w:gridCol w:w="2456"/>
        <w:gridCol w:w="256"/>
        <w:gridCol w:w="877"/>
        <w:gridCol w:w="187"/>
      </w:tblGrid>
      <w:tr>
        <w:trPr/>
        <w:tc>
          <w:tcPr>
            <w:tcW w:w="278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revenues, net as of December 31, 2025</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58,605 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sale of future revenues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accrued interest on sale of future revenues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associated with sale of future revenues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revenues, net as of June 30, 2026</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55,738 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Restructuring and Impairment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11, 2024, the Company’s board of directors approved the discontinuation of the clinical development of the Company's renizgamglogene autogedtemcel (“reni-cel”) program to treat sickle cell disease and transfusion-dependent beta thalassemia (the “Discontinuation”). As a result of the Discontinuation, the Company ceased activities towards the filing of a biologic license application and potential commercialization of reni-cel. In connection with the Discontinuation, the Company’s board of directors also approved a reduction in the Company’s employee workforce by approximately 180 positions, or approximately 65% (the “Reduction”).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the following restructuring and impairment charges in connection with the Discontinuation and Reduction for the three and six months ended June 30, 2026 and 2025, which are recorded in the condensed consolidated statements of operations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088"/>
        <w:gridCol w:w="1823"/>
        <w:gridCol w:w="1834"/>
        <w:gridCol w:w="211"/>
        <w:gridCol w:w="682"/>
        <w:gridCol w:w="109"/>
        <w:gridCol w:w="211"/>
        <w:gridCol w:w="721"/>
        <w:gridCol w:w="109"/>
        <w:gridCol w:w="109"/>
        <w:gridCol w:w="109"/>
        <w:gridCol w:w="109"/>
        <w:gridCol w:w="211"/>
        <w:gridCol w:w="682"/>
        <w:gridCol w:w="109"/>
        <w:gridCol w:w="211"/>
        <w:gridCol w:w="721"/>
        <w:gridCol w:w="156"/>
      </w:tblGrid>
      <w:tr>
        <w:trPr/>
        <w:tc>
          <w:tcPr>
            <w:tcW w:w="208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for ongoing contracts and terminated contracts </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Discontinuation and Reduction commenced in December 2024 and were substantially completed by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Employees affected by the Reduction received involuntary termination benefits pursuant to either a one-time benefit or arrangement or salary continuation for a set period of time in accordance with the Company’s Amended and Restated Severance Benefit Plan (the “Benefit Plan”). For employees who were notified of their termination in December 2024 and had no requirements to provide future services or were subject to the Benefit Plan, the Company recognized the liability for the termination benefits in full at fair value in the fourth quarter of 2024. For employees who were required to render services beyond a minimum retention period to receive their one-time termination benefits or salary continuation, the Company recognized the termination benefits ratably over their future service periods. The service periods began in December 2024 and were completed in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employee termination benefits as of June 30, 2026 (in thousands): </w:t>
      </w:r>
    </w:p>
    <w:tbl>
      <w:tblPr>
        <w:tblW w:w="8203" w:type="dxa"/>
        <w:jc w:val="left"/>
        <w:tblInd w:w="0" w:type="dxa"/>
        <w:tblLayout w:type="fixed"/>
        <w:tblCellMar>
          <w:top w:w="28" w:type="dxa"/>
          <w:left w:w="28" w:type="dxa"/>
          <w:bottom w:w="28" w:type="dxa"/>
          <w:right w:w="28" w:type="dxa"/>
        </w:tblCellMar>
      </w:tblPr>
      <w:tblGrid>
        <w:gridCol w:w="1940"/>
        <w:gridCol w:w="1705"/>
        <w:gridCol w:w="1709"/>
        <w:gridCol w:w="611"/>
        <w:gridCol w:w="1787"/>
        <w:gridCol w:w="451"/>
      </w:tblGrid>
      <w:tr>
        <w:trPr/>
        <w:tc>
          <w:tcPr>
            <w:tcW w:w="194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Employee Termination Benefits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termination benefits as of December 31, 2025</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 charges incurred during period</w:t>
            </w:r>
          </w:p>
        </w:tc>
        <w:tc>
          <w:tcPr>
            <w:tcW w:w="2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2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termination benefits as of June 30, 2026</w:t>
            </w:r>
          </w:p>
        </w:tc>
        <w:tc>
          <w:tcPr>
            <w:tcW w:w="6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Costs for Ongoing Contracts and Terminated Contracts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Discontinuation resulted in contract termination costs from vendor contracts before the end of their term, as well as costs that continue to be incurred under certain contracts with no future economic benefit to the Company. In accordance with ASC 420, the Company recognized these unavoidable contract costs when incurred for terminated contracts or at the cease-use date, as it relates to contract costs that continue to be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costs for ongoing contracts and contract termination costs as of June 30, 2026 (in thousands): </w:t>
      </w:r>
    </w:p>
    <w:tbl>
      <w:tblPr>
        <w:tblW w:w="5728" w:type="dxa"/>
        <w:jc w:val="left"/>
        <w:tblInd w:w="0" w:type="dxa"/>
        <w:tblLayout w:type="fixed"/>
        <w:tblCellMar>
          <w:top w:w="28" w:type="dxa"/>
          <w:left w:w="28" w:type="dxa"/>
          <w:bottom w:w="28" w:type="dxa"/>
          <w:right w:w="28" w:type="dxa"/>
        </w:tblCellMar>
      </w:tblPr>
      <w:tblGrid>
        <w:gridCol w:w="1570"/>
        <w:gridCol w:w="1380"/>
        <w:gridCol w:w="1384"/>
        <w:gridCol w:w="271"/>
        <w:gridCol w:w="926"/>
        <w:gridCol w:w="197"/>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Contract Costs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December 31, 2025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 incurred during the period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June 30, 2026</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7,884 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$2.3 million of accrued contract costs was included in Other non-current liabilities on the condensed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costs are subject to significant estimation based on the Company's expectation of the costs that will continue to be incurred on the contracts, as well as negotiation of contract changes and terminations with its vendors. Changes in these estimates will be made in the period the information is knowable and could be material. During the three months ended June 30, 2026, the Company revised its estimate of the costs for ongoing contracts and terminated contracts based on the negotiation and finalization of contract terminations with its vendors. As a result, the Company recorded a decrease of $1.3 million in the related restructuring liability and a corresponding benefit within restructuring and impairment charges for the three and six months ended June 30, 2026.</w:t>
      </w:r>
    </w:p>
    <w:p>
      <w:pPr>
        <w:pStyle w:val="TextBody"/>
        <w:bidi w:val="0"/>
        <w:spacing w:lineRule="auto" w:line="288" w:before="240" w:after="283"/>
        <w:jc w:val="left"/>
        <w:rPr/>
      </w:pPr>
      <w:r>
        <w:rPr>
          <w:rFonts w:ascii="Times New Roman;serif" w:hAnsi="Times New Roman;serif"/>
          <w:b/>
          <w:i/>
          <w:color w:val="000000"/>
          <w:sz w:val="20"/>
        </w:rPr>
        <w:t>Impairment and Accelerated Depreciation Charges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Discontinuation, the Company committed to a plan to actively sell specific assets within its asset group, primarily certain of its laboratory and manufacturing equipment. The Company recorded a $3.8 million impairment charge during the year ended December 31, 2025 related to the sale of the specified assets. The sale was completed in April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Company abandoned certain other leasehold improvements, software, and right-of-use assets in the second quarter of 2025, and as a result, the Company accelerated depreciation and rent expense. The Company recorded $1.8 million of accelerated depreciation related to leasehold improvements and software and $4.8 million of charges related to the termination of leases as of December 31, 2025. The Company recognized no impairment and accelerated depreciation charges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Segments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is its Chief Executive Officer (“CEO”). The CEO views the Company’s operations and manages the Company’s business as one operating segment, which is the business of developing and commercializing gene editing technology.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CEO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company-wide strategic goals. In making these decisions, the Company’s CEO uses consolidated financial information for purposes of evaluating performance, forecasting future period financial results, allocating resources and setting incentive targets. The CODM performs this assessment based on the Company’s consolidated net loss. Through this analysis, the CODM assesses performance by comparing actual consolidated net loss versus the budget, and then decides how to allocate resources to invest in the Company’s research and development programs. The measure of segment assets is reported on the condensed consolidated balance sheet as total assets.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additional information on the Company’s consolidated revenue and net loss, including significant segment expenses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73"/>
        <w:gridCol w:w="1039"/>
        <w:gridCol w:w="1044"/>
        <w:gridCol w:w="274"/>
        <w:gridCol w:w="986"/>
        <w:gridCol w:w="141"/>
        <w:gridCol w:w="141"/>
        <w:gridCol w:w="141"/>
        <w:gridCol w:w="141"/>
        <w:gridCol w:w="141"/>
        <w:gridCol w:w="271"/>
        <w:gridCol w:w="974"/>
        <w:gridCol w:w="140"/>
        <w:gridCol w:w="140"/>
        <w:gridCol w:w="140"/>
        <w:gridCol w:w="140"/>
        <w:gridCol w:w="271"/>
        <w:gridCol w:w="974"/>
        <w:gridCol w:w="140"/>
        <w:gridCol w:w="140"/>
        <w:gridCol w:w="109"/>
        <w:gridCol w:w="109"/>
        <w:gridCol w:w="109"/>
        <w:gridCol w:w="211"/>
        <w:gridCol w:w="850"/>
        <w:gridCol w:w="166"/>
      </w:tblGrid>
      <w:tr>
        <w:trPr/>
        <w:tc>
          <w:tcPr>
            <w:tcW w:w="127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54" w:type="dxa"/>
            <w:gridSpan w:val="6"/>
            <w:tcBorders/>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3</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Facility and other expenses</w:t>
            </w:r>
            <w:r>
              <w:rPr>
                <w:rFonts w:ascii="Times New Roman;serif" w:hAnsi="Times New Roman;serif"/>
                <w:b w:val="false"/>
                <w:color w:val="000000"/>
                <w:sz w:val="13"/>
              </w:rPr>
              <w:t>4</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55,122 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35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2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20"/>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and six months ended June 30, 2026, research and development includes $1.3 million of benefit within restructuring and impairment charges. For the three and six months ended June 30, 2025, research and development includes $24.8 million and $64.1 million of restructuring and impairment charges, respectively.</w:t>
            </w:r>
          </w:p>
        </w:tc>
        <w:tc>
          <w:tcPr>
            <w:tcW w:w="1554" w:type="dxa"/>
            <w:gridSpan w:val="6"/>
            <w:tcBorders/>
          </w:tcPr>
          <w:p>
            <w:pPr>
              <w:pStyle w:val="TableContents"/>
              <w:bidi w:val="0"/>
              <w:spacing w:before="0" w:after="283"/>
              <w:jc w:val="left"/>
              <w:rPr>
                <w:sz w:val="4"/>
                <w:szCs w:val="4"/>
              </w:rPr>
            </w:pPr>
            <w:r>
              <w:rPr>
                <w:sz w:val="4"/>
                <w:szCs w:val="4"/>
              </w:rPr>
            </w:r>
          </w:p>
        </w:tc>
      </w:tr>
      <w:tr>
        <w:trPr/>
        <w:tc>
          <w:tcPr>
            <w:tcW w:w="8651" w:type="dxa"/>
            <w:gridSpan w:val="20"/>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the three and six months ended June 30, 2026, general and administrative includes no restructuring and impairment charges. For the three and six months ended June 30, 2025, general and administrative includes $1.3 million and $2.9 million of restructuring and impairment charges, respectively.</w:t>
            </w:r>
          </w:p>
        </w:tc>
        <w:tc>
          <w:tcPr>
            <w:tcW w:w="1554" w:type="dxa"/>
            <w:gridSpan w:val="6"/>
            <w:tcBorders/>
          </w:tcPr>
          <w:p>
            <w:pPr>
              <w:pStyle w:val="TableContents"/>
              <w:bidi w:val="0"/>
              <w:spacing w:before="0" w:after="283"/>
              <w:jc w:val="left"/>
              <w:rPr>
                <w:sz w:val="4"/>
                <w:szCs w:val="4"/>
              </w:rPr>
            </w:pPr>
            <w:r>
              <w:rPr>
                <w:sz w:val="4"/>
                <w:szCs w:val="4"/>
              </w:rPr>
            </w:r>
          </w:p>
        </w:tc>
      </w:tr>
      <w:tr>
        <w:trPr/>
        <w:tc>
          <w:tcPr>
            <w:tcW w:w="8651" w:type="dxa"/>
            <w:gridSpan w:val="20"/>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Other expenses primarily consists of impairment charges, consultant fees, and office expenses. </w:t>
            </w:r>
          </w:p>
        </w:tc>
        <w:tc>
          <w:tcPr>
            <w:tcW w:w="1554" w:type="dxa"/>
            <w:gridSpan w:val="6"/>
            <w:tcBorders/>
          </w:tcPr>
          <w:p>
            <w:pPr>
              <w:pStyle w:val="TableContents"/>
              <w:bidi w:val="0"/>
              <w:spacing w:before="0" w:after="283"/>
              <w:jc w:val="left"/>
              <w:rPr>
                <w:sz w:val="4"/>
                <w:szCs w:val="4"/>
              </w:rPr>
            </w:pPr>
            <w:r>
              <w:rPr>
                <w:sz w:val="4"/>
                <w:szCs w:val="4"/>
              </w:rPr>
            </w:r>
          </w:p>
        </w:tc>
      </w:tr>
      <w:tr>
        <w:trPr/>
        <w:tc>
          <w:tcPr>
            <w:tcW w:w="8651" w:type="dxa"/>
            <w:gridSpan w:val="20"/>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Facility and other expenses primarily consists of rent expense, insurance premiums, depreciation expense, software licenses, and office expenses. </w:t>
            </w:r>
          </w:p>
        </w:tc>
        <w:tc>
          <w:tcPr>
            <w:tcW w:w="1554"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together with our condensed consolidated financial statements and related notes appearing elsewhere in this Quarterly Report on Form 10-Q and our Annual Report on Form 10-K for the fiscal year ended December 31, 2025, which was filed with the Securities and Exchange Commission (“SEC”) on March 9, 2026</w:t>
      </w:r>
      <w:r>
        <w:rPr>
          <w:color w:val="000000"/>
        </w:rPr>
        <w:t xml:space="preserve"> </w:t>
      </w:r>
      <w:r>
        <w:rPr>
          <w:rFonts w:ascii="Times New Roman;serif" w:hAnsi="Times New Roman;serif"/>
          <w:b w:val="false"/>
          <w:i/>
          <w:color w:val="000000"/>
          <w:sz w:val="20"/>
        </w:rPr>
        <w:t>(the “Annual Report”).</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All statements addressing our future operating performance and development timelines that we expect or anticipate will occur in the future, as well as expectations for cash runway, are forward-looking statements. There are a number of important risks and uncertainties that could cause our actual results to differ materially from those indicated by forward-looking statements, including uncertainties inherent in the initiation and completion of preclinical studies and clinical development of our product candidates; availability and timing of results from preclinical studies; expectations for regulatory approvals to commence and conduct trials or to market products; and availability of cash resources sufficient to fund our foreseeable and unforeseeable operating expenses and capital expenditure requirements for the periods anticipated. These and other risks are described in greater detail in the Annual Report under the captions “Risk Factor Summary” and Part I, “Item 1A. Risk Factors,” as updated by our subsequent filings with the SEC.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that we may make.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(“LNP”) platform to enable targeted delivery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to multiple cells and tissues, including the liver, hematopoietic stem cells (“HSCs”), and other cells and tissues.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we announced the nomination of our lead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In preclinical studies, a single dose of EDIT-401 achieved approximately 90% or greater mean reductions in LDL-C, lipoprotein(a) (Lp(a)), an independent risk factor for atherosclerotic cardiovascular disease (“ASCVD”), and apolipoprotein B (ApoB), a key measure of total plaque-causing cholesterol particles and predictive measure for ASCVD, with rapid and dose-dependent effect, in non-human primates (“NHPs”). LDL-C mean reduction of 90% or greater with a single dose of EDIT-401 in NHPs was durable through approximately six months. In addition, in our preclinical studies, including an ongoing Good Laboratory Practice (GLP) toxicology study in NHPs, a single dose of EDIT-401 of 1.5 mg/kg had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adverse clinical observations, no notable treatment-related liver enzyme elevations, and no liver histopathology findings in non-GLP toxicology.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progress towards initiating a Phase 1/2 clinical trial of EDIT-401 in patients with Heterozygous Familial Hypercholesterolemia (“HeFH”). We have made a submission to the Human Research Ethics Committee in Australia for the trial and are on track to submit a Clinical Trial Notification in August 2026. The Phase 1/2 clinical trial will evaluate the safety, tolerability, and efficacy of a single dose of EDIT-401. The trial is designed in two parts. Part 1 is expected to be a single ascending dose, dose-finding study. Eligible patients will have a clinical diagnosis of HeFH with an elevated LDL-C despite treatment with two or more lipid lowering therapies. We plan to complete enrollment of Part 1 and have topline data results available in 2027. We expect that Part 2 of the trial will be a single-dose randomized, placebo-controlled expansion study, and that if the data from the Phase 1/2 trial warrant advancing EDIT-401, we would advance EDIT-401 into a single, pivotal randomized, placebo-controlled Phase 3 clinical trial in patients with HeFH, with or without existing ASCVD or coronary artery disease. These clinical trial plans are subject to further discussion and alignment with regulatory authorities. We have selected four clinical trial sites across Australia and New Zealand. We expect to report a data update in the first quarter of 2027 and share data from at least three patients in the EDIT-401 Phase 1/2 trial by the end of the third quarter of 2027.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also received pre-IND feedback from the U.S. Food and Drug Administration on our nonclinical package, CMC plans, and study design to support an Investigational New Drug Application (“IND”) for EDIT-401, which we believe provides optionality for submitting an IND supportive of our anticipated clinical development strategy.</w:t>
      </w:r>
    </w:p>
    <w:p>
      <w:pPr>
        <w:pStyle w:val="TextBody"/>
        <w:bidi w:val="0"/>
        <w:spacing w:lineRule="auto" w:line="268" w:before="240" w:after="283"/>
        <w:ind w:left="0" w:right="0" w:firstLine="720"/>
        <w:jc w:val="left"/>
        <w:rPr/>
      </w:pPr>
      <w:r>
        <w:rPr>
          <w:rFonts w:ascii="Times New Roman;serif" w:hAnsi="Times New Roman;serif"/>
          <w:b w:val="false"/>
          <w:color w:val="000000"/>
          <w:sz w:val="20"/>
        </w:rPr>
        <w:t xml:space="preserve">Our discovery and development efforts further include HSCs and other cells and tissues. </w:t>
      </w:r>
      <w:r>
        <w:rPr>
          <w:rFonts w:ascii="Times New Roman;serif" w:hAnsi="Times New Roman;serif"/>
          <w:b w:val="false"/>
          <w:color w:val="000000"/>
          <w:sz w:val="20"/>
          <w:shd w:fill="FFFFFF" w:val="clear"/>
        </w:rPr>
        <w:t xml:space="preserve">Building on our experience </w:t>
      </w:r>
      <w:r>
        <w:rPr>
          <w:rFonts w:ascii="Times New Roman;serif" w:hAnsi="Times New Roman;serif"/>
          <w:b w:val="false"/>
          <w:color w:val="000000"/>
          <w:sz w:val="20"/>
        </w:rPr>
        <w:t>in our clinical trials of renizgamglogene autogedtemcel (“reni-cel”)</w:t>
      </w:r>
      <w:r>
        <w:rPr>
          <w:rFonts w:ascii="Times New Roman;serif" w:hAnsi="Times New Roman;serif"/>
          <w:b w:val="false"/>
          <w:color w:val="000000"/>
          <w:sz w:val="20"/>
          <w:shd w:fill="FFFFFF" w:val="clear"/>
        </w:rPr>
        <w:t xml:space="preserve">, we have achieved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preclinical proof-of-concept data of HSC editing in NHPs. In addition, w</w:t>
      </w:r>
      <w:r>
        <w:rPr>
          <w:rFonts w:ascii="Times New Roman;serif" w:hAnsi="Times New Roman;serif"/>
          <w:b w:val="false"/>
          <w:color w:val="000000"/>
          <w:sz w:val="20"/>
        </w:rPr>
        <w:t xml:space="preserve">e previously announced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delivery to two additional cell types in humanized mice using our proprietary LNP targeting platform, demonstrating the “plug ‘n play” potential of our proprietary extrahepatic LNP platform. We intend to continue optimizing candidates for our HSC program and exploring other cell types and tissues for development, but are focusing our resources on the advancement of our lead EDIT-401 program.</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pursuing the right combination of gene editing and targeted delivery tools through internal development and the in-licensing of complementary technologies to build our preclinical pipeline and accelerate the achievement of our goal of delivering lifesaving medicines to patients with previously untreatable diseases. Through in-licensing of complementary technologies, we can expand our existing gene editing platform and further drive the development of our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pipeline. This was demonstrated with our entry in 2024 into a collaboration and license agreement to access LNPs targeting the liver, including the LNP we are using in our EDIT-401 program. We also actively seek opportunities to out-license and partner our robust intellectual property portfolio to drive the development of CRISPR-based medicines in therapeutic areas outside of our core focus and to provide non-dilutive capital. For example, we are leveraging partnerships to progress engineered cell medicines to treat various cancers, including in our collaboration with Bristol-Myers Squibb Company (“BMS”) through its wholly owned subsidiary, Juno Therapeutics, Inc. (“Juno Therapeutics”). This collaboration, which leverages our Cas9 and AsCas12a platform technologies, seeks to advance alpha-beta T-cell experimental medicines for the treatment of solid tumors, liquid tumors, and autoimmune disease, and has resulted in 14 total programs to date, including BMS’ CD19 HD Allo CAR T program for the treatment of autoimmune disease currently in Phase I clinical development. The term for BMS to opt-in to additional research programs expires in November 2026, but our collaboration with respect to those ongoing programs that have been selected will continue past that date.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in December 2023, we and Vertex Pharmaceuticals, Inc. (“Vertex”) entered into a license agreement (the “Vertex License Agreement”), under which Vertex obtained a non-exclusive license for our Cas9 gene editing 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 BCL11A gene in the fields of SCD and TDT, including Vertex’s CASGEVY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(exagamglogene autotemcel). We received a $50.0 million upfront cash payment in the fourth quarter of 2023 and the 2024 annual license fee of $10.0 million in the first quarter of 2024. The Vertex License Agreement further provides for the payment by Vertex of a potential additional $50.0 million contingent upfront payment and further future fixed and sales-based annual license fees, ranging from $5.0 million to $40.0 million annually, inclusive of certain sales-based annual license fee increases, through 2034. We are required to pay The Broad Institute, Inc. (“Broad”) and the President and Fellows of Harvard College (“Harvard”) a mid-double-digit percentage of amounts payable to us from Vertex under the Vertex License Agreement as it relates to Cas9 technology licensed by us from Broad and Harvard (the “Cas9-I License Agreement”). In October 2024, we entered into an agreement (the “DRI Agreement”) with a wholly owned subsidiary of DRI Healthcare Trust (“DRI”) providing for an upfront cash payment by DRI to us of $57.0 million. Under the DRI Agreement, DRI is purchasing up to 100% of certain future fixed and sales-based annual license fees that we are entitled to receive under the Vertex License Agreement, which fees range from $5.0 million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$40.0 million per year, including increases based on sales. In addition, DRI is purchasing a mid-double-digit percentage of a $50.0 million contingent upfront payment that we may receive under the Vertex License Agreement. All amounts above will be adjusted to exclude payments that we owe under the Cas9-I License Agreement. We have retained rights to certain portions of certain other sales-based annual license fees and the contingent upfront payment that may become due under the Vertex License Agreement, and the amounts that correspond to our licensor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to date have focused on organizing and staffing our company, business planning, raising capital, establishing our intellectual property portfolio, assembling our core capabilities in gene editing, seeking to identify potential product candidates, and undertaking preclinical studies and clinical trials. All of our ongoing research programs are still in the preclinical or research stage of development and the risk of failure of all of our research programs is high. We have not generated any revenue from product sales. We have primarily financed our operations through various equity financings, payments received under our research collaboration with BMS, our former strategic alliance with Allergan Pharmaceuticals International Limited (together with its affiliates, “Allergan”), which was terminated in August 2020, payments received under the DRI Agreement in connection with the Vertex License Agreement, and payments under the Vertex License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incurred significant operating losses since inception. Our net losses were $43.2 million and $129.3 million for the six months ended June 30, 2026 and 2025, respectively. As of June 30, 2026, we had an accumulated deficit of $1.7 billion. </w:t>
      </w:r>
      <w:r>
        <w:rPr>
          <w:rFonts w:ascii="Times New Roman;serif" w:hAnsi="Times New Roman;serif"/>
          <w:b w:val="false"/>
          <w:color w:val="000000"/>
          <w:sz w:val="20"/>
          <w:shd w:fill="FFFFFF" w:val="clear"/>
        </w:rPr>
        <w:t>We expect to continue to incur significant expenses and operating losses for the foreseeable future. Our net losses may fluctuate significantly from quarter to quarter and from year to year. We anticipate that our expenses will inc</w:t>
      </w:r>
      <w:r>
        <w:rPr>
          <w:rFonts w:ascii="Times New Roman;serif" w:hAnsi="Times New Roman;serif"/>
          <w:b w:val="false"/>
          <w:color w:val="000000"/>
          <w:sz w:val="20"/>
        </w:rPr>
        <w:t>rease as we continue to support preclinical studies and prepare for the clinical development of EDIT-401; commence and conduct our planned clinical trials of EDIT-401; continue our current research programs and our preclinical development activities; seek to identify additional research programs and additional product candidates; initiate preclinical testing for other product candidates we identify and develop; maintain, expand, and protect our intellectual property portfolio, including reimbursing our licensors for such expenses related to the intellectual property that we in-license from such lice</w:t>
      </w:r>
      <w:r>
        <w:rPr>
          <w:rFonts w:ascii="Times New Roman;serif" w:hAnsi="Times New Roman;serif"/>
          <w:b w:val="false"/>
          <w:color w:val="000000"/>
          <w:sz w:val="20"/>
          <w:shd w:fill="FFFFFF" w:val="clear"/>
        </w:rPr>
        <w:t>nsors; further develop our gene editing platform; and hire personnel.</w:t>
      </w:r>
      <w:r>
        <w:rPr>
          <w:color w:val="000000"/>
        </w:rPr>
        <w:t xml:space="preserve"> </w:t>
      </w:r>
      <w:r>
        <w:rPr>
          <w:rFonts w:ascii="Times New Roman;serif" w:hAnsi="Times New Roman;serif"/>
          <w:b w:val="false"/>
          <w:color w:val="000000"/>
          <w:sz w:val="20"/>
        </w:rPr>
        <w:t>We do not expect to be profitable for the year ending December 31, 2026 or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product sales, and we do not expect to generate any revenue from product sales for the foreseeable future.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collaboration with BMS, we have received an aggregate of $159.0 million in payments, which have primarily consisted of the initial upfront and amendment payments, development milestone payments, research funding support, and certain opt-in fees. We no longer receive research funding support. During the three and six months ended June 30, 2026 and 2025, we did not recognize any revenue related to our collaboration with BMS. As of June 30, 2026, we had $32.3 million of deferred revenue related to BMS, all of which is classified as short-term deferred revenue on our condensed consolidated balance sheet. Under this collaboration, we recognize revenue upon delivery of option packages to BMS or upon receipt of development milestone payments. We expect that our revenue will fluctuate from quarter-to-quarter and year-to-year as a result of the timing of when we deliver such option packages or receive such milestone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Vertex License Agreement, we received a $50.0 million upfront cash payment in the fourth quarter of 2023 upon execution of the agreement and the 2024, 2025 and 2026 annual license fees of $10.0 million in each of the first quarters of 2024, 2025 and 2026. The license agreement further provides for the payment by Vertex of a potential additional $50.0 million contingent upfront payment and further annual license fees, ranging from $5.0 million to $40.0 million annually, inclusive of certain sales-based annual license fee increases, through 2034.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our revenue recognition policy related to the Vertex License Agreement and BMS collaboration, see Part II, “Item 7. Management’s Discussion and Analysis of Financial Condition and Results of Operations—Critical Accounting Policies and Estimates—Revenue Recognition” included in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substantially all of our revenue will be generated from the Vertex License Agreement, our collaboration with BMS, and any other collaborations or license agreements we may enter into.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consist primarily of costs incurred for our research, preclinical development, process and scale-up development, manufacture and clinical development of our product candidates, and the performance of development activities under our collaboration agreements. These costs are expensed as incurred and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our continued development of EDIT-401 as we prepare for and conduct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conducting our other preclinical, process and scale-up development, manufacturing, quality, clinical and regulatory activities, including fees paid to third-party professional consultants, service providers and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of purchasing lab supplies and non-capital equipment used in our preclinical activities and in manufacturing preclinical and clinical study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incurred for the research and development activities under our collaboration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facility costs including rent, depreciation, and maintenance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fees for acquiring and maintaining licenses under our third-party licensing agreements, including any sublicensing or success payments made to our licensors.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completion of preclinical studies, IND-enabling studies, and natural history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initiation of, enrollment in, and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receipt of marketing approvals from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and maintaining patent and trade secret protection and non-patent exclusivity;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launching commercial sales of a product, if and when approved, whether alone or in collaboration with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acceptance of a product, if and when approved, by patients, the medical community, and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competing with other therapies and treatment options;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profile following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enforcing and defending intellectual property and proprietary rights and claims;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achieving desirable medicinal properties for the intended indications.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product candidates we develop would significantly change the costs, timing, and viability associated with the development of that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research and development expenses to increase in future periods to support our continued development of EDIT-401 and to fund our preclinical studies and clinical trials.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related costs, including stock-based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intellectual property and corporate matters, and fees for accounting and consulting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our general and administrative expenses that support continued research and development activities will remain consistent in the near future. We anticipate that expenses associated with operating as a public company, including costs for audit, legal, regulatory, and tax-related services, director and officer insurance premiums, and investor relation costs will remain flat in the near future. With respect to reimbursement of third-party intellectual property-related expenses specifically, given the ongoing nature of the opposition and interference proceedings involving the patents licensed to us under the Cas9-I License Agreement, we anticipate general and administrative expenses associated with reimbursement of third-party intellectual property-related expense will continue to fluctuate as the interference proceedings continue.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2024, our board of directors approved the discontinuation of the clinical development of our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reni-cel program (the “Discontinuation”). As part of the Discontinuation, our board of directors approved a reduction in our employee workforce by approximately 180 positions, or by approximately 65% (the “Reduction”). Restructuring charges associated with the Discontinuation consist primarily of expenses in connection with the wind-down of various activities related to clinical development of reni-cel, including contract termination costs, impairment charges and non-cash charges, and expenses related to the Reduction, primarily consisting of severance payments and employee benefit costs. The actions associated with the Discontinuation and Reduction commenced in December 2024 and were substantially completed by December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other income (expense), net consisted primarily of interest income and the amortization of premiums or discounts on marketable securities and interest accretion related to the liability for the sale of future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United States generally accepted accounting principles. The preparation of our condensed consolidated financial statements requires us to make judgments and estimates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consolidated financial statements prospectively from the date of change in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the following critical accounting policies and estimates as described in Part II, “Item 7. Management’s Discussion and Analysis of Financial Condition and Results of Operations—Critical Accounting Policies and Estimates”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recognize revenue in accordance with Financial Accounting Standards Board (“FASB”) Accounting Standards Codification (“ASC”), Topic 606,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(“ASC 606”). Accordingly, we recognize revenue following the five-step model prescribed under Accounting Standards Update No. 2014-09, </w:t>
      </w:r>
      <w:r>
        <w:rPr>
          <w:rFonts w:ascii="Times New Roman;serif" w:hAnsi="Times New Roman;serif"/>
          <w:b w:val="false"/>
          <w:i/>
          <w:color w:val="000000"/>
          <w:sz w:val="20"/>
        </w:rPr>
        <w:t>Revenue from Contracts</w:t>
      </w:r>
      <w:r>
        <w:rPr>
          <w:color w:val="000000"/>
        </w:rPr>
        <w:t xml:space="preserve"> </w:t>
      </w:r>
      <w:r>
        <w:rPr>
          <w:rFonts w:ascii="Times New Roman;serif" w:hAnsi="Times New Roman;serif"/>
          <w:b w:val="false"/>
          <w:i/>
          <w:color w:val="000000"/>
          <w:sz w:val="20"/>
        </w:rPr>
        <w:t>with Customers</w:t>
      </w:r>
      <w:r>
        <w:rPr>
          <w:rFonts w:ascii="Times New Roman;serif" w:hAnsi="Times New Roman;serif"/>
          <w:b w:val="false"/>
          <w:color w:val="000000"/>
          <w:sz w:val="20"/>
        </w:rPr>
        <w:t xml:space="preserve">: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whether each promised good or service is distinct. We then recognize as revenue the amount of the transaction price that is allocated to the respective performance obligation when (or as) the performance obligation is satisfied. As part of the accounting for these arrangements, we must develop assumptions that require judgment to determine the standalone selling price for each performance obligation identified in the contract and use judgment in the determination of the transaction price and the application of the constraint. The determination of standalone selling price has not had a significant impact on the accounting for our revenue arrangements given the nature of the performance obligations. We have also not been required to apply significant judgment in determining the transaction price given the nature of the variable consideration and the application of the constraint.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Accrued 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clinical research organizations, investigative sites in connection with clinical trials, sponsored research organizations, service providers in connection with preclinical development activities, and service providers related to product manufacturing, development, and distribution of clinical supplies.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liabilities for costs associated with restructuring activities in the period in which the liability is incurred. Typical costs associated with restructuring activities include employee termination benefits, contract termination costs and ongoing contract costs for which there is no economic benefit. For costs associated with employee terminations in which the employee is subject to an existing benefit arrangement, the post-employment benefits are recognized when probable and estimable. Other employee termination costs are measured and recognized on the communication date, unless there is a required future service period, in which case, the expense is recognized over the service period. Contract termination costs are recognized upon termination of the contract and costs for ongoing contracts for which there is no future benefit are recognized at fair value on the cease-use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estimates and judgments regarding the amount and timing of our restructuring expense and liability, including current and future period termination benefits and other exit costs to be incurred when related actions take place. Restructuring charges are reflected in our condensed consolidated statements of operations. Actual results may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together with the changes in those items in dollars (in thousands) and the respective percentages of change:</w:t>
      </w:r>
    </w:p>
    <w:tbl>
      <w:tblPr>
        <w:tblW w:w="10205" w:type="dxa"/>
        <w:jc w:val="left"/>
        <w:tblInd w:w="0" w:type="dxa"/>
        <w:tblLayout w:type="fixed"/>
        <w:tblCellMar>
          <w:top w:w="28" w:type="dxa"/>
          <w:left w:w="28" w:type="dxa"/>
          <w:bottom w:w="28" w:type="dxa"/>
          <w:right w:w="28" w:type="dxa"/>
        </w:tblCellMar>
      </w:tblPr>
      <w:tblGrid>
        <w:gridCol w:w="1590"/>
        <w:gridCol w:w="1391"/>
        <w:gridCol w:w="1398"/>
        <w:gridCol w:w="211"/>
        <w:gridCol w:w="786"/>
        <w:gridCol w:w="109"/>
        <w:gridCol w:w="109"/>
        <w:gridCol w:w="109"/>
        <w:gridCol w:w="109"/>
        <w:gridCol w:w="211"/>
        <w:gridCol w:w="786"/>
        <w:gridCol w:w="109"/>
        <w:gridCol w:w="109"/>
        <w:gridCol w:w="109"/>
        <w:gridCol w:w="109"/>
        <w:gridCol w:w="237"/>
        <w:gridCol w:w="811"/>
        <w:gridCol w:w="123"/>
        <w:gridCol w:w="109"/>
        <w:gridCol w:w="109"/>
        <w:gridCol w:w="109"/>
        <w:gridCol w:w="297"/>
        <w:gridCol w:w="297"/>
        <w:gridCol w:w="868"/>
      </w:tblGrid>
      <w:tr>
        <w:trPr/>
        <w:tc>
          <w:tcPr>
            <w:tcW w:w="159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(24,678)</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8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35,005 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results of operations, we have included the respective percentage of changes, unless greater than 100% or less than (100)%, in which case we have denoted such changes as not meaningful (n/m).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and Other Research and Development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 increased by $8.3 million to $11.9 million for the three months ended June 30, 2026 compared to $3.6 million for the same period in 2025. The increase was primarily attributable to recognition of deferred revenue related to the expiration of certain rights to opt-in to additional research programs under our collaboration with BMS.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$4.0 million to $20.2 million for the three months ended June 30, 2026 compared to $16.2 million for the same period in 2025. The following table summarizes our research and development expenses for the three months ended June 30, 2026 and 2025, together with the changes in those items in dollars (in thousands) and the respective percentages of change:</w:t>
      </w:r>
    </w:p>
    <w:tbl>
      <w:tblPr>
        <w:tblW w:w="8659" w:type="dxa"/>
        <w:jc w:val="left"/>
        <w:tblInd w:w="0" w:type="dxa"/>
        <w:tblLayout w:type="fixed"/>
        <w:tblCellMar>
          <w:top w:w="28" w:type="dxa"/>
          <w:left w:w="28" w:type="dxa"/>
          <w:bottom w:w="28" w:type="dxa"/>
          <w:right w:w="28" w:type="dxa"/>
        </w:tblCellMar>
      </w:tblPr>
      <w:tblGrid>
        <w:gridCol w:w="1111"/>
        <w:gridCol w:w="979"/>
        <w:gridCol w:w="985"/>
        <w:gridCol w:w="211"/>
        <w:gridCol w:w="616"/>
        <w:gridCol w:w="109"/>
        <w:gridCol w:w="109"/>
        <w:gridCol w:w="109"/>
        <w:gridCol w:w="109"/>
        <w:gridCol w:w="211"/>
        <w:gridCol w:w="616"/>
        <w:gridCol w:w="109"/>
        <w:gridCol w:w="109"/>
        <w:gridCol w:w="109"/>
        <w:gridCol w:w="109"/>
        <w:gridCol w:w="259"/>
        <w:gridCol w:w="776"/>
        <w:gridCol w:w="136"/>
        <w:gridCol w:w="109"/>
        <w:gridCol w:w="109"/>
        <w:gridCol w:w="109"/>
        <w:gridCol w:w="318"/>
        <w:gridCol w:w="318"/>
        <w:gridCol w:w="924"/>
      </w:tblGrid>
      <w:tr>
        <w:trPr/>
        <w:tc>
          <w:tcPr>
            <w:tcW w:w="11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tbl>
      <w:tblPr>
        <w:tblW w:w="8171" w:type="dxa"/>
        <w:jc w:val="left"/>
        <w:tblInd w:w="0" w:type="dxa"/>
        <w:tblLayout w:type="fixed"/>
        <w:tblCellMar>
          <w:top w:w="28" w:type="dxa"/>
          <w:left w:w="28" w:type="dxa"/>
          <w:bottom w:w="28" w:type="dxa"/>
          <w:right w:w="28" w:type="dxa"/>
        </w:tblCellMar>
      </w:tblPr>
      <w:tblGrid>
        <w:gridCol w:w="1265"/>
        <w:gridCol w:w="1111"/>
        <w:gridCol w:w="111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June 30, 2026 compared to the three months ended June 30,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$4.6 million in increased external research and development expenses primarily related to ongoing research and preclinical efforts for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$1.5 million in increased sublicense and license fees paid in connection with licensing activity;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$1.3 million in increased other expenses to support EDIT-401, including preclinical and regulatory consulting.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$3.2 million in decreased employee-related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$0.2 million in decreased stock-based compensation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$0.1 million in decreased facility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$1.3 million to $11.6 million for the three months ended June 30, 2026 compared to $12.9 million for the three months ended June 30, 2025. The following table summarizes our general and administrative expenses for the three months ended June 30, 2026 and 2025, together with the changes in those items in dollars (in thousands) and the respective percentages of change:</w:t>
      </w:r>
    </w:p>
    <w:tbl>
      <w:tblPr>
        <w:tblW w:w="9438" w:type="dxa"/>
        <w:jc w:val="left"/>
        <w:tblInd w:w="0" w:type="dxa"/>
        <w:tblLayout w:type="fixed"/>
        <w:tblCellMar>
          <w:top w:w="28" w:type="dxa"/>
          <w:left w:w="28" w:type="dxa"/>
          <w:bottom w:w="28" w:type="dxa"/>
          <w:right w:w="28" w:type="dxa"/>
        </w:tblCellMar>
      </w:tblPr>
      <w:tblGrid>
        <w:gridCol w:w="1317"/>
        <w:gridCol w:w="1160"/>
        <w:gridCol w:w="1167"/>
        <w:gridCol w:w="211"/>
        <w:gridCol w:w="721"/>
        <w:gridCol w:w="109"/>
        <w:gridCol w:w="109"/>
        <w:gridCol w:w="109"/>
        <w:gridCol w:w="109"/>
        <w:gridCol w:w="211"/>
        <w:gridCol w:w="721"/>
        <w:gridCol w:w="109"/>
        <w:gridCol w:w="109"/>
        <w:gridCol w:w="109"/>
        <w:gridCol w:w="109"/>
        <w:gridCol w:w="259"/>
        <w:gridCol w:w="776"/>
        <w:gridCol w:w="136"/>
        <w:gridCol w:w="109"/>
        <w:gridCol w:w="109"/>
        <w:gridCol w:w="109"/>
        <w:gridCol w:w="318"/>
        <w:gridCol w:w="318"/>
        <w:gridCol w:w="92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three months ended June 30, 2026 compared to the three months ended June 30,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$1.7 million in decreased professional service expenses due to reduced general business support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$1.2 million in decreased employee-related expenses related to reduced headcount associated with the Reduction;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$0.3 million in decreased stock-based compensation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approximately $1.3 million in increased intellectual property and patent related legal fees due to increased legal activity related to intellectual property defense and $0.5 million in increased facility and other expenses.</w:t>
      </w:r>
    </w:p>
    <w:p>
      <w:pPr>
        <w:pStyle w:val="TextBody"/>
        <w:bidi w:val="0"/>
        <w:spacing w:lineRule="auto" w:line="288" w:before="240" w:after="283"/>
        <w:jc w:val="left"/>
        <w:rPr/>
      </w:pPr>
      <w:r>
        <w:rPr>
          <w:rFonts w:ascii="Times New Roman;serif" w:hAnsi="Times New Roman;serif"/>
          <w:b w:val="false"/>
          <w:i/>
          <w:color w:val="000000"/>
          <w:sz w:val="20"/>
        </w:rPr>
        <w:t>Restructuring and Impairment Charges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recorded a $1.3 million benefit related to restructuring and impairment compared to $26.1 million for the three months ended June 30, 2025 due to the Discontinuation and the Reduction. The following table summarizes our restructuring charges for the three months ended June 30, 2026 and 2025, together with the changes in those items in dollars (in thousands) and the respective percentages of change: </w:t>
      </w:r>
    </w:p>
    <w:tbl>
      <w:tblPr>
        <w:tblW w:w="10205" w:type="dxa"/>
        <w:jc w:val="left"/>
        <w:tblInd w:w="0" w:type="dxa"/>
        <w:tblLayout w:type="fixed"/>
        <w:tblCellMar>
          <w:top w:w="28" w:type="dxa"/>
          <w:left w:w="28" w:type="dxa"/>
          <w:bottom w:w="28" w:type="dxa"/>
          <w:right w:w="28" w:type="dxa"/>
        </w:tblCellMar>
      </w:tblPr>
      <w:tblGrid>
        <w:gridCol w:w="1722"/>
        <w:gridCol w:w="1486"/>
        <w:gridCol w:w="1496"/>
        <w:gridCol w:w="211"/>
        <w:gridCol w:w="670"/>
        <w:gridCol w:w="109"/>
        <w:gridCol w:w="109"/>
        <w:gridCol w:w="109"/>
        <w:gridCol w:w="109"/>
        <w:gridCol w:w="211"/>
        <w:gridCol w:w="721"/>
        <w:gridCol w:w="109"/>
        <w:gridCol w:w="109"/>
        <w:gridCol w:w="109"/>
        <w:gridCol w:w="109"/>
        <w:gridCol w:w="217"/>
        <w:gridCol w:w="801"/>
        <w:gridCol w:w="112"/>
        <w:gridCol w:w="109"/>
        <w:gridCol w:w="109"/>
        <w:gridCol w:w="109"/>
        <w:gridCol w:w="396"/>
        <w:gridCol w:w="396"/>
        <w:gridCol w:w="567"/>
      </w:tblGrid>
      <w:tr>
        <w:trPr/>
        <w:tc>
          <w:tcPr>
            <w:tcW w:w="172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for ongoing contracts and terminated contracts </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(27,421)</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restructuring and impairment benefit for the three months ended June 30, 2026 is primarily attributable to favorable adjustments to prior estimated costs for contracts associated with the Discontinuation upon finalization of contract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June 30, 2025 other income (expense), net was a $0.3 million net benefit and a $1.7 million net charge, respectively. The increase is attributable to increased investment income due to an increase in our investments for the three months ended June 30, 2026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together with the changes in those items in dollars (in thousands) and the respective percentages of change:</w:t>
      </w:r>
    </w:p>
    <w:tbl>
      <w:tblPr>
        <w:tblW w:w="10205" w:type="dxa"/>
        <w:jc w:val="left"/>
        <w:tblInd w:w="0" w:type="dxa"/>
        <w:tblLayout w:type="fixed"/>
        <w:tblCellMar>
          <w:top w:w="28" w:type="dxa"/>
          <w:left w:w="28" w:type="dxa"/>
          <w:bottom w:w="28" w:type="dxa"/>
          <w:right w:w="28" w:type="dxa"/>
        </w:tblCellMar>
      </w:tblPr>
      <w:tblGrid>
        <w:gridCol w:w="1559"/>
        <w:gridCol w:w="1363"/>
        <w:gridCol w:w="1369"/>
        <w:gridCol w:w="211"/>
        <w:gridCol w:w="784"/>
        <w:gridCol w:w="109"/>
        <w:gridCol w:w="109"/>
        <w:gridCol w:w="109"/>
        <w:gridCol w:w="109"/>
        <w:gridCol w:w="211"/>
        <w:gridCol w:w="889"/>
        <w:gridCol w:w="109"/>
        <w:gridCol w:w="109"/>
        <w:gridCol w:w="109"/>
        <w:gridCol w:w="109"/>
        <w:gridCol w:w="237"/>
        <w:gridCol w:w="811"/>
        <w:gridCol w:w="123"/>
        <w:gridCol w:w="109"/>
        <w:gridCol w:w="109"/>
        <w:gridCol w:w="109"/>
        <w:gridCol w:w="294"/>
        <w:gridCol w:w="294"/>
        <w:gridCol w:w="861"/>
      </w:tblGrid>
      <w:tr>
        <w:trPr/>
        <w:tc>
          <w:tcPr>
            <w:tcW w:w="15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(77,665)</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86,111 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and Other Research and Development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 increased by $6.5 million to $14.7 million for the six months ended June 30, 2026 compared to $8.2 million for the six months ended June 30, 2025. The increase was primarily attributable to the recognition of deferred revenue related to the expiration of certain rights to opt-in to additional research programs under our collaboration with BMS.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$5.0 million to $37.8 million for the six months ended June 30, 2026 compared to $42.8 million for the six months ended June 30, 2025. The following table summarizes our research and development expenses for the six months ended June 30, 2026 and 2025, together with the changes in those items in dollars (in thousands) and the respective percentages of change:</w:t>
      </w:r>
    </w:p>
    <w:tbl>
      <w:tblPr>
        <w:tblW w:w="9543" w:type="dxa"/>
        <w:jc w:val="left"/>
        <w:tblInd w:w="0" w:type="dxa"/>
        <w:tblLayout w:type="fixed"/>
        <w:tblCellMar>
          <w:top w:w="28" w:type="dxa"/>
          <w:left w:w="28" w:type="dxa"/>
          <w:bottom w:w="28" w:type="dxa"/>
          <w:right w:w="28" w:type="dxa"/>
        </w:tblCellMar>
      </w:tblPr>
      <w:tblGrid>
        <w:gridCol w:w="1355"/>
        <w:gridCol w:w="1193"/>
        <w:gridCol w:w="1201"/>
        <w:gridCol w:w="211"/>
        <w:gridCol w:w="721"/>
        <w:gridCol w:w="109"/>
        <w:gridCol w:w="109"/>
        <w:gridCol w:w="109"/>
        <w:gridCol w:w="109"/>
        <w:gridCol w:w="211"/>
        <w:gridCol w:w="721"/>
        <w:gridCol w:w="109"/>
        <w:gridCol w:w="109"/>
        <w:gridCol w:w="109"/>
        <w:gridCol w:w="109"/>
        <w:gridCol w:w="259"/>
        <w:gridCol w:w="776"/>
        <w:gridCol w:w="136"/>
        <w:gridCol w:w="109"/>
        <w:gridCol w:w="109"/>
        <w:gridCol w:w="109"/>
        <w:gridCol w:w="318"/>
        <w:gridCol w:w="318"/>
        <w:gridCol w:w="924"/>
      </w:tblGrid>
      <w:tr>
        <w:trPr/>
        <w:tc>
          <w:tcPr>
            <w:tcW w:w="135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(9,069)</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six months ended June 30, 2026 compared to the six months ended June 30,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$9.1 million in decreased employee-related expenses related to reduced headcount associated with the Reduction;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$2.2 million in decreased facility expenses primarily due to the end of leases for manufacturing space;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$0.6 million in decreased stock-based compensation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$3.9 million in increased sublicense and license fees paid in connection with licensing activity;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$2.3 million in increased other expenses related to professional services to support the progression of EDIT-401;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$0.6 million in increased external research and development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$4.4 million to $21.8 million for the six months ended June 30, 2026 compared to $26.2 million for the six months ended June 30, 2025. The following table summarizes our general and administrative expenses for the six months ended June 30, 2026 and 2025, together with the changes in those items in dollars (in thousands) and the respective percentages of change:</w:t>
      </w:r>
    </w:p>
    <w:tbl>
      <w:tblPr>
        <w:tblW w:w="9438" w:type="dxa"/>
        <w:jc w:val="left"/>
        <w:tblInd w:w="0" w:type="dxa"/>
        <w:tblLayout w:type="fixed"/>
        <w:tblCellMar>
          <w:top w:w="28" w:type="dxa"/>
          <w:left w:w="28" w:type="dxa"/>
          <w:bottom w:w="28" w:type="dxa"/>
          <w:right w:w="28" w:type="dxa"/>
        </w:tblCellMar>
      </w:tblPr>
      <w:tblGrid>
        <w:gridCol w:w="1317"/>
        <w:gridCol w:w="1160"/>
        <w:gridCol w:w="1167"/>
        <w:gridCol w:w="211"/>
        <w:gridCol w:w="721"/>
        <w:gridCol w:w="109"/>
        <w:gridCol w:w="109"/>
        <w:gridCol w:w="109"/>
        <w:gridCol w:w="109"/>
        <w:gridCol w:w="211"/>
        <w:gridCol w:w="721"/>
        <w:gridCol w:w="109"/>
        <w:gridCol w:w="109"/>
        <w:gridCol w:w="109"/>
        <w:gridCol w:w="109"/>
        <w:gridCol w:w="259"/>
        <w:gridCol w:w="776"/>
        <w:gridCol w:w="136"/>
        <w:gridCol w:w="109"/>
        <w:gridCol w:w="109"/>
        <w:gridCol w:w="109"/>
        <w:gridCol w:w="318"/>
        <w:gridCol w:w="318"/>
        <w:gridCol w:w="92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six months ended June 30, 2026 compared to the six months ended June 30,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$3.5 million in decreased employee 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$2.2 million in decreased professional service expenses related to reduced strategic business activities;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$0.8 million in decreased stock-based compensation expense.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$1.9 million in increased intellectual property and patent related fees due to increased legal activity related to intellectual property defense;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$0.1 million in increased facility and other expense.</w:t>
      </w:r>
    </w:p>
    <w:p>
      <w:pPr>
        <w:pStyle w:val="TextBody"/>
        <w:bidi w:val="0"/>
        <w:spacing w:lineRule="auto" w:line="288" w:before="240" w:after="283"/>
        <w:jc w:val="left"/>
        <w:rPr/>
      </w:pPr>
      <w:r>
        <w:rPr>
          <w:rFonts w:ascii="Times New Roman;serif" w:hAnsi="Times New Roman;serif"/>
          <w:b w:val="false"/>
          <w:i/>
          <w:color w:val="000000"/>
          <w:sz w:val="20"/>
        </w:rPr>
        <w:t>Restructuring and Impairment Charges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recorded a $1.3 million benefit related to restructuring and impairment compared to a $66.9 million expense for the six months ended June 30, 2025 due to the Discontinuation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Reduction. The following table summarizes our restructuring charges for the six months ended June 30, 2026 and 2025, together with the changes in those items in dollars (in thousands) and the respective percentages of change: </w:t>
      </w:r>
    </w:p>
    <w:tbl>
      <w:tblPr>
        <w:tblW w:w="10205" w:type="dxa"/>
        <w:jc w:val="left"/>
        <w:tblInd w:w="0" w:type="dxa"/>
        <w:tblLayout w:type="fixed"/>
        <w:tblCellMar>
          <w:top w:w="28" w:type="dxa"/>
          <w:left w:w="28" w:type="dxa"/>
          <w:bottom w:w="28" w:type="dxa"/>
          <w:right w:w="28" w:type="dxa"/>
        </w:tblCellMar>
      </w:tblPr>
      <w:tblGrid>
        <w:gridCol w:w="1722"/>
        <w:gridCol w:w="1486"/>
        <w:gridCol w:w="1496"/>
        <w:gridCol w:w="211"/>
        <w:gridCol w:w="670"/>
        <w:gridCol w:w="109"/>
        <w:gridCol w:w="109"/>
        <w:gridCol w:w="109"/>
        <w:gridCol w:w="109"/>
        <w:gridCol w:w="211"/>
        <w:gridCol w:w="721"/>
        <w:gridCol w:w="109"/>
        <w:gridCol w:w="109"/>
        <w:gridCol w:w="109"/>
        <w:gridCol w:w="109"/>
        <w:gridCol w:w="217"/>
        <w:gridCol w:w="801"/>
        <w:gridCol w:w="112"/>
        <w:gridCol w:w="109"/>
        <w:gridCol w:w="109"/>
        <w:gridCol w:w="109"/>
        <w:gridCol w:w="396"/>
        <w:gridCol w:w="396"/>
        <w:gridCol w:w="567"/>
      </w:tblGrid>
      <w:tr>
        <w:trPr/>
        <w:tc>
          <w:tcPr>
            <w:tcW w:w="172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for ongoing contracts and terminated contracts </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(68,274)</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restructuring and impairment benefit for the six months ended June 30, 2026 is primarily attributable to favorable adjustments to prior estimated costs for contracts associated with the Discontinuation upon finalization of contract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recorded $4.3 million, $52.3 million, $6.5 million and $3.7 million related to employee termination benefits, reni-cel-related contract costs, acceleration in expense due to changes in useful life estimates for leasehold improvements, software and a right-of-use asset, and impairment charges, respectively, due to the Discontinuation and the Reduction.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June 30, 2025, other income (expense), net was a $0.3 million net benefit and a $1.6 million net charge, respectively, which primarily relates to interest income and accretion of discounts and premiums associated with marketable securities and interest accretion related to the liability for the sale of future revenues. The increase for the six months ended June 30, 2026 is attributable to increased investment income due to an increase in our investments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68" w:before="240" w:after="283"/>
        <w:ind w:left="0" w:right="0" w:firstLine="720"/>
        <w:jc w:val="left"/>
        <w:rPr/>
      </w:pPr>
      <w:r>
        <w:rPr>
          <w:rFonts w:ascii="Times New Roman;serif" w:hAnsi="Times New Roman;serif"/>
          <w:b w:val="false"/>
          <w:color w:val="000000"/>
          <w:sz w:val="20"/>
        </w:rPr>
        <w:t>As of June 30, 2026, we have raised an aggregate of $1.2 billion in net proceeds through the sale of shares of our common stock in public offerings and at-the-market offerings</w:t>
      </w:r>
      <w:r>
        <w:rPr>
          <w:rFonts w:ascii="Times New Roman;serif" w:hAnsi="Times New Roman;serif"/>
          <w:b w:val="false"/>
          <w:color w:val="000000"/>
          <w:sz w:val="20"/>
          <w:shd w:fill="FFFFFF" w:val="clear"/>
        </w:rPr>
        <w:t xml:space="preserve">. We also have funded our business from our research collaboration with BMS through its wholly owned subsidiary Juno Therapeutics, our former strategic alliance with Allergan (which was terminated in August 2020), payments received under the DRI Agreement in connection with the Vertex License Agreement, and payments under the Vertex License Agreement. </w:t>
      </w:r>
      <w:r>
        <w:rPr>
          <w:rFonts w:ascii="Times New Roman;serif" w:hAnsi="Times New Roman;serif"/>
          <w:b w:val="false"/>
          <w:color w:val="000000"/>
          <w:sz w:val="20"/>
        </w:rPr>
        <w:t xml:space="preserve">As of June 30, 2026, we had cash, cash equivalents, and marketable securities of $211.6 million.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we completed a public offering (the “Offering”) in which we sold 55,555,556 shares of our common stock and accompanying common stock warrants to purchase up to 55,555,556 shares of our common stock (or pre-funded warrants for shares of our common stock in lieu thereof). We received net proceeds of approximately $116.9 million after deducting underwriting discounts and commissions and other costs, and excluding any proceeds that may be received from the exercise of the common stock warrants. If all of the common stock warrants sold in the Offering were to be exercised in cash for shares of our common stock, we would receive additional proceeds of approximately $192.5 million.</w:t>
      </w:r>
    </w:p>
    <w:p>
      <w:pPr>
        <w:pStyle w:val="TextBody"/>
        <w:bidi w:val="0"/>
        <w:spacing w:lineRule="auto" w:line="268" w:before="240" w:after="283"/>
        <w:ind w:left="0" w:right="0" w:firstLine="720"/>
        <w:jc w:val="left"/>
        <w:rPr/>
      </w:pPr>
      <w:r>
        <w:rPr>
          <w:rFonts w:ascii="Times New Roman;serif" w:hAnsi="Times New Roman;serif"/>
          <w:b w:val="false"/>
          <w:color w:val="000000"/>
          <w:sz w:val="20"/>
          <w:shd w:fill="FFFFFF" w:val="clear"/>
        </w:rPr>
        <w:t xml:space="preserve">In May 2021, we entered into a common stock sales agreement (the “Sales Agreement”) with TD Securities (USA) LLC (as successor to Cowen and Company, LLC) (“TD Cowen”), under which we from time to time can issue and sell shares of our common stock through TD Cowen in at-the-market offerings for aggregate gross sale proceeds of up to $300.0 million. We amended the Sales Agreement in February 2024 in connection with filing a new registration statement. In March 2025, we further amended the Sales Agreement in connection with amending our existing shelf registration statement following the loss of our status as a “well-known seasoned issuer” (as defined under Rule 405 of the Securities Act of 1933, as amended), reducing the amount of shares of common stock we may issue and sell through TD Cowen to aggregate gross sale proceeds of up to $150.0 million (the “ATM Facility”). </w:t>
      </w:r>
      <w:r>
        <w:rPr>
          <w:rFonts w:ascii="Times New Roman;serif" w:hAnsi="Times New Roman;serif"/>
          <w:b w:val="false"/>
          <w:color w:val="000000"/>
          <w:sz w:val="20"/>
        </w:rPr>
        <w:t xml:space="preserve">In May 2026, we notified TD Cowen that we were suspending and terminating the prospectus supplement, dated March 21, 2025, related to the Sales Agreement. We will not make any sales of our common stock pursuant to the Sales Agreement unless and until a new prospectus or prospectus supplement is filed and, if applicable, a new registration statement covering such shares of common stock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pPr>
      <w:r>
        <w:rPr>
          <w:rFonts w:ascii="Times New Roman;serif" w:hAnsi="Times New Roman;serif"/>
          <w:b w:val="false"/>
          <w:color w:val="000000"/>
          <w:sz w:val="20"/>
        </w:rPr>
        <w:t xml:space="preserve">declared effective by the SEC. The Sales Agreement remains in full force and effect. </w:t>
      </w:r>
      <w:r>
        <w:rPr>
          <w:rFonts w:ascii="Times New Roman;serif" w:hAnsi="Times New Roman;serif"/>
          <w:b w:val="false"/>
          <w:color w:val="000000"/>
          <w:sz w:val="20"/>
          <w:shd w:fill="FFFFFF" w:val="clear"/>
        </w:rPr>
        <w:t xml:space="preserve">As of June 30, 2026, we have sold </w:t>
      </w:r>
      <w:r>
        <w:rPr>
          <w:rFonts w:ascii="Times New Roman;serif" w:hAnsi="Times New Roman;serif"/>
          <w:b w:val="false"/>
          <w:color w:val="000000"/>
          <w:sz w:val="20"/>
        </w:rPr>
        <w:t>14,327,365</w:t>
      </w:r>
      <w:r>
        <w:rPr>
          <w:color w:val="000000"/>
          <w:shd w:fill="FFFFFF" w:val="clear"/>
        </w:rPr>
        <w:t xml:space="preserve"> </w:t>
      </w:r>
      <w:r>
        <w:rPr>
          <w:rFonts w:ascii="Times New Roman;serif" w:hAnsi="Times New Roman;serif"/>
          <w:b w:val="false"/>
          <w:color w:val="000000"/>
          <w:sz w:val="20"/>
          <w:shd w:fill="FFFFFF" w:val="clear"/>
        </w:rPr>
        <w:t xml:space="preserve">shares of our common stock under the ATM Facility at a weighted average price of </w:t>
      </w:r>
      <w:r>
        <w:rPr>
          <w:rFonts w:ascii="Times New Roman;serif" w:hAnsi="Times New Roman;serif"/>
          <w:b w:val="false"/>
          <w:color w:val="000000"/>
          <w:sz w:val="20"/>
        </w:rPr>
        <w:t>$3.07</w:t>
      </w:r>
      <w:r>
        <w:rPr>
          <w:color w:val="000000"/>
          <w:shd w:fill="FFFFFF" w:val="clear"/>
        </w:rPr>
        <w:t xml:space="preserve"> </w:t>
      </w:r>
      <w:r>
        <w:rPr>
          <w:rFonts w:ascii="Times New Roman;serif" w:hAnsi="Times New Roman;serif"/>
          <w:b w:val="false"/>
          <w:color w:val="000000"/>
          <w:sz w:val="20"/>
          <w:shd w:fill="FFFFFF" w:val="clear"/>
        </w:rPr>
        <w:t xml:space="preserve">per share for aggregate gross proceeds of </w:t>
      </w:r>
      <w:r>
        <w:rPr>
          <w:rFonts w:ascii="Times New Roman;serif" w:hAnsi="Times New Roman;serif"/>
          <w:b w:val="false"/>
          <w:color w:val="000000"/>
          <w:sz w:val="20"/>
        </w:rPr>
        <w:t>$43.9 million</w:t>
      </w:r>
      <w:r>
        <w:rPr>
          <w:color w:val="000000"/>
          <w:shd w:fill="FFFFFF" w:val="clear"/>
        </w:rPr>
        <w:t xml:space="preserve"> </w:t>
      </w:r>
      <w:r>
        <w:rPr>
          <w:rFonts w:ascii="Times New Roman;serif" w:hAnsi="Times New Roman;serif"/>
          <w:b w:val="false"/>
          <w:color w:val="000000"/>
          <w:sz w:val="20"/>
          <w:shd w:fill="FFFFFF" w:val="clear"/>
        </w:rPr>
        <w:t xml:space="preserve">and have </w:t>
      </w:r>
      <w:r>
        <w:rPr>
          <w:rFonts w:ascii="Times New Roman;serif" w:hAnsi="Times New Roman;serif"/>
          <w:b w:val="false"/>
          <w:color w:val="000000"/>
          <w:sz w:val="20"/>
        </w:rPr>
        <w:t>$106.1 million</w:t>
      </w:r>
      <w:r>
        <w:rPr>
          <w:color w:val="000000"/>
          <w:shd w:fill="FFFFFF" w:val="clear"/>
        </w:rPr>
        <w:t xml:space="preserve"> </w:t>
      </w:r>
      <w:r>
        <w:rPr>
          <w:rFonts w:ascii="Times New Roman;serif" w:hAnsi="Times New Roman;serif"/>
          <w:b w:val="false"/>
          <w:color w:val="000000"/>
          <w:sz w:val="20"/>
          <w:shd w:fill="FFFFFF" w:val="clear"/>
        </w:rPr>
        <w:t>of shares of our common stock remaining available for issuance and sale under the ATM Facility.</w:t>
      </w:r>
    </w:p>
    <w:p>
      <w:pPr>
        <w:pStyle w:val="TextBody"/>
        <w:bidi w:val="0"/>
        <w:spacing w:lineRule="auto" w:line="276" w:before="240" w:after="283"/>
        <w:ind w:left="0" w:right="0" w:firstLine="720"/>
        <w:jc w:val="left"/>
        <w:rPr/>
      </w:pPr>
      <w:r>
        <w:rPr>
          <w:rFonts w:ascii="Times New Roman;serif" w:hAnsi="Times New Roman;serif"/>
          <w:b w:val="false"/>
          <w:color w:val="000000"/>
          <w:sz w:val="20"/>
          <w:shd w:fill="FFFFFF" w:val="clear"/>
        </w:rPr>
        <w:t xml:space="preserve">In addition to our existing cash and cash equivalents, we are eligible to earn milestone and other payments under our collaboration with BMS and our other collaboration and license agreements. Our ability to earn applicable milestone and other payments and the timing of earning these amounts are dependent upon the timing and outcome of development, regulatory and commercial activities and, as such, are uncertain at this time.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our right to contingent payments under our collaboration with BMS, as well as the retained portions of the contingent upfront payment and other amounts under the Vertex License Agreement, are our only significant committed potential external source of funds.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six months ended June 30, 2026 and 2025 (in thousands):</w:t>
      </w:r>
    </w:p>
    <w:tbl>
      <w:tblPr>
        <w:tblW w:w="7358" w:type="dxa"/>
        <w:jc w:val="left"/>
        <w:tblInd w:w="0" w:type="dxa"/>
        <w:tblLayout w:type="fixed"/>
        <w:tblCellMar>
          <w:top w:w="28" w:type="dxa"/>
          <w:left w:w="28" w:type="dxa"/>
          <w:bottom w:w="28" w:type="dxa"/>
          <w:right w:w="28" w:type="dxa"/>
        </w:tblCellMar>
      </w:tblPr>
      <w:tblGrid>
        <w:gridCol w:w="1719"/>
        <w:gridCol w:w="1513"/>
        <w:gridCol w:w="1522"/>
        <w:gridCol w:w="211"/>
        <w:gridCol w:w="796"/>
        <w:gridCol w:w="109"/>
        <w:gridCol w:w="109"/>
        <w:gridCol w:w="109"/>
        <w:gridCol w:w="109"/>
        <w:gridCol w:w="211"/>
        <w:gridCol w:w="796"/>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 of cash in all periods resulted primarily from our net losses adjusted for non-cash charges and changes in components of working capital.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$52.6 million for the six months ended June 30, 2026, which primarily consisted of operating expenses related to our ongoing research and preclinical efforts and supporting business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$98.0 million for the six months ended June 30, 2025, which primarily consisted of operating expenses that related to our ongoing research efforts, the wind-down of clinical and manufacturing activities in support of our former reni-cel program and supporting business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(Provided by) Investing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approximately $29.7 million for the six months ended June 30, 2026, primarily related to purchases of marketable securities of $29.7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approximately $99.0 million for the six months ended June 30, 2025, primarily related to the proceeds from the maturities of marketable securities of $99.0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approximately $117.5 million for the six months ended June 30, 2026 attributable to proceeds received from public offering of common stock of $117.5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approximately $6.0 million for the six months ended June 30, 2025, primarily related to proceeds from the issuance of common stock from our at-the-market offering program of $8.6 million and proceeds received from issuance of common stock under our employee stock purchase plan of $0.2 million. This was offset by the repayment of our liability for the sale of future revenues with DRI of $2.9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as we continue to support preclinical studies and prepare for the clinical development of EDIT-401; commence and conduct our planned clinical trials of EDIT-401; continue our current research programs and our preclinical development of product candidates from our current research programs; seek to identify additional product candidates and research programs; initiate preclinical testing and clinical trials for other product candidates we identify and develop; maintain, expand, and protect our intellectual property portfolio, including reimbursing our licensors for expenses related to the intellectual property that we in-license from such licensors; and incur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We expect that our existing cash and cash equivalents on June 30, 2026 will enable us to fund our operating expenses and capital expenditure requirements into the second half of 2028</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Our forecast of the period of time through which our existing cash and cash equivalents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r>
        <w:rPr>
          <w:rFonts w:ascii="Times New Roman;serif" w:hAnsi="Times New Roman;serif"/>
          <w:b w:val="false"/>
          <w:color w:val="000000"/>
          <w:sz w:val="20"/>
        </w:rPr>
        <w: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progressing the preclinical and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progress, results, and costs of drug discovery, preclinical development, laboratory testing, and any clinical or natural history study trials for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timing, and outcome of regulatory review of the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establishing and maintaining a supply chain for the development and manufacture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product candidates for which we receive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our collaboration with BMS;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additional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extent to which we acquire or in-license other medicines and technologies;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reimbursing our licensors for the prosecution and maintenance of the patent rights in-licensed by us;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healthcare coverage and adequate reimbursement for any product candidates for which we receive regulatory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even if we successfully identify and develop product candidates that are approved, we will require significant additional funding in order to launch and commercialize our product candidates and may not achieve commercial success. Our commercial revenues, if any, will be derived from sales of genomic medicines that we do not expect to be commercially available for many years,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will need to continue to rely on additional financing to achieve our business objectives. Adequate additional financing may not be available to us on acceptable terms, or at all.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issuance of equity or convertible debt securities, our stockholders’ ownership interests will be diluted, and the terms of these securities may include liquidation or other preferences that adversely affect the rights of our stockholders.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operating leases with future minimum lease payments for a total of $17.1 million, of which $3.8 million will be payable in 2026. These minimum lease payments exclude our share of the facility operating expenses, real-estate taxes, and other costs that are reimbursable to the landlord under the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entered into a license and service agreement pursuant to which we leased manufacturing space for our continued research and development activities. The lease commenced April 1, 2024. In September 2024, we modified the lease, and as a result of the modification the lease payments decreased and the notification period for the termination of the license and service agreement increased from 12 months’ prior written notice to 18 months’ prior written notice. In January 2025, we gave our termination notice for the license and service agreement, which resulted in the end of the term of the agreement being July 2026 and $8.9 million of remaining payments owed. In April 2025, we modified the lease to terminate on April 30, 2025 with a final fixed payment of $3.7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DRI Agreement under which we sold, transferred, assigned, and conveyed to DRI certain future license fees and other payments owed to us by Vertex under the Vertex License Agreement in exchange for an upfront cash payment by DRI to us of $57.0 million. Under the DRI Agreement, DRI is purchasing up to 100% of certain future fixed and sales-based annual license fees that we are entitled to receive under the Vertex License Agreement, which fees range from $5.0 million to $40.0 million per year including increases based on sales. In addition, DRI is purchasing a mid-double-digit percentage of the $50.0 million contingent upfront payment that we may receive under the Vertex License Agreement, in each case after subtracting amounts owed by us to our licensors, The Broad Institute, Inc. and the President and Fellows of Harvard College. We have retained rights to certain portions of certain other sales-based annual license fees and the contingent upfront payment that may become due under the Vertex License Agreement, and the amounts that correspond to our licensor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agreements with certain institutions to license intellectual property include potential milestone payments and success fees, sublicense fees, royalty fees, licensing maintenance fees, and reimbursement of patent maintenance costs that we may be required to pay.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These potential obligations are contingent upon future events and the timing and likelihood of such potential obligations are not known with certainty. For further information regarding these agreements, please see Part I, “Item 1. Business—Our Collaborations and Licensing Strategy” in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enter into contracts in the normal course of business with contract research organizations, contract manufacturing organizations, and other vendors to assist in the performance of our research and development activities and other services and products for operating purposes. These contracts generally provide for termination at any time upon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As of June 30, 2026, we had cash equivalents of $181.8 million, primarily held in money market mutual funds and U.S Treasury Bonds, and marketable securities of $29.8 million, primarily held in U.S. Treasury Bonds.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contract with certain vendors and institutions internationally, substantially all of our total liabilities as of June 30, 2026 were denominated in the United States dollar and we believe that we do not have any material exposure to foreign currency exchange rate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Our management, with the participation of our principal executive officer (our Chief Executive Officer) and our principal financial officer (our Chief Financial Officer), evaluated the effectiveness of our disclosure controls and procedures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term “disclosure controls and procedures,” as defined in Rules 13a-15(e) and 15d-15(e) under the Securities Exchange Act of 1934, as amended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relating to claims arising from the ordinary course of business. There can be no assurance that any proceedings that result from these third-party actions will be resolved in our favor. In addition, if they are not resolved in our favor, there can be no assurance that the result will not have a material adverse effect on our business, financial condition, results of operations, or prospects. Certain of our intellectual property rights, including ones licensed to us under our licensing agreements, are subject to, and from time to time may be subject to, priority and validity disputes. For additional information regarding these matters, see Part I, “Item 1A. Risk Factors—Risks Related to Our Intellectual Property” in our Annual Report on Form 10-K for the year ended December 31, 2025 (the “Annual Report”). Regardless of outcome, litigation or other legal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set forth in this Quarterly Report on Form 10-Q, including below, and in the sections entitled “Summary of Risk Factors” and Part I, “Item 1A. Risk Factors” in the Annual Report, includes risks which could materially affect our business, financial condition, results of operations, or prospects. These risks, as well as other risks and uncertainties, could materially and adversely affect our business, results of operations and financial condition, which in turn could materially and adversely affect the trading price of shares of our common stock. Additional risks not currently known to us or that we currently deem to be immaterial may also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Some of our in-licensed patents are subject to priority and validity disputes. In addition, our owned and in-licensed patents, patent applications and other intellectual property may be subject to further priority and validity disputes, 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develop, which could have a material adverse impact on our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U.S. patents and a U.S. patent application directed to CRISPR/Cas9 that are co-owned by the Broad Institute and the Massachusetts Institute of Technology (“MIT”), and in some cases Harvard (collectively referred to as “Broad”), and in-licensed by us were involved in a first interference with a U.S. patent application that is co-owned by the University of California, the University of Vienna, and Emmanuelle Charpentier (collectively referred to as “CVC”). An interference is a proceeding in the USPTO before the Patent Trial and Appeal Board of the USPTO (“PTAB”) to determine priority of invention of the subject matter of patent claims filed by different parties. In this first interference, the PTAB made a judgment of no interference-in-fact in favor of the Broad, which was upheld on appeal. This decision was final and bars any further interference between the same parties for claims to the same invention that was considered in the interference. As a result of this decision, the U.S. patents and application that we in-license from the Broad and others were not modified or revoked.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24, 2019, the PTAB declared a second interference between certain pending U.S. patent applications that are co-owned by CVC and certain U.S. patents and a U.S. patent application that are co-owned by Broad and in-licensed by us. Most of the Broad U.S. patents and the patent application that are involved in the second interference were also part of the first interference. The invention that was considered in the first interference related to a method involving contacting a target DNA in a eukaryotic cell with certain defined CRISPR/Cas9 components for the purpose of cleaving or editing that target DNA molecule or modulating transcription of at least one gene encoded thereon. The second interference is directed to a different invention, namely a eukaryotic cell comprising a target DNA and certain defined CRISPR/Cas9 components including a single molecule guide RNA that are capable of cleaving or editing the target DNA molecule.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10, 2020, the PTAB granted Broad’s motion for priority benefit while denying CVC priority benefit to their two earliest provisional patent applications. As a result, Broad entered the priority phase of the interference as “Senior Party” while CVC remained the “Junior Party” for purposes of determining which entity was the first to invent the inventions at issue. On February 28, 2022, the PTAB issued a decision regarding the priority phase of the interference determining that Broad was the first entity to invent the claims at issue. This decision was appealed by CVC and the Broad cross-appealed. On May 12, 2025, the U.S. Court of Appeals for the Federal Circuit (“CAFC”) affirmed-in-part and vacated-in-part the PTAB’s previous decision and remanded it back to the PTAB for further review. On March 26,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PTAB reaffirmed its previous decision favoring Broad. This decision by the PTAB has been appealed by CVC. It is uncertain when or in what manner the CAFC will act on this appeal.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14, 2020, the PTAB declared two new interferences involving a pending U.S. patent application that is owned by ToolGen, Inc. (the “ToolGen application”). One of the two interferences is between the ToolGen application and certain U.S. patents and U.S. patent applications that are co-owned by Broad and in-licensed by us. Most of the Broad U.S. patents and patent applications that are involved in the interference with ToolGen are also part of the second interference with CVC. The other ToolGen interference is between the same ToolGen application and the U.S. patent applications that are co-owned by CVC and involved in the second interference with Broad. The claims in ToolGen’s patent application relate to a mammalian cell with a CRISPR/Cas system comprising a codon optimized nucleic acid encoding a Cas9 polypeptide with a nuclear localization signal and a single-molecule guide RNA that, together, are capable of forming a Cas9/RNA complex that mediates double stranded cleavage of a target nucleic acid sequence. On September 28, 2022, the PTAB suspended both of these interferences. Following the decision on remand by the PTAB in March 2026 in the second interference between Broad and CVC, the suspension in the interference between ToolGen and Broad has been lifted. We cannot predict with any certainty how long this interference proceeding will take. The interference between ToolGen and CVC remains suspended.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2021, the PTAB declared two new interferences involving a pending U.S. patent application owned by Sigma-Aldrich (the “Sigma-Aldrich application”). One of the two new interferences is between the Sigma-Aldrich application and certain U.S. patents and U.S. patent applications that are co-owned by Broad and in-licensed by us. The other Sigma interference is between the same Sigma-Aldrich application and the U.S. patent applications that are co-owned by CVC. Most of the Broad U.S. patents and patent applications that are involved in the interference with Sigma-Aldrich are also part of the concurrent interferences with CVC and ToolGen. The claims in Sigma-Aldrich’s application relate to a method for modifying a chromosomal sequence in a eukaryotic cell by integrating a donor sequence into that chromosomal sequence. These methods use a CRISPR/Cas9 system comprising a Cas9 polypeptide with a nuclear localization signal, a guide RNA, and a donor sequence that, together, are capable of mediating double stranded cleavage and repair of a target nucleic acid sequence leading to integration of the donor sequence into the chromosomal sequence. On December 14, 2022, the PTAB suspended both of these interferences. It is uncertain when these suspensions will be lifted.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declarations of interference, five parallel adversarial proceedings in the USPTO before the PTAB have been initiated – the patent interferences between Broad and CVC, Broad and ToolGen, CVC and ToolGen, Broad and Sigma-Aldrich, and CVC and Sigma-Aldrich. We cannot predict with any certainty how long each interference proceeding will take. It is also possible that other third parties may seek to become a party to these interferences.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owned and in-licensed patents and patent applications are, or may in the future become, subject to validity disputes in the USPTO and other foreign patent offices. For example, a request for ex parte re-examination was filed with the USPTO on February 16, 2016 against a U.S. patent that we have in-licensed from Broad, which is involved in certain of the interferences. The request for ex parte re-examination was granted on May 9, 2016 thereby initiating a re-examination procedure between the USPTO and Broad, acting on behalf of itself and MIT. The PTAB has suspended the re-examination noting that it has jurisdiction over any file that involves a patent involved in an interference. It is uncertain when the PTAB will lift the suspension. If Broad is unsuccessful during the re-examination, the patent in question may be revoked or narrowed, which could have a material adverse effect on the scope of our rights under such patent.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also be subject to claims that former employees, collaborators, or other third parties have an interest in our owned or in-licensed patents or patent applications, or other intellectual property rights as an inventor or co-inventor. If we are unable to obtain an exclusive license to any such third-party co-owners’ interest in such patents, patent applications or other intellectual property rights, such co-owners may be able to license their rights to other third parties, including our competitors. In addition, we may need the cooperation of any such co-owners to enforce any patents, including any patents that issue from patent applications, against third parties, and such cooperation may not be provided to us. Any of the foregoing could have a material adverse effect on the conduct of our business, financial condition, results of operations, and prospects.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licensors are subject to and may in the future become a party to similar proceedings or priority disputes in Europe or other foreign jurisdictions. For example, certain European patents that we have in-licensed from Broad have been revoked in their entirety by the European Patent Office Opposition Division (the “Opposition Division”). Certain other European patents that we have in-licensed from Broad were maintained with amended patent claims. Certain of these decisions have been appealed by both Broad and the opposing party(s), and it is uncertain when or in what manner the Boards of Appeal will act on these appeals. The Opposition Division has also initiated opposition proceedings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other European patents that we have in-licensed from Broad. The European Patent Office opposition proceedings may involve issues including, but not limited to, procedural formalities related to filing the European patent application, priority, and the patentability of the involved claims. In view of certain arguments made by the third parties against the revoked patents and similar arguments made by the third parties against other in-licensed European patents under opposition, the opposition proceedings may lead to the revocation of certain additional in-licensed European patents. The loss of priority for, or the loss of, these European patents could have a material adverse effect on the conduct of our business. One or more of the third parties that have filed oppositions against these European patents or other third parties may file future oppositions against other European patents that we in-license or own. There may be other oppositions against these European patents that have not yet been filed or that have not yet been made available to the public.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in-licensed patents and patent applications.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may be non-exclusive or may not be available at all. If we are unable to obtain and maintain such licenses, we may need to cease the development, manufacture, and commercialization of one or more of the product candidates we develop. The loss of exclusivity or the narrowing of our owned and in-licensed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any interference proceeding or other priority, inventorship, or validity disputes, it could result in substantial costs and be a distraction to our management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portion of the compensation of our directors and officers (as defined in Rule 16a-1(f) under the Securities Exchange Act of 1934, as amended (the “Exchange Act”)) is in the form of equity awards and, from time to time, directors and officers may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(each as defined in Item 408(c) of Regulation S-K) during the quarterly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50"/>
        <w:gridCol w:w="2565"/>
        <w:gridCol w:w="36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Form of Common Stock Warrant (including the form of Pre-Funded Warrant attached as an exhibit thereto) (incorporated by reference to Exhibit 4.1 to the registrant’s Current Report on Form 8-K, filed with the SEC on May 26,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630xex311.htm">
              <w:r>
                <w:rPr>
                  <w:rStyle w:val="InternetLink"/>
                  <w:rFonts w:ascii="Times New Roman;serif" w:hAnsi="Times New Roman;serif"/>
                  <w:b w:val="false"/>
                  <w:color w:val="0000FF"/>
                  <w:sz w:val="20"/>
                  <w:u w:val="single"/>
                </w:rPr>
                <w:t>Rule 13a-14(a) Certification of Principal Executive Officer</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630xex312.htm">
              <w:r>
                <w:rPr>
                  <w:rStyle w:val="InternetLink"/>
                  <w:rFonts w:ascii="Times New Roman;serif" w:hAnsi="Times New Roman;serif"/>
                  <w:b w:val="false"/>
                  <w:color w:val="0000FF"/>
                  <w:sz w:val="20"/>
                  <w:u w:val="single"/>
                </w:rPr>
                <w:t>Rule 13a-14(a) Certification of Principal Financial Officer</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630xex321.htm">
              <w:r>
                <w:rPr>
                  <w:rStyle w:val="InternetLink"/>
                  <w:rFonts w:ascii="Times New Roman;serif" w:hAnsi="Times New Roman;serif"/>
                  <w:b w:val="false"/>
                  <w:color w:val="0000FF"/>
                  <w:sz w:val="20"/>
                  <w:u w:val="single"/>
                </w:rPr>
                <w:t>Certification of Principal Executive Officer and Principal Financial Officer pursuant to 18 U.S.C. §1350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2026, formatted in Inline XBRL (eXtensible Business Reporting Language): (i) Condensed Consolidated Balance Sheets (unaudited), (ii) Condensed Consolidated Statements of Operations (unaudited), (iii) Condensed Consolidated Statements of Comprehensive Loss (unaudited), (iv) Condensed Consolidated Statements of Stockholders’ Equity (unaudited), (v) Condensed Consolidated Statements of Cash Flows (unaudited) and (vi) Notes to Condensed Consolidated Financial Statements (unaudited), tagged as blocks of text and including detailed tags.</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pPr>
      <w:r>
        <w:rPr>
          <w:rFonts w:ascii="Times New Roman;serif" w:hAnsi="Times New Roman;serif"/>
          <w:b w:val="false"/>
          <w:color w:val="000000"/>
          <w:sz w:val="20"/>
        </w:rPr>
        <w:t>+    </w:t>
      </w:r>
      <w:r>
        <w:rPr>
          <w:rFonts w:ascii="Times New Roman;serif" w:hAnsi="Times New Roman;serif"/>
          <w:b w:val="false"/>
          <w:color w:val="212529"/>
          <w:sz w:val="20"/>
          <w:shd w:fill="FFFFFF" w:val="clear"/>
        </w:rPr>
        <w:t>The certifications furnished in Exhibit 32.1 that accompany this Quarterly Report on Form 10-Q are not deemed “filed” for purposes of Section 18 of the Securities Exchange Act of 1934, as amended. Such certifications are not to be deemed to be incorporated by reference into any filings under the Securities Act of 1933, as amended, or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26acbec11fa458fa51cce50f5b3b2d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thereunto duly authorized. </w:t>
      </w:r>
    </w:p>
    <w:tbl>
      <w:tblPr>
        <w:tblW w:w="5527" w:type="dxa"/>
        <w:jc w:val="left"/>
        <w:tblInd w:w="0" w:type="dxa"/>
        <w:tblLayout w:type="fixed"/>
        <w:tblCellMar>
          <w:top w:w="28" w:type="dxa"/>
          <w:left w:w="28" w:type="dxa"/>
          <w:bottom w:w="28" w:type="dxa"/>
          <w:right w:w="28" w:type="dxa"/>
        </w:tblCellMar>
      </w:tblPr>
      <w:tblGrid>
        <w:gridCol w:w="705"/>
        <w:gridCol w:w="619"/>
        <w:gridCol w:w="625"/>
        <w:gridCol w:w="373"/>
        <w:gridCol w:w="373"/>
        <w:gridCol w:w="373"/>
        <w:gridCol w:w="718"/>
        <w:gridCol w:w="718"/>
        <w:gridCol w:w="102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EDITAS MEDICINE,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1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31.1</w:t>
      </w:r>
    </w:p>
    <w:p>
      <w:pPr>
        <w:pStyle w:val="TextBody"/>
        <w:bidi w:val="0"/>
        <w:spacing w:lineRule="auto" w:line="288" w:before="200" w:after="283"/>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I, Gilmore O’Neill, certify that: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1.I have reviewed this Quarterly Report on Form 10-Q of Editas Medicine, Inc.;</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registrant’s internal control over financial reporting.</w:t>
      </w:r>
    </w:p>
    <w:tbl>
      <w:tblPr>
        <w:tblW w:w="6344" w:type="dxa"/>
        <w:jc w:val="left"/>
        <w:tblInd w:w="0" w:type="dxa"/>
        <w:tblLayout w:type="fixed"/>
        <w:tblCellMar>
          <w:top w:w="28" w:type="dxa"/>
          <w:left w:w="28" w:type="dxa"/>
          <w:bottom w:w="28" w:type="dxa"/>
          <w:right w:w="28" w:type="dxa"/>
        </w:tblCellMar>
      </w:tblPr>
      <w:tblGrid>
        <w:gridCol w:w="938"/>
        <w:gridCol w:w="825"/>
        <w:gridCol w:w="832"/>
        <w:gridCol w:w="154"/>
        <w:gridCol w:w="154"/>
        <w:gridCol w:w="156"/>
        <w:gridCol w:w="960"/>
        <w:gridCol w:w="960"/>
        <w:gridCol w:w="1365"/>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August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Gilmore O’Neill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Gilmore O’Neill</w:t>
              <w:br/>
              <w:t>Chief Executive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31.2</w:t>
      </w:r>
    </w:p>
    <w:p>
      <w:pPr>
        <w:pStyle w:val="TextBody"/>
        <w:bidi w:val="0"/>
        <w:spacing w:lineRule="auto" w:line="288" w:before="200" w:after="283"/>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I, Amy Parison, certify that: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1.I have reviewed this Quarterly Report on Form 10-Q of Editas Medicine, Inc.;</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registrant’s internal control over financial reporting.</w:t>
      </w:r>
    </w:p>
    <w:tbl>
      <w:tblPr>
        <w:tblW w:w="6253" w:type="dxa"/>
        <w:jc w:val="left"/>
        <w:tblInd w:w="0" w:type="dxa"/>
        <w:tblLayout w:type="fixed"/>
        <w:tblCellMar>
          <w:top w:w="28" w:type="dxa"/>
          <w:left w:w="28" w:type="dxa"/>
          <w:bottom w:w="28" w:type="dxa"/>
          <w:right w:w="28" w:type="dxa"/>
        </w:tblCellMar>
      </w:tblPr>
      <w:tblGrid>
        <w:gridCol w:w="938"/>
        <w:gridCol w:w="825"/>
        <w:gridCol w:w="832"/>
        <w:gridCol w:w="154"/>
        <w:gridCol w:w="154"/>
        <w:gridCol w:w="156"/>
        <w:gridCol w:w="932"/>
        <w:gridCol w:w="932"/>
        <w:gridCol w:w="1330"/>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August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Amy Parison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Amy Parison</w:t>
              <w:br/>
              <w:t>Chief Financial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32.1</w:t>
      </w:r>
    </w:p>
    <w:p>
      <w:pPr>
        <w:pStyle w:val="TextBody"/>
        <w:bidi w:val="0"/>
        <w:spacing w:lineRule="auto" w:line="288" w:before="200" w:after="283"/>
        <w:jc w:val="center"/>
        <w:rPr>
          <w:rFonts w:ascii="sans-serif" w:hAnsi="sans-serif"/>
          <w:b/>
          <w:color w:val="000000"/>
          <w:sz w:val="22"/>
          <w:shd w:fill="FFFFFF" w:val="clear"/>
        </w:rPr>
      </w:pPr>
      <w:r>
        <w:rPr>
          <w:rFonts w:ascii="sans-serif" w:hAnsi="sans-serif"/>
          <w:b/>
          <w:color w:val="000000"/>
          <w:sz w:val="22"/>
          <w:shd w:fill="FFFFFF" w:val="clear"/>
        </w:rPr>
        <w:t>CERTIFICATIONS OF CEO AND CFO PURSUANT TO 18 U.S.C. SECTION 1350,</w:t>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AS ADOPTED PURSUANT TO</w:t>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SECTION 906 OF THE SARBANES-OXLEY ACT OF 2002</w:t>
      </w:r>
    </w:p>
    <w:p>
      <w:pPr>
        <w:pStyle w:val="TextBody"/>
        <w:bidi w:val="0"/>
        <w:spacing w:lineRule="auto" w:line="288" w:before="200" w:after="283"/>
        <w:jc w:val="left"/>
        <w:rPr/>
      </w:pPr>
      <w:r>
        <w:rPr>
          <w:rFonts w:ascii="sans-serif" w:hAnsi="sans-serif"/>
          <w:b w:val="false"/>
          <w:color w:val="000000"/>
          <w:sz w:val="22"/>
          <w:shd w:fill="FFFFFF" w:val="clear"/>
        </w:rPr>
        <w:t xml:space="preserve">In connection with this Quarterly Report on Form 10-Q of Editas Medicine, Inc. (the “Company”) for the period ended </w:t>
      </w:r>
      <w:r>
        <w:rPr>
          <w:rFonts w:ascii="sans-serif" w:hAnsi="sans-serif"/>
          <w:b w:val="false"/>
          <w:color w:val="000000"/>
          <w:sz w:val="22"/>
        </w:rPr>
        <w:t>June 30, 2026</w:t>
      </w:r>
      <w:r>
        <w:rPr>
          <w:rFonts w:ascii="sans-serif" w:hAnsi="sans-serif"/>
          <w:b w:val="false"/>
          <w:color w:val="000000"/>
          <w:sz w:val="22"/>
          <w:shd w:fill="FFFFFF" w:val="clear"/>
        </w:rPr>
        <w:t>,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tbl>
      <w:tblPr>
        <w:tblW w:w="5773" w:type="dxa"/>
        <w:jc w:val="left"/>
        <w:tblInd w:w="0" w:type="dxa"/>
        <w:tblLayout w:type="fixed"/>
        <w:tblCellMar>
          <w:top w:w="28" w:type="dxa"/>
          <w:left w:w="28" w:type="dxa"/>
          <w:bottom w:w="28" w:type="dxa"/>
          <w:right w:w="28" w:type="dxa"/>
        </w:tblCellMar>
      </w:tblPr>
      <w:tblGrid>
        <w:gridCol w:w="938"/>
        <w:gridCol w:w="825"/>
        <w:gridCol w:w="832"/>
        <w:gridCol w:w="154"/>
        <w:gridCol w:w="154"/>
        <w:gridCol w:w="156"/>
        <w:gridCol w:w="793"/>
        <w:gridCol w:w="793"/>
        <w:gridCol w:w="1128"/>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August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Gilmore O’Neill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Gilmore O’Neill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August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Amy Parison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Amy Parison</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0664/000110465926066317/tm2615565d3_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22092</Words>
  <Characters>124940</Characters>
  <CharactersWithSpaces>145733</CharactersWithSpaces>
  <Paragraphs>2115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