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137351.xml.htm"/>
      <w:bookmarkStart w:id="1" w:name="kswkform3_178613735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Ellinor Patrick Thomas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HURLEY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Editas Medicine, Inc.</w:t>
              </w:r>
            </w:hyperlink>
            <w:r>
              <w:rPr/>
              <w:t xml:space="preserve"> [ </w:t>
            </w:r>
            <w:r>
              <w:rPr>
                <w:rFonts w:ascii="Times;serif" w:hAnsi="Times;serif"/>
                <w:color w:val="0000FF"/>
                <w:sz w:val="24"/>
                <w:shd w:fill="FFFFFF" w:val="clear"/>
              </w:rPr>
              <w:t>EDIT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Ellinor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werofattorneyforsectio.htm"/>
      <w:bookmarkStart w:id="3" w:name="kspowerofattorneyforsecti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Know all by these present, that the undersigned hereby makes, constitutes and appoints each of Gilmore O’Neill, Damien Grierson and Amy Parison, signing singly and each acting individually, as the undersigned’s true and lawful attorney-in-fact with full power and authority as hereinafter described to: (1) execute for and on behalf of the undersigned, in the undersigned’s capacity as a director, officer and/or stockholder of Editas Medicine, Inc. (the “Company”), Forms 3, 4, and 5 (including any amendments thereto) in accordance with Section 16(a) of the Securities Exchange Act of 1934 and the rules thereunder (the “Exchange Act”); (2) 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or any other application materials to enable the undersigned to gain or maintain access to the Electronic Data Gathering, Analysis and Retrieval system of the SEC; (3)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third party to release any such information to the herein appointed attorney-in-fact and approves and ratifies any such release of information;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the SEC with respect to the undersigned’s holdings of and transactions in securities issued by the Company, unless earlier revoked by the undersigned in a signed writing delivered to the foregoing attorneys-in-fact. Exhibit 24.1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this 6th day of August 2026. /s/ Patrick Ellinor Print Name: Patrick Ellinor, MD, Ph.D. [Signature Page to Power of Attorney for Section 16 Reporting Obligations]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7699" TargetMode="External"/><Relationship Id="rId3" Type="http://schemas.openxmlformats.org/officeDocument/2006/relationships/hyperlink" Target="http://www.sec.gov/cgi-bin/browse-edgar?action=getcompany&amp;CIK=000165066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1043</Words>
  <Characters>5701</Characters>
  <CharactersWithSpaces>6704</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powerofattorneyforsectio</dc:title>
</cp:coreProperties>
</file>