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CURRENT REPORT</w:t>
        <w:br/>
        <w:t>Pursuant to Section 13 or 15(d)</w:t>
        <w:br/>
        <w:t>of The Securities Exchange Act of 1934</w:t>
      </w:r>
    </w:p>
    <w:p>
      <w:pPr>
        <w:pStyle w:val="TextBody"/>
        <w:bidi w:val="0"/>
        <w:spacing w:lineRule="auto" w:line="288" w:before="0" w:after="12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June 17,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Editas Medicine,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w:t>
      </w:r>
    </w:p>
    <w:tbl>
      <w:tblPr>
        <w:tblW w:w="8908" w:type="dxa"/>
        <w:jc w:val="left"/>
        <w:tblInd w:w="0" w:type="dxa"/>
        <w:tblLayout w:type="fixed"/>
        <w:tblCellMar>
          <w:top w:w="28" w:type="dxa"/>
          <w:left w:w="28" w:type="dxa"/>
          <w:bottom w:w="28" w:type="dxa"/>
          <w:right w:w="28" w:type="dxa"/>
        </w:tblCellMar>
      </w:tblPr>
      <w:tblGrid>
        <w:gridCol w:w="1345"/>
        <w:gridCol w:w="1181"/>
        <w:gridCol w:w="1193"/>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001-37687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46-4097528</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94" w:type="dxa"/>
        <w:jc w:val="left"/>
        <w:tblInd w:w="0" w:type="dxa"/>
        <w:tblLayout w:type="fixed"/>
        <w:tblCellMar>
          <w:top w:w="28" w:type="dxa"/>
          <w:left w:w="28" w:type="dxa"/>
          <w:bottom w:w="28" w:type="dxa"/>
          <w:right w:w="28" w:type="dxa"/>
        </w:tblCellMar>
      </w:tblPr>
      <w:tblGrid>
        <w:gridCol w:w="1218"/>
        <w:gridCol w:w="1067"/>
        <w:gridCol w:w="1074"/>
        <w:gridCol w:w="303"/>
        <w:gridCol w:w="303"/>
        <w:gridCol w:w="429"/>
      </w:tblGrid>
      <w:tr>
        <w:trPr/>
        <w:tc>
          <w:tcPr>
            <w:tcW w:w="121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 Hurley Street</w:t>
              <w:br/>
              <w:t>Cambridge, Massachusetts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02141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(617) 401-9000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w:t>
      </w:r>
    </w:p>
    <w:p>
      <w:pPr>
        <w:pStyle w:val="TextBody"/>
        <w:bidi w:val="0"/>
        <w:spacing w:lineRule="auto" w:line="288" w:before="0" w:after="12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1" w:type="dxa"/>
        <w:jc w:val="left"/>
        <w:tblInd w:w="0" w:type="dxa"/>
        <w:tblLayout w:type="fixed"/>
        <w:tblCellMar>
          <w:top w:w="28" w:type="dxa"/>
          <w:left w:w="28" w:type="dxa"/>
          <w:bottom w:w="28" w:type="dxa"/>
          <w:right w:w="28" w:type="dxa"/>
        </w:tblCellMar>
      </w:tblPr>
      <w:tblGrid>
        <w:gridCol w:w="124"/>
        <w:gridCol w:w="109"/>
        <w:gridCol w:w="109"/>
        <w:gridCol w:w="2687"/>
        <w:gridCol w:w="2687"/>
        <w:gridCol w:w="38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08" w:type="dxa"/>
        <w:jc w:val="left"/>
        <w:tblInd w:w="0" w:type="dxa"/>
        <w:tblLayout w:type="fixed"/>
        <w:tblCellMar>
          <w:top w:w="28" w:type="dxa"/>
          <w:left w:w="28" w:type="dxa"/>
          <w:bottom w:w="28" w:type="dxa"/>
          <w:right w:w="28" w:type="dxa"/>
        </w:tblCellMar>
      </w:tblPr>
      <w:tblGrid>
        <w:gridCol w:w="1176"/>
        <w:gridCol w:w="1032"/>
        <w:gridCol w:w="1032"/>
        <w:gridCol w:w="484"/>
        <w:gridCol w:w="484"/>
        <w:gridCol w:w="486"/>
        <w:gridCol w:w="970"/>
        <w:gridCol w:w="970"/>
        <w:gridCol w:w="1374"/>
      </w:tblGrid>
      <w:tr>
        <w:trPr/>
        <w:tc>
          <w:tcPr>
            <w:tcW w:w="11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EDIT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120"/>
        <w:ind w:left="0" w:right="0" w:firstLine="72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120"/>
        <w:ind w:left="0" w:right="0" w:firstLine="7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17, 2026, Editas Medicine, Inc. (the “Company”) held its 2026 Annual Meeting of Stockholders (the “2026 Annual Meeting”). The following is a summary of matters voted on at the 2026 Annual Meeting.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stockholders elected Bernadette Connaughton and Elliott Levy, M.D., to serve as Class I directors until the 2029 annual meeting of stockholders and until their successors are duly elected and qualified. The results of the stockholders’ vote with respect to the election of such Class I directors were as follows:</w:t>
      </w:r>
    </w:p>
    <w:tbl>
      <w:tblPr>
        <w:tblW w:w="5994" w:type="dxa"/>
        <w:jc w:val="left"/>
        <w:tblInd w:w="0" w:type="dxa"/>
        <w:tblLayout w:type="fixed"/>
        <w:tblCellMar>
          <w:top w:w="28" w:type="dxa"/>
          <w:left w:w="28" w:type="dxa"/>
          <w:bottom w:w="28" w:type="dxa"/>
          <w:right w:w="28" w:type="dxa"/>
        </w:tblCellMar>
      </w:tblPr>
      <w:tblGrid>
        <w:gridCol w:w="805"/>
        <w:gridCol w:w="705"/>
        <w:gridCol w:w="710"/>
        <w:gridCol w:w="109"/>
        <w:gridCol w:w="109"/>
        <w:gridCol w:w="109"/>
        <w:gridCol w:w="305"/>
        <w:gridCol w:w="305"/>
        <w:gridCol w:w="306"/>
        <w:gridCol w:w="109"/>
        <w:gridCol w:w="109"/>
        <w:gridCol w:w="109"/>
        <w:gridCol w:w="305"/>
        <w:gridCol w:w="305"/>
        <w:gridCol w:w="306"/>
        <w:gridCol w:w="109"/>
        <w:gridCol w:w="109"/>
        <w:gridCol w:w="109"/>
        <w:gridCol w:w="281"/>
        <w:gridCol w:w="281"/>
        <w:gridCol w:w="399"/>
      </w:tblGrid>
      <w:tr>
        <w:trPr/>
        <w:tc>
          <w:tcPr>
            <w:tcW w:w="8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0"/>
              <w:ind w:left="0" w:right="0" w:hanging="154"/>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0"/>
              <w:ind w:left="0" w:right="0" w:hanging="154"/>
              <w:jc w:val="center"/>
              <w:rPr/>
            </w:pPr>
            <w:r>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hanging="154"/>
              <w:jc w:val="center"/>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ind w:left="0" w:right="0" w:hanging="154"/>
              <w:jc w:val="center"/>
              <w:rPr>
                <w:rFonts w:ascii="Times New Roman;serif" w:hAnsi="Times New Roman;serif"/>
                <w:b/>
                <w:color w:val="000000"/>
                <w:sz w:val="16"/>
              </w:rPr>
            </w:pPr>
            <w:r>
              <w:rPr>
                <w:rFonts w:ascii="Times New Roman;serif" w:hAnsi="Times New Roman;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hanging="154"/>
              <w:jc w:val="center"/>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ind w:left="0" w:right="0" w:hanging="154"/>
              <w:jc w:val="center"/>
              <w:rPr>
                <w:rFonts w:ascii="Times New Roman;serif" w:hAnsi="Times New Roman;serif"/>
                <w:b/>
                <w:color w:val="000000"/>
                <w:sz w:val="16"/>
              </w:rPr>
            </w:pPr>
            <w:r>
              <w:rPr>
                <w:rFonts w:ascii="Times New Roman;serif" w:hAnsi="Times New Roman;serif"/>
                <w:b/>
                <w:color w:val="000000"/>
                <w:sz w:val="16"/>
              </w:rPr>
              <w:t>Votes</w:t>
            </w:r>
          </w:p>
          <w:p>
            <w:pPr>
              <w:pStyle w:val="TableContents"/>
              <w:bidi w:val="0"/>
              <w:spacing w:lineRule="auto" w:line="288" w:before="0" w:after="0"/>
              <w:ind w:left="0" w:right="0" w:hanging="154"/>
              <w:jc w:val="center"/>
              <w:rPr>
                <w:rFonts w:ascii="Times New Roman;serif" w:hAnsi="Times New Roman;serif"/>
                <w:b/>
                <w:color w:val="000000"/>
                <w:sz w:val="16"/>
              </w:rPr>
            </w:pPr>
            <w:r>
              <w:rPr>
                <w:rFonts w:ascii="Times New Roman;serif" w:hAnsi="Times New Roman;serif"/>
                <w:b/>
                <w:color w:val="000000"/>
                <w:sz w:val="16"/>
              </w:rPr>
              <w:t>Withheld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hanging="154"/>
              <w:jc w:val="center"/>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ind w:left="0" w:right="0" w:hanging="154"/>
              <w:jc w:val="center"/>
              <w:rPr>
                <w:rFonts w:ascii="Times New Roman;serif" w:hAnsi="Times New Roman;serif"/>
                <w:b/>
                <w:color w:val="000000"/>
                <w:sz w:val="16"/>
              </w:rPr>
            </w:pPr>
            <w:r>
              <w:rPr>
                <w:rFonts w:ascii="Times New Roman;serif" w:hAnsi="Times New Roman;serif"/>
                <w:b/>
                <w:color w:val="000000"/>
                <w:sz w:val="16"/>
              </w:rPr>
              <w:t>Broker</w:t>
            </w:r>
          </w:p>
          <w:p>
            <w:pPr>
              <w:pStyle w:val="TableContents"/>
              <w:bidi w:val="0"/>
              <w:spacing w:lineRule="auto" w:line="288" w:before="0" w:after="0"/>
              <w:ind w:left="0" w:right="0" w:hanging="154"/>
              <w:jc w:val="center"/>
              <w:rPr>
                <w:rFonts w:ascii="Times New Roman;serif" w:hAnsi="Times New Roman;serif"/>
                <w:b/>
                <w:color w:val="000000"/>
                <w:sz w:val="16"/>
              </w:rPr>
            </w:pPr>
            <w:r>
              <w:rPr>
                <w:rFonts w:ascii="Times New Roman;serif" w:hAnsi="Times New Roman;serif"/>
                <w:b/>
                <w:color w:val="000000"/>
                <w:sz w:val="16"/>
              </w:rPr>
              <w:t>Non-Votes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ind w:left="0" w:right="0" w:hanging="264"/>
              <w:jc w:val="left"/>
              <w:rPr>
                <w:rFonts w:ascii="Times New Roman;serif" w:hAnsi="Times New Roman;serif"/>
                <w:b w:val="false"/>
                <w:color w:val="000000"/>
                <w:sz w:val="20"/>
              </w:rPr>
            </w:pPr>
            <w:r>
              <w:rPr>
                <w:rFonts w:ascii="Times New Roman;serif" w:hAnsi="Times New Roman;serif"/>
                <w:b w:val="false"/>
                <w:color w:val="000000"/>
                <w:sz w:val="20"/>
              </w:rPr>
              <w:t xml:space="preserve">Bernadette Connaughton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28,660,181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10,789,549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26,404,190</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40"/>
              <w:ind w:left="0" w:right="0" w:hanging="264"/>
              <w:jc w:val="left"/>
              <w:rPr>
                <w:rFonts w:ascii="Times New Roman;serif" w:hAnsi="Times New Roman;serif"/>
                <w:b w:val="false"/>
                <w:color w:val="000000"/>
                <w:sz w:val="20"/>
              </w:rPr>
            </w:pPr>
            <w:r>
              <w:rPr>
                <w:rFonts w:ascii="Times New Roman;serif" w:hAnsi="Times New Roman;serif"/>
                <w:b w:val="false"/>
                <w:color w:val="000000"/>
                <w:sz w:val="20"/>
              </w:rPr>
              <w:t>Elliott Levy, M.D.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37,095,058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2,354,672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26,404,190</w:t>
            </w:r>
          </w:p>
        </w:tc>
      </w:tr>
    </w:tbl>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Company’s stockholders approved, on an advisory basis, the compensation paid to its named executive officers. The results of the stockholders’ non-binding, advisory vote with respect to compensation paid to the Company’s named executive officers were as follows:</w:t>
      </w:r>
    </w:p>
    <w:tbl>
      <w:tblPr>
        <w:tblW w:w="4930" w:type="dxa"/>
        <w:jc w:val="left"/>
        <w:tblInd w:w="0" w:type="dxa"/>
        <w:tblLayout w:type="fixed"/>
        <w:tblCellMar>
          <w:top w:w="28" w:type="dxa"/>
          <w:left w:w="28" w:type="dxa"/>
          <w:bottom w:w="28" w:type="dxa"/>
          <w:right w:w="28" w:type="dxa"/>
        </w:tblCellMar>
      </w:tblPr>
      <w:tblGrid>
        <w:gridCol w:w="378"/>
        <w:gridCol w:w="333"/>
        <w:gridCol w:w="340"/>
        <w:gridCol w:w="109"/>
        <w:gridCol w:w="109"/>
        <w:gridCol w:w="109"/>
        <w:gridCol w:w="309"/>
        <w:gridCol w:w="309"/>
        <w:gridCol w:w="313"/>
        <w:gridCol w:w="109"/>
        <w:gridCol w:w="109"/>
        <w:gridCol w:w="109"/>
        <w:gridCol w:w="295"/>
        <w:gridCol w:w="295"/>
        <w:gridCol w:w="296"/>
        <w:gridCol w:w="109"/>
        <w:gridCol w:w="109"/>
        <w:gridCol w:w="109"/>
        <w:gridCol w:w="316"/>
        <w:gridCol w:w="316"/>
        <w:gridCol w:w="449"/>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92" w:before="0" w:after="0"/>
              <w:ind w:left="0" w:right="0" w:hanging="154"/>
              <w:jc w:val="center"/>
              <w:rPr>
                <w:rFonts w:ascii="Times New Roman;serif" w:hAnsi="Times New Roman;serif"/>
                <w:b/>
                <w:color w:val="000000"/>
                <w:sz w:val="16"/>
              </w:rPr>
            </w:pPr>
            <w:r>
              <w:rPr>
                <w:rFonts w:ascii="Times New Roman;serif" w:hAnsi="Times New Roman;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92" w:before="0" w:after="0"/>
              <w:jc w:val="center"/>
              <w:rPr>
                <w:rFonts w:ascii="Times New Roman;serif" w:hAnsi="Times New Roman;serif"/>
                <w:b/>
                <w:color w:val="000000"/>
                <w:sz w:val="16"/>
              </w:rPr>
            </w:pPr>
            <w:r>
              <w:rPr>
                <w:rFonts w:ascii="Times New Roman;serif" w:hAnsi="Times New Roman;serif"/>
                <w:b/>
                <w:color w:val="000000"/>
                <w:sz w:val="16"/>
              </w:rPr>
              <w:t>Votes</w:t>
            </w:r>
          </w:p>
          <w:p>
            <w:pPr>
              <w:pStyle w:val="TableContents"/>
              <w:bidi w:val="0"/>
              <w:spacing w:lineRule="auto" w:line="292" w:before="0" w:after="0"/>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92" w:before="0" w:after="0"/>
              <w:jc w:val="center"/>
              <w:rPr>
                <w:rFonts w:ascii="Times New Roman;serif" w:hAnsi="Times New Roman;serif"/>
                <w:b/>
                <w:color w:val="000000"/>
                <w:sz w:val="16"/>
              </w:rPr>
            </w:pPr>
            <w:r>
              <w:rPr>
                <w:rFonts w:ascii="Times New Roman;serif" w:hAnsi="Times New Roman;serif"/>
                <w:b/>
                <w:color w:val="000000"/>
                <w:sz w:val="16"/>
              </w:rPr>
              <w:t>Votes</w:t>
            </w:r>
          </w:p>
          <w:p>
            <w:pPr>
              <w:pStyle w:val="TableContents"/>
              <w:bidi w:val="0"/>
              <w:spacing w:lineRule="auto" w:line="292" w:before="0" w:after="0"/>
              <w:jc w:val="center"/>
              <w:rPr>
                <w:rFonts w:ascii="Times New Roman;serif" w:hAnsi="Times New Roman;serif"/>
                <w:b/>
                <w:color w:val="000000"/>
                <w:sz w:val="16"/>
              </w:rPr>
            </w:pPr>
            <w:r>
              <w:rPr>
                <w:rFonts w:ascii="Times New Roman;serif" w:hAnsi="Times New Roman;serif"/>
                <w:b/>
                <w:color w:val="000000"/>
                <w:sz w:val="16"/>
              </w:rPr>
              <w:t>Abstaining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tcMar>
              <w:top w:w="0" w:type="dxa"/>
              <w:left w:w="0" w:type="dxa"/>
              <w:bottom w:w="0" w:type="dxa"/>
              <w:right w:w="0" w:type="dxa"/>
            </w:tcMar>
            <w:vAlign w:val="center"/>
          </w:tcPr>
          <w:p>
            <w:pPr>
              <w:pStyle w:val="TableContents"/>
              <w:bidi w:val="0"/>
              <w:spacing w:lineRule="auto" w:line="292" w:before="0" w:after="0"/>
              <w:jc w:val="center"/>
              <w:rPr>
                <w:rFonts w:ascii="Times New Roman;serif" w:hAnsi="Times New Roman;serif"/>
                <w:b/>
                <w:color w:val="000000"/>
                <w:sz w:val="16"/>
              </w:rPr>
            </w:pPr>
            <w:r>
              <w:rPr>
                <w:rFonts w:ascii="Times New Roman;serif" w:hAnsi="Times New Roman;serif"/>
                <w:b/>
                <w:color w:val="000000"/>
                <w:sz w:val="16"/>
              </w:rPr>
              <w:t>Broker</w:t>
            </w:r>
          </w:p>
          <w:p>
            <w:pPr>
              <w:pStyle w:val="TableContents"/>
              <w:bidi w:val="0"/>
              <w:spacing w:lineRule="auto" w:line="292" w:before="0" w:after="0"/>
              <w:jc w:val="center"/>
              <w:rPr>
                <w:rFonts w:ascii="Times New Roman;serif" w:hAnsi="Times New Roman;serif"/>
                <w:b/>
                <w:color w:val="000000"/>
                <w:sz w:val="16"/>
              </w:rPr>
            </w:pPr>
            <w:r>
              <w:rPr>
                <w:rFonts w:ascii="Times New Roman;serif" w:hAnsi="Times New Roman;serif"/>
                <w:b/>
                <w:color w:val="000000"/>
                <w:sz w:val="16"/>
              </w:rPr>
              <w:t>Non-Votes</w:t>
            </w:r>
          </w:p>
        </w:tc>
      </w:tr>
      <w:tr>
        <w:trPr/>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32,914,258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64"/>
              <w:jc w:val="left"/>
              <w:rPr/>
            </w:pPr>
            <w:r>
              <w:rPr/>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6,322,885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64"/>
              <w:jc w:val="left"/>
              <w:rPr/>
            </w:pPr>
            <w:r>
              <w:rPr/>
            </w:r>
          </w:p>
        </w:tc>
        <w:tc>
          <w:tcPr>
            <w:tcW w:w="88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64"/>
              <w:jc w:val="left"/>
              <w:rPr/>
            </w:pPr>
            <w:r>
              <w:rPr/>
            </w:r>
          </w:p>
        </w:tc>
        <w:tc>
          <w:tcPr>
            <w:tcW w:w="10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26,404,190</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Company’s stockholders ratified the selection of PricewaterhouseCoopers LLP as the Company’s independent registered public accounting firm for the fiscal year ending December 31, 2026. The results of the stockholders’ vote with respect to such ratification were as follows:</w:t>
      </w:r>
    </w:p>
    <w:tbl>
      <w:tblPr>
        <w:tblW w:w="4615" w:type="dxa"/>
        <w:jc w:val="left"/>
        <w:tblInd w:w="0" w:type="dxa"/>
        <w:tblLayout w:type="fixed"/>
        <w:tblCellMar>
          <w:top w:w="28" w:type="dxa"/>
          <w:left w:w="28" w:type="dxa"/>
          <w:bottom w:w="28" w:type="dxa"/>
          <w:right w:w="28" w:type="dxa"/>
        </w:tblCellMar>
      </w:tblPr>
      <w:tblGrid>
        <w:gridCol w:w="378"/>
        <w:gridCol w:w="333"/>
        <w:gridCol w:w="340"/>
        <w:gridCol w:w="109"/>
        <w:gridCol w:w="109"/>
        <w:gridCol w:w="109"/>
        <w:gridCol w:w="259"/>
        <w:gridCol w:w="259"/>
        <w:gridCol w:w="263"/>
        <w:gridCol w:w="109"/>
        <w:gridCol w:w="109"/>
        <w:gridCol w:w="109"/>
        <w:gridCol w:w="295"/>
        <w:gridCol w:w="295"/>
        <w:gridCol w:w="296"/>
        <w:gridCol w:w="109"/>
        <w:gridCol w:w="109"/>
        <w:gridCol w:w="109"/>
        <w:gridCol w:w="268"/>
        <w:gridCol w:w="268"/>
        <w:gridCol w:w="380"/>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4"/>
              <w:jc w:val="center"/>
              <w:rPr>
                <w:rFonts w:ascii="Times New Roman;serif" w:hAnsi="Times New Roman;serif"/>
                <w:b/>
                <w:color w:val="000000"/>
                <w:sz w:val="16"/>
              </w:rPr>
            </w:pPr>
            <w:r>
              <w:rPr>
                <w:rFonts w:ascii="Times New Roman;serif" w:hAnsi="Times New Roman;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Votes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Votes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Abstaining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Broker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Non-Votes</w:t>
            </w:r>
          </w:p>
        </w:tc>
      </w:tr>
      <w:tr>
        <w:trPr/>
        <w:tc>
          <w:tcPr>
            <w:tcW w:w="105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64,686,839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64"/>
              <w:jc w:val="left"/>
              <w:rPr/>
            </w:pPr>
            <w:r>
              <w:rPr/>
            </w:r>
          </w:p>
        </w:tc>
        <w:tc>
          <w:tcPr>
            <w:tcW w:w="7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774,471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64"/>
              <w:jc w:val="left"/>
              <w:rPr/>
            </w:pPr>
            <w:r>
              <w:rPr/>
            </w:r>
          </w:p>
        </w:tc>
        <w:tc>
          <w:tcPr>
            <w:tcW w:w="88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64"/>
              <w:jc w:val="left"/>
              <w:rPr/>
            </w:pPr>
            <w:r>
              <w:rPr/>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907"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241"/>
        <w:gridCol w:w="241"/>
        <w:gridCol w:w="241"/>
        <w:gridCol w:w="687"/>
        <w:gridCol w:w="687"/>
        <w:gridCol w:w="687"/>
        <w:gridCol w:w="290"/>
        <w:gridCol w:w="290"/>
        <w:gridCol w:w="41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EDITAS MEDICINE, INC.</w:t>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Gilmore O’Neill</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Gilmore O’Neill</w:t>
              <w:br/>
              <w:t>President &amp; Chief Executive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575</Words>
  <Characters>3681</Characters>
  <CharactersWithSpaces>4226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