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74295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83"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2" w:lineRule="exact"/>
        <w:rPr>
          <w:sz w:val="24"/>
          <w:szCs w:val="24"/>
          <w:color w:val="auto"/>
        </w:rPr>
      </w:pPr>
    </w:p>
    <w:p>
      <w:pPr>
        <w:ind w:left="3750" w:right="2840" w:hanging="3750"/>
        <w:spacing w:after="0" w:line="286" w:lineRule="auto"/>
        <w:tabs>
          <w:tab w:leader="none" w:pos="317"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spacing w:after="0" w:line="49"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3350" w:right="2540" w:hanging="3350"/>
        <w:spacing w:after="0" w:line="305" w:lineRule="auto"/>
        <w:tabs>
          <w:tab w:leader="none" w:pos="323"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 to ________</w:t>
      </w:r>
    </w:p>
    <w:p>
      <w:pPr>
        <w:spacing w:after="0" w:line="144"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Commission File Number 001-37687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93345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4"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5"/>
          <w:szCs w:val="25"/>
          <w:b w:val="1"/>
          <w:bCs w:val="1"/>
          <w:color w:val="auto"/>
        </w:rPr>
        <w:t>EDITAS MEDICINE, INC.</w:t>
      </w:r>
    </w:p>
    <w:p>
      <w:pPr>
        <w:spacing w:after="0" w:line="4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29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20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46-4097528</w:t>
            </w:r>
          </w:p>
        </w:tc>
      </w:tr>
      <w:tr>
        <w:trPr>
          <w:trHeight w:val="137"/>
        </w:trPr>
        <w:tc>
          <w:tcPr>
            <w:tcW w:w="2880" w:type="dxa"/>
            <w:vAlign w:val="bottom"/>
            <w:gridSpan w:val="3"/>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9"/>
        </w:trPr>
        <w:tc>
          <w:tcPr>
            <w:tcW w:w="80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11 Hurley Street</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76"/>
        </w:trPr>
        <w:tc>
          <w:tcPr>
            <w:tcW w:w="2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6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02141</w:t>
            </w:r>
          </w:p>
        </w:tc>
      </w:tr>
      <w:tr>
        <w:trPr>
          <w:trHeight w:val="190"/>
        </w:trPr>
        <w:tc>
          <w:tcPr>
            <w:tcW w:w="2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0" w:type="dxa"/>
            <w:vAlign w:val="bottom"/>
            <w:gridSpan w:val="2"/>
          </w:tcPr>
          <w:p>
            <w:pPr>
              <w:jc w:val="center"/>
              <w:ind w:left="1428"/>
              <w:spacing w:after="0"/>
              <w:rPr>
                <w:sz w:val="20"/>
                <w:szCs w:val="20"/>
                <w:color w:val="auto"/>
              </w:rPr>
            </w:pPr>
            <w:r>
              <w:rPr>
                <w:rFonts w:ascii="Times New Roman" w:cs="Times New Roman" w:eastAsia="Times New Roman" w:hAnsi="Times New Roman"/>
                <w:sz w:val="14"/>
                <w:szCs w:val="14"/>
                <w:b w:val="1"/>
                <w:bCs w:val="1"/>
                <w:color w:val="auto"/>
              </w:rPr>
              <w:t>(617) 401-9000</w:t>
            </w:r>
          </w:p>
        </w:tc>
        <w:tc>
          <w:tcPr>
            <w:tcW w:w="158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175"/>
        </w:trPr>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60" w:type="dxa"/>
            <w:vAlign w:val="bottom"/>
          </w:tcPr>
          <w:p>
            <w:pPr>
              <w:spacing w:after="0"/>
              <w:rPr>
                <w:sz w:val="15"/>
                <w:szCs w:val="15"/>
                <w:color w:val="auto"/>
              </w:rPr>
            </w:pPr>
          </w:p>
        </w:tc>
      </w:tr>
      <w:tr>
        <w:trPr>
          <w:trHeight w:val="190"/>
        </w:trPr>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660" w:type="dxa"/>
            <w:vAlign w:val="bottom"/>
          </w:tcPr>
          <w:p>
            <w:pPr>
              <w:spacing w:after="0"/>
              <w:rPr>
                <w:sz w:val="16"/>
                <w:szCs w:val="16"/>
                <w:color w:val="auto"/>
              </w:rPr>
            </w:pPr>
          </w:p>
        </w:tc>
      </w:tr>
      <w:tr>
        <w:trPr>
          <w:trHeight w:val="266"/>
        </w:trPr>
        <w:tc>
          <w:tcPr>
            <w:tcW w:w="800" w:type="dxa"/>
            <w:vAlign w:val="bottom"/>
          </w:tcPr>
          <w:p>
            <w:pPr>
              <w:spacing w:after="0"/>
              <w:rPr>
                <w:sz w:val="23"/>
                <w:szCs w:val="23"/>
                <w:color w:val="auto"/>
              </w:rPr>
            </w:pPr>
          </w:p>
        </w:tc>
        <w:tc>
          <w:tcPr>
            <w:tcW w:w="20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23"/>
                <w:szCs w:val="23"/>
                <w:color w:val="auto"/>
              </w:rPr>
            </w:pPr>
          </w:p>
        </w:tc>
        <w:tc>
          <w:tcPr>
            <w:tcW w:w="272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186"/>
        </w:trPr>
        <w:tc>
          <w:tcPr>
            <w:tcW w:w="2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1260" w:type="dxa"/>
            <w:vAlign w:val="bottom"/>
          </w:tcPr>
          <w:p>
            <w:pPr>
              <w:spacing w:after="0"/>
              <w:rPr>
                <w:sz w:val="16"/>
                <w:szCs w:val="16"/>
                <w:color w:val="auto"/>
              </w:rPr>
            </w:pPr>
          </w:p>
        </w:tc>
        <w:tc>
          <w:tcPr>
            <w:tcW w:w="272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EDIT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255"/>
        </w:trPr>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2660" w:type="dxa"/>
            <w:vAlign w:val="bottom"/>
          </w:tcPr>
          <w:p>
            <w:pPr>
              <w:spacing w:after="0"/>
              <w:rPr>
                <w:sz w:val="22"/>
                <w:szCs w:val="22"/>
                <w:color w:val="auto"/>
              </w:rPr>
            </w:pPr>
          </w:p>
        </w:tc>
      </w:tr>
      <w:tr>
        <w:trPr>
          <w:trHeight w:val="190"/>
        </w:trPr>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None</w:t>
            </w:r>
          </w:p>
        </w:tc>
        <w:tc>
          <w:tcPr>
            <w:tcW w:w="26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74930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7" w:lineRule="exact"/>
        <w:rPr>
          <w:sz w:val="24"/>
          <w:szCs w:val="24"/>
          <w:color w:val="auto"/>
        </w:rPr>
      </w:pPr>
    </w:p>
    <w:p>
      <w:pPr>
        <w:ind w:left="650" w:right="2800"/>
        <w:spacing w:after="0" w:line="22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8" w:lineRule="exact"/>
        <w:rPr>
          <w:sz w:val="24"/>
          <w:szCs w:val="24"/>
          <w:color w:val="auto"/>
        </w:rPr>
      </w:pPr>
    </w:p>
    <w:p>
      <w:pPr>
        <w:ind w:left="10" w:right="8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10" w:right="200" w:firstLine="648"/>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2" w:lineRule="exact"/>
        <w:rPr>
          <w:sz w:val="24"/>
          <w:szCs w:val="24"/>
          <w:color w:val="auto"/>
        </w:rPr>
      </w:pPr>
    </w:p>
    <w:p>
      <w:pPr>
        <w:ind w:left="10" w:right="280" w:firstLine="648"/>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650" w:type="dxa"/>
        <w:tblCellMar>
          <w:top w:w="0" w:type="dxa"/>
          <w:left w:w="0" w:type="dxa"/>
          <w:bottom w:w="0" w:type="dxa"/>
          <w:right w:w="0" w:type="dxa"/>
        </w:tblCellMar>
      </w:tblPr>
      <w:tr>
        <w:trPr>
          <w:trHeight w:val="19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8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392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Accelerated filer</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8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392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2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Emerging growth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5" w:lineRule="exact"/>
        <w:rPr>
          <w:sz w:val="24"/>
          <w:szCs w:val="24"/>
          <w:color w:val="auto"/>
        </w:rPr>
      </w:pPr>
    </w:p>
    <w:p>
      <w:pPr>
        <w:ind w:left="10" w:right="200" w:firstLine="648"/>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2" w:lineRule="exact"/>
        <w:rPr>
          <w:sz w:val="24"/>
          <w:szCs w:val="24"/>
          <w:color w:val="auto"/>
        </w:rPr>
      </w:pPr>
    </w:p>
    <w:p>
      <w:pPr>
        <w:ind w:left="10" w:right="160" w:firstLine="648"/>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06" w:lineRule="exact"/>
        <w:rPr>
          <w:sz w:val="24"/>
          <w:szCs w:val="24"/>
          <w:color w:val="auto"/>
        </w:rPr>
      </w:pPr>
    </w:p>
    <w:p>
      <w:pPr>
        <w:ind w:left="10" w:right="220" w:firstLine="648"/>
        <w:spacing w:after="0" w:line="150"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06" w:lineRule="exact"/>
        <w:rPr>
          <w:sz w:val="24"/>
          <w:szCs w:val="24"/>
          <w:color w:val="auto"/>
        </w:rPr>
      </w:pPr>
    </w:p>
    <w:p>
      <w:pPr>
        <w:ind w:left="10" w:right="460" w:firstLine="648"/>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72" w:lineRule="exact"/>
        <w:rPr>
          <w:sz w:val="24"/>
          <w:szCs w:val="24"/>
          <w:color w:val="auto"/>
        </w:rPr>
      </w:pPr>
    </w:p>
    <w:p>
      <w:pPr>
        <w:ind w:left="65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5" w:lineRule="exact"/>
        <w:rPr>
          <w:sz w:val="24"/>
          <w:szCs w:val="24"/>
          <w:color w:val="auto"/>
        </w:rPr>
      </w:pPr>
    </w:p>
    <w:p>
      <w:pPr>
        <w:ind w:left="10" w:right="360" w:firstLine="648"/>
        <w:spacing w:after="0" w:line="229" w:lineRule="auto"/>
        <w:rPr>
          <w:sz w:val="20"/>
          <w:szCs w:val="20"/>
          <w:color w:val="auto"/>
        </w:rPr>
      </w:pPr>
      <w:r>
        <w:rPr>
          <w:rFonts w:ascii="Times New Roman" w:cs="Times New Roman" w:eastAsia="Times New Roman" w:hAnsi="Times New Roman"/>
          <w:sz w:val="13"/>
          <w:szCs w:val="13"/>
          <w:color w:val="auto"/>
        </w:rPr>
        <w:t>As of June 30, 2022, the last business day of the registrant’s most recently completed second fiscal quarter, the aggregate market value of the registrant’s Common Stock held by non-affiliates of the registrant was approximately $633,806,647 based upon the closing price of the registrant’s Common Stock on June 30, 2022.</w:t>
      </w:r>
    </w:p>
    <w:p>
      <w:pPr>
        <w:spacing w:after="0" w:line="106"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February 17, 2023 was 68,970,188.</w:t>
      </w:r>
    </w:p>
    <w:p>
      <w:pPr>
        <w:spacing w:after="0" w:line="105" w:lineRule="exact"/>
        <w:rPr>
          <w:sz w:val="24"/>
          <w:szCs w:val="24"/>
          <w:color w:val="auto"/>
        </w:rPr>
      </w:pPr>
    </w:p>
    <w:p>
      <w:pPr>
        <w:ind w:left="367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 w:lineRule="exact"/>
        <w:rPr>
          <w:sz w:val="24"/>
          <w:szCs w:val="24"/>
          <w:color w:val="auto"/>
        </w:rPr>
      </w:pPr>
    </w:p>
    <w:p>
      <w:pPr>
        <w:ind w:left="10" w:firstLine="648"/>
        <w:spacing w:after="0" w:line="239"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2023 Annual Meeting of Stockholders to be filed pursuant to Regulation 14A within 120 days of the end of the registrant’s fiscal year ended December 31, 2022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559435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70485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113665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90"/>
          </w:cols>
          <w:pgMar w:left="830" w:top="661" w:right="87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gridSpan w:val="1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Editas Medicine, Inc.</w:t>
            </w:r>
          </w:p>
        </w:tc>
        <w:tc>
          <w:tcPr>
            <w:tcW w:w="44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1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r>
      <w:tr>
        <w:trPr>
          <w:trHeight w:val="391"/>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89"/>
              </w:rPr>
              <w:t>PART I</w:t>
            </w:r>
          </w:p>
        </w:tc>
        <w:tc>
          <w:tcPr>
            <w:tcW w:w="2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5"/>
          </w:tcPr>
          <w:p>
            <w:pPr>
              <w:spacing w:after="0"/>
              <w:rPr>
                <w:sz w:val="24"/>
                <w:szCs w:val="24"/>
                <w:color w:val="auto"/>
              </w:rPr>
            </w:pPr>
          </w:p>
        </w:tc>
        <w:tc>
          <w:tcPr>
            <w:tcW w:w="7620" w:type="dxa"/>
            <w:vAlign w:val="bottom"/>
            <w:gridSpan w:val="24"/>
          </w:tcPr>
          <w:p>
            <w:pPr>
              <w:ind w:left="120"/>
              <w:spacing w:after="0"/>
              <w:rPr>
                <w:sz w:val="20"/>
                <w:szCs w:val="20"/>
                <w:color w:val="auto"/>
              </w:rPr>
            </w:pPr>
            <w:r>
              <w:rPr>
                <w:rFonts w:ascii="Times New Roman" w:cs="Times New Roman" w:eastAsia="Times New Roman" w:hAnsi="Times New Roman"/>
                <w:sz w:val="18"/>
                <w:szCs w:val="18"/>
                <w:color w:val="0000EE"/>
              </w:rPr>
              <w:t>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1A.</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1B.</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80" w:type="dxa"/>
            <w:vAlign w:val="bottom"/>
          </w:tcPr>
          <w:p>
            <w:pPr>
              <w:spacing w:after="0"/>
              <w:rPr>
                <w:sz w:val="17"/>
                <w:szCs w:val="17"/>
                <w:color w:val="auto"/>
              </w:rPr>
            </w:pP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20" w:type="dxa"/>
            <w:vAlign w:val="bottom"/>
            <w:gridSpan w:val="5"/>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320" w:type="dxa"/>
            <w:vAlign w:val="bottom"/>
            <w:gridSpan w:val="5"/>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1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12"/>
        </w:trPr>
        <w:tc>
          <w:tcPr>
            <w:tcW w:w="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620" w:type="dxa"/>
            <w:vAlign w:val="bottom"/>
            <w:gridSpan w:val="24"/>
          </w:tcPr>
          <w:p>
            <w:pPr>
              <w:ind w:left="120"/>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44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6420" w:type="dxa"/>
            <w:vAlign w:val="bottom"/>
            <w:tcBorders>
              <w:top w:val="single" w:sz="8" w:color="0000EE"/>
            </w:tcBorders>
            <w:gridSpan w:val="16"/>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20" w:type="dxa"/>
            <w:vAlign w:val="bottom"/>
            <w:gridSpan w:val="5"/>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320" w:type="dxa"/>
            <w:vAlign w:val="bottom"/>
            <w:gridSpan w:val="5"/>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4"/>
              </w:rPr>
              <w:t>Item 7A.</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80" w:type="dxa"/>
            <w:vAlign w:val="bottom"/>
          </w:tcPr>
          <w:p>
            <w:pPr>
              <w:spacing w:after="0"/>
              <w:rPr>
                <w:sz w:val="17"/>
                <w:szCs w:val="17"/>
                <w:color w:val="auto"/>
              </w:rPr>
            </w:pP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320" w:type="dxa"/>
            <w:vAlign w:val="bottom"/>
            <w:gridSpan w:val="5"/>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4"/>
              </w:rPr>
              <w:t>Item 9A.</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9C</w:t>
            </w:r>
            <w:r>
              <w:rPr>
                <w:rFonts w:ascii="Times New Roman" w:cs="Times New Roman" w:eastAsia="Times New Roman" w:hAnsi="Times New Roman"/>
                <w:sz w:val="18"/>
                <w:szCs w:val="18"/>
                <w:color w:val="000000"/>
                <w:w w:val="85"/>
              </w:rPr>
              <w:t>.</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240" w:type="dxa"/>
            <w:vAlign w:val="bottom"/>
            <w:gridSpan w:val="4"/>
          </w:tcPr>
          <w:p>
            <w:pPr>
              <w:spacing w:after="0"/>
              <w:rPr>
                <w:sz w:val="24"/>
                <w:szCs w:val="24"/>
                <w:color w:val="auto"/>
              </w:rPr>
            </w:pPr>
          </w:p>
        </w:tc>
        <w:tc>
          <w:tcPr>
            <w:tcW w:w="7620" w:type="dxa"/>
            <w:vAlign w:val="bottom"/>
            <w:gridSpan w:val="24"/>
          </w:tcPr>
          <w:p>
            <w:pPr>
              <w:ind w:left="12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412"/>
        </w:trPr>
        <w:tc>
          <w:tcPr>
            <w:tcW w:w="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120" w:type="dxa"/>
            <w:vAlign w:val="bottom"/>
            <w:tcBorders>
              <w:top w:val="single" w:sz="8" w:color="0000EE"/>
            </w:tcBorders>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7620" w:type="dxa"/>
            <w:vAlign w:val="bottom"/>
            <w:gridSpan w:val="24"/>
          </w:tcPr>
          <w:p>
            <w:pPr>
              <w:ind w:left="120"/>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w:t>
            </w:r>
          </w:p>
        </w:tc>
        <w:tc>
          <w:tcPr>
            <w:tcW w:w="240" w:type="dxa"/>
            <w:vAlign w:val="bottom"/>
            <w:gridSpan w:val="4"/>
          </w:tcPr>
          <w:p>
            <w:pPr>
              <w:spacing w:after="0"/>
              <w:rPr>
                <w:sz w:val="17"/>
                <w:szCs w:val="17"/>
                <w:color w:val="auto"/>
              </w:rPr>
            </w:pPr>
          </w:p>
        </w:tc>
        <w:tc>
          <w:tcPr>
            <w:tcW w:w="76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4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References to Editas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Throughout this Annual Report on Form 10-K, the “Company,” “Editas,” “Editas Medicine,” “we,” “us,” and “our,” except where the context requires otherwise, refer to Editas Medicine, Inc. and its consolidated subsidiary, and “our board of directors” refers to the board of directors of Editas Medicine, Inc.</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2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regarding, among other things, the initiation, timing, progress and results of our preclinical and clinical studies and our research and development programs, the timing for our receipt and presentation of data from our clinical trials and preclinical studies, potential of, and expectations for, our product candidates, the timing or likelihood of regulatory filings and approvals, our expectations regarding cash runway, and our business strategy, and other objectives for our operations.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entitled “Risk Factors” in Part I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9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87" w:lineRule="exact"/>
        <w:rPr>
          <w:sz w:val="20"/>
          <w:szCs w:val="20"/>
          <w:color w:val="auto"/>
        </w:rPr>
      </w:pPr>
    </w:p>
    <w:p>
      <w:pPr>
        <w:ind w:left="60" w:right="159" w:firstLine="648"/>
        <w:spacing w:after="0" w:line="270" w:lineRule="auto"/>
        <w:rPr>
          <w:sz w:val="20"/>
          <w:szCs w:val="20"/>
          <w:color w:val="auto"/>
        </w:rPr>
      </w:pPr>
      <w:r>
        <w:rPr>
          <w:rFonts w:ascii="Times New Roman" w:cs="Times New Roman" w:eastAsia="Times New Roman" w:hAnsi="Times New Roman"/>
          <w:sz w:val="17"/>
          <w:szCs w:val="17"/>
          <w:color w:val="auto"/>
        </w:rPr>
        <w:t>This Annual Report on Form 10-K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ind w:left="720" w:right="139" w:hanging="319"/>
        <w:spacing w:after="0" w:line="276" w:lineRule="auto"/>
        <w:tabs>
          <w:tab w:leader="none" w:pos="7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are dependent on the success of our lead product candidate, EDIT-301, which is in clinical development. Clinical trials of product candidates may not be successful. If we are unable to complete the clinical development of, obtain marketing approval for, or successfully commercialize this product candidate, either alone or with a collaborator, or if we experience significant delays in doing so, our business would be substantially harmed.</w:t>
      </w:r>
    </w:p>
    <w:p>
      <w:pPr>
        <w:spacing w:after="0" w:line="167" w:lineRule="exact"/>
        <w:rPr>
          <w:rFonts w:ascii="Times New Roman" w:cs="Times New Roman" w:eastAsia="Times New Roman" w:hAnsi="Times New Roman"/>
          <w:sz w:val="17"/>
          <w:szCs w:val="17"/>
          <w:color w:val="auto"/>
        </w:rPr>
      </w:pPr>
    </w:p>
    <w:p>
      <w:pPr>
        <w:ind w:left="720" w:right="219" w:hanging="319"/>
        <w:spacing w:after="0" w:line="28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inception. We expect to incur losses for the foreseeable future and may never achieve or maintain profitability.</w:t>
      </w:r>
    </w:p>
    <w:p>
      <w:pPr>
        <w:spacing w:after="0" w:line="158" w:lineRule="exact"/>
        <w:rPr>
          <w:rFonts w:ascii="Times New Roman" w:cs="Times New Roman" w:eastAsia="Times New Roman" w:hAnsi="Times New Roman"/>
          <w:sz w:val="18"/>
          <w:szCs w:val="18"/>
          <w:color w:val="auto"/>
        </w:rPr>
      </w:pPr>
    </w:p>
    <w:p>
      <w:pPr>
        <w:ind w:left="720" w:right="99" w:hanging="319"/>
        <w:spacing w:after="0" w:line="28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need substantial additional funding, which may cause dilution to our stockholders, restrict our operations or require us to relinquish rights to our technologies or product candidates.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never generated revenue from product sales and may never be profitable.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intend to identify and develop product candidates based on a novel genome editing technology, which makes it difficult to predict the time and cost of product candidate development.</w:t>
      </w:r>
    </w:p>
    <w:p>
      <w:pPr>
        <w:spacing w:after="0" w:line="158" w:lineRule="exact"/>
        <w:rPr>
          <w:rFonts w:ascii="Times New Roman" w:cs="Times New Roman" w:eastAsia="Times New Roman" w:hAnsi="Times New Roman"/>
          <w:sz w:val="18"/>
          <w:szCs w:val="18"/>
          <w:color w:val="auto"/>
        </w:rPr>
      </w:pPr>
    </w:p>
    <w:p>
      <w:pPr>
        <w:ind w:left="720" w:right="439" w:hanging="319"/>
        <w:spacing w:after="0" w:line="28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requirements governing genetic medicines, and in particular any novel genetic medicines we may develop, have changed frequently and may continue to change in the future.</w:t>
      </w:r>
    </w:p>
    <w:p>
      <w:pPr>
        <w:spacing w:after="0" w:line="158" w:lineRule="exact"/>
        <w:rPr>
          <w:rFonts w:ascii="Times New Roman" w:cs="Times New Roman" w:eastAsia="Times New Roman" w:hAnsi="Times New Roman"/>
          <w:sz w:val="18"/>
          <w:szCs w:val="18"/>
          <w:color w:val="auto"/>
        </w:rPr>
      </w:pPr>
    </w:p>
    <w:p>
      <w:pPr>
        <w:ind w:left="720" w:right="659" w:hanging="319"/>
        <w:spacing w:after="0" w:line="28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public perception of genomic medicines, and genome editing in particular, may negatively impact regulatory approval of, or demand for, our potential products.</w:t>
      </w:r>
    </w:p>
    <w:p>
      <w:pPr>
        <w:spacing w:after="0" w:line="158" w:lineRule="exact"/>
        <w:rPr>
          <w:rFonts w:ascii="Times New Roman" w:cs="Times New Roman" w:eastAsia="Times New Roman" w:hAnsi="Times New Roman"/>
          <w:sz w:val="18"/>
          <w:szCs w:val="18"/>
          <w:color w:val="auto"/>
        </w:rPr>
      </w:pPr>
    </w:p>
    <w:p>
      <w:pPr>
        <w:ind w:left="720" w:right="139" w:hanging="319"/>
        <w:spacing w:after="0" w:line="290"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genome editing field is relatively new and is evolving rapidly. We are focusing our research and development efforts on CRISPR gene editing technology using Cas9 and Cas12a enzymes, but other genome editing technologies may be discovered that provide significant advantages over CRISPR/Cas9 or CRISPR/Cas12a.</w:t>
      </w:r>
    </w:p>
    <w:p>
      <w:pPr>
        <w:spacing w:after="0" w:line="155" w:lineRule="exact"/>
        <w:rPr>
          <w:rFonts w:ascii="Times New Roman" w:cs="Times New Roman" w:eastAsia="Times New Roman" w:hAnsi="Times New Roman"/>
          <w:sz w:val="17"/>
          <w:szCs w:val="17"/>
          <w:color w:val="auto"/>
        </w:rPr>
      </w:pPr>
    </w:p>
    <w:p>
      <w:pPr>
        <w:ind w:left="720" w:right="219" w:hanging="319"/>
        <w:spacing w:after="0" w:line="28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 for EDIT-301, all of our ongoing product development programs are at the preclinical or research stage. Preclinical testing and clinical trials of product candidates may not be successful.</w:t>
      </w:r>
    </w:p>
    <w:p>
      <w:pPr>
        <w:spacing w:after="0" w:line="158" w:lineRule="exact"/>
        <w:rPr>
          <w:rFonts w:ascii="Times New Roman" w:cs="Times New Roman" w:eastAsia="Times New Roman" w:hAnsi="Times New Roman"/>
          <w:sz w:val="18"/>
          <w:szCs w:val="18"/>
          <w:color w:val="auto"/>
        </w:rPr>
      </w:pPr>
    </w:p>
    <w:p>
      <w:pPr>
        <w:ind w:left="720" w:right="159" w:hanging="319"/>
        <w:spacing w:after="0" w:line="281"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If serious adverse events, undesirable side effects, or unexpected characteristics are identified during the development of any product candidates we develop, we may need to abandon or limit our further clinical development of those product candidates, and it may delay or prevent their regulatory approval, limit the commercial potential, or result in significant negative consequences following any potential marketing approval.</w:t>
      </w:r>
    </w:p>
    <w:p>
      <w:pPr>
        <w:spacing w:after="0" w:line="147"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We have not extensively tested any of our proposed delivery modes and product candidates in clinical trials.</w:t>
      </w:r>
    </w:p>
    <w:p>
      <w:pPr>
        <w:spacing w:after="0" w:line="222" w:lineRule="exact"/>
        <w:rPr>
          <w:rFonts w:ascii="Times New Roman" w:cs="Times New Roman" w:eastAsia="Times New Roman" w:hAnsi="Times New Roman"/>
          <w:sz w:val="22"/>
          <w:szCs w:val="22"/>
          <w:color w:val="auto"/>
        </w:rPr>
      </w:pPr>
    </w:p>
    <w:p>
      <w:pPr>
        <w:ind w:left="720" w:right="459" w:hanging="319"/>
        <w:spacing w:after="0" w:line="26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significant competition in an environment of rapid technological change, and our competitors may achieve regulatory approval before us or develop therapies that are safer or more advanced or effective than ours.</w:t>
      </w:r>
    </w:p>
    <w:p>
      <w:pPr>
        <w:spacing w:after="0" w:line="173" w:lineRule="exact"/>
        <w:rPr>
          <w:rFonts w:ascii="Times New Roman" w:cs="Times New Roman" w:eastAsia="Times New Roman" w:hAnsi="Times New Roman"/>
          <w:sz w:val="18"/>
          <w:szCs w:val="18"/>
          <w:color w:val="auto"/>
        </w:rPr>
      </w:pPr>
    </w:p>
    <w:p>
      <w:pPr>
        <w:ind w:left="720" w:right="99" w:hanging="319"/>
        <w:spacing w:after="0" w:line="26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to the novel nature of our technology and the potential for some of our product candidates to offer therapeutic benefit in a single administration or limited number of administrations, we face uncertainty related to pricing and reimbursement for these product candidates.</w:t>
      </w:r>
    </w:p>
    <w:p>
      <w:pPr>
        <w:spacing w:after="0" w:line="173"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Genomic medicines are novel, and our product candidates may be complex and difficult to manufacture. We could experience production problems that result in delays in our development or commercialization programs, limit the supply of our products, or otherwise harm our business.</w:t>
      </w:r>
    </w:p>
    <w:p>
      <w:pPr>
        <w:spacing w:after="0" w:line="173" w:lineRule="exact"/>
        <w:rPr>
          <w:rFonts w:ascii="Times New Roman" w:cs="Times New Roman" w:eastAsia="Times New Roman" w:hAnsi="Times New Roman"/>
          <w:sz w:val="18"/>
          <w:szCs w:val="18"/>
          <w:color w:val="auto"/>
        </w:rPr>
      </w:pPr>
    </w:p>
    <w:p>
      <w:pPr>
        <w:ind w:left="720" w:right="119" w:hanging="319"/>
        <w:spacing w:after="0" w:line="26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expect to depend on collaborations with third parties for the research, development, and commercialization of certain of the product candidates we develop, for development of certain of our research programs, and to conduct our clinical trials and some aspects of our research and preclinical testing.</w:t>
      </w:r>
    </w:p>
    <w:p>
      <w:pPr>
        <w:spacing w:after="0" w:line="173"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w:t>
      </w:r>
    </w:p>
    <w:p>
      <w:pPr>
        <w:spacing w:after="0" w:line="196" w:lineRule="exact"/>
        <w:rPr>
          <w:rFonts w:ascii="Times New Roman" w:cs="Times New Roman" w:eastAsia="Times New Roman" w:hAnsi="Times New Roman"/>
          <w:sz w:val="18"/>
          <w:szCs w:val="18"/>
          <w:color w:val="auto"/>
        </w:rPr>
      </w:pPr>
    </w:p>
    <w:p>
      <w:pPr>
        <w:ind w:left="720" w:right="139" w:hanging="319"/>
        <w:spacing w:after="0" w:line="181" w:lineRule="auto"/>
        <w:tabs>
          <w:tab w:leader="none" w:pos="72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6"/>
          <w:szCs w:val="16"/>
          <w:i w:val="1"/>
          <w:iCs w:val="1"/>
          <w:color w:val="auto"/>
        </w:rPr>
        <w:t>Our rights to develop and commercialize our technology and product candidates are subject, in part, to the terms and conditions of licenses granted to us by others.</w:t>
      </w:r>
    </w:p>
    <w:p>
      <w:pPr>
        <w:spacing w:after="0" w:line="197" w:lineRule="exact"/>
        <w:rPr>
          <w:rFonts w:ascii="Times New Roman" w:cs="Times New Roman" w:eastAsia="Times New Roman" w:hAnsi="Times New Roman"/>
          <w:sz w:val="36"/>
          <w:szCs w:val="36"/>
          <w:color w:val="auto"/>
          <w:vertAlign w:val="subscript"/>
        </w:rPr>
      </w:pPr>
    </w:p>
    <w:p>
      <w:pPr>
        <w:ind w:left="720" w:right="219" w:hanging="319"/>
        <w:spacing w:after="0" w:line="315"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Some of our in-licensed patents are subject to priority and validity disputes. Our owned and in-licensed patents, patent applications and other intellectual property may be subject to further priority and validity disputes, and</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119"/>
        <w:spacing w:after="0" w:line="261" w:lineRule="auto"/>
        <w:rPr>
          <w:sz w:val="20"/>
          <w:szCs w:val="20"/>
          <w:color w:val="auto"/>
        </w:rPr>
      </w:pPr>
      <w:r>
        <w:rPr>
          <w:rFonts w:ascii="Times New Roman" w:cs="Times New Roman" w:eastAsia="Times New Roman" w:hAnsi="Times New Roman"/>
          <w:sz w:val="18"/>
          <w:szCs w:val="18"/>
          <w:i w:val="1"/>
          <w:iCs w:val="1"/>
          <w:color w:val="auto"/>
        </w:rPr>
        <w:t>other similar intellectual property proceedings including inventorship disputes.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develop.</w:t>
      </w:r>
    </w:p>
    <w:p>
      <w:pPr>
        <w:spacing w:after="0" w:line="166" w:lineRule="exact"/>
        <w:rPr>
          <w:sz w:val="20"/>
          <w:szCs w:val="20"/>
          <w:color w:val="auto"/>
        </w:rPr>
      </w:pPr>
    </w:p>
    <w:p>
      <w:pPr>
        <w:ind w:left="720" w:right="619" w:hanging="319"/>
        <w:spacing w:after="0" w:line="26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we complete the necessary preclinical studies and clinical trials, the marketing approval process is expensive, time-consuming, and uncertain and may prevent us from obtaining approvals for the commercialization of any of our product candidates.</w:t>
      </w:r>
    </w:p>
    <w:p>
      <w:pPr>
        <w:spacing w:after="0" w:line="173" w:lineRule="exact"/>
        <w:rPr>
          <w:rFonts w:ascii="Times New Roman" w:cs="Times New Roman" w:eastAsia="Times New Roman" w:hAnsi="Times New Roman"/>
          <w:sz w:val="18"/>
          <w:szCs w:val="18"/>
          <w:color w:val="auto"/>
        </w:rPr>
      </w:pPr>
    </w:p>
    <w:p>
      <w:pPr>
        <w:ind w:left="720" w:right="159" w:hanging="319"/>
        <w:spacing w:after="0" w:line="28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success depends on our ability to attract and retain key executives and to attract, retain, and motivate qualified personnel.</w:t>
      </w:r>
    </w:p>
    <w:p>
      <w:pPr>
        <w:spacing w:after="0" w:line="158" w:lineRule="exact"/>
        <w:rPr>
          <w:rFonts w:ascii="Times New Roman" w:cs="Times New Roman" w:eastAsia="Times New Roman" w:hAnsi="Times New Roman"/>
          <w:sz w:val="18"/>
          <w:szCs w:val="18"/>
          <w:color w:val="auto"/>
        </w:rPr>
      </w:pPr>
    </w:p>
    <w:p>
      <w:pPr>
        <w:ind w:left="720" w:right="919" w:hanging="319"/>
        <w:spacing w:after="0" w:line="28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of our common stock may be volatile, which could result in substantial losses for our stockholders.</w:t>
      </w:r>
    </w:p>
    <w:p>
      <w:pPr>
        <w:spacing w:after="0" w:line="158" w:lineRule="exact"/>
        <w:rPr>
          <w:rFonts w:ascii="Times New Roman" w:cs="Times New Roman" w:eastAsia="Times New Roman" w:hAnsi="Times New Roman"/>
          <w:sz w:val="18"/>
          <w:szCs w:val="18"/>
          <w:color w:val="auto"/>
        </w:rPr>
      </w:pPr>
    </w:p>
    <w:p>
      <w:pPr>
        <w:ind w:left="720" w:right="259" w:hanging="319"/>
        <w:spacing w:after="0" w:line="28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do not expect to pay any dividends for the foreseeable future. Accordingly, stockholders must rely on capital appreciation, if any, for any return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are a clinical stage genome editing company dedicated to developing potentially transformative genomic medicines to treat a broad range of serious diseases. The promise of genomic medicines is supported by the advancing knowledge of the human genome and by harnessing the progress in technologies for cell therapy, gene therapy, and, most recently, gene editing. We believe this progress sets the stage for us to create medicines with the potential to have a durable benefit for patients. Our core capability in gene editing uses the technology known as CRISPR (clustered, regularly interspaced, short palindromic repeats) to allow us to create molecules that efficiently and specifically edit DNA. Our mission is to translate the promise of gene editing into a broad class of differentiated, transformational medicines for previously untreatable or under-treated diseases.</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developed a proprietary gene editing platform based on CRISPR technology and we continue to expand its capabilities. CRISPR uses a protein-RNA complex composed of an enzyme, including either Cas9 (CRISPR associated protein 9) or Cas12a (CRISPR from </w:t>
      </w:r>
      <w:r>
        <w:rPr>
          <w:rFonts w:ascii="Times New Roman" w:cs="Times New Roman" w:eastAsia="Times New Roman" w:hAnsi="Times New Roman"/>
          <w:sz w:val="18"/>
          <w:szCs w:val="18"/>
          <w:i w:val="1"/>
          <w:iCs w:val="1"/>
          <w:color w:val="auto"/>
        </w:rPr>
        <w:t>Prevotella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Francisella</w:t>
      </w:r>
      <w:r>
        <w:rPr>
          <w:rFonts w:ascii="Times New Roman" w:cs="Times New Roman" w:eastAsia="Times New Roman" w:hAnsi="Times New Roman"/>
          <w:sz w:val="18"/>
          <w:szCs w:val="18"/>
          <w:color w:val="auto"/>
        </w:rPr>
        <w:t xml:space="preserve"> 1, also known as Cpf1), bound to a guide RNA molecule designed to recognize a particular DNA sequence. Once the complex binds to the DNA sequence it is designed to recognize, the complex makes a specific cut in the DNA. We believe we are the only human genome editing company with a platform that includes CRISPR/Cas9, CRISPR/Cas12a, engineered forms of both of these CRISPR systems, and foundational intellectual property for both of these CRISPR systems. Because of the broad nature of this platform, we believe we can create gene editing molecules for over 95% of the human genome.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1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seek to be a leader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programmable gene editing, leveraging cutting edge gene editing technology to deliver therapies that simplify the usability for patients, minimize the burdens to patients and healthcare systems, and are meaningfully differentiated from the current standards of care. To achieve this, we are focused on advancing gene editing medicines to treat hemoglobinopathies, beginning with the continued development of our current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EDIT-301 program and leveraging the insights gained from this program to pursue next generation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targeting hematopoietic stem cells (“HSCs”). In parallel, we are pursuing the development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for other organs and tissues that we believe will significantly differentiate our genome editing approach from the current standards of care for serious diseases. As part of these efforts, we are using existing strategic partnerships and collaborations and pursuing further opportunities to extend the reach of our intellectual property portfolio and access complementary technologies to expedite our drug discovery and clinical execution objectives.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Ex vivo </w:t>
      </w:r>
      <w:r>
        <w:rPr>
          <w:rFonts w:ascii="Times New Roman" w:cs="Times New Roman" w:eastAsia="Times New Roman" w:hAnsi="Times New Roman"/>
          <w:sz w:val="18"/>
          <w:szCs w:val="18"/>
          <w:i w:val="1"/>
          <w:iCs w:val="1"/>
          <w:color w:val="auto"/>
        </w:rPr>
        <w:t>Hemoglobinopathies</w:t>
      </w:r>
    </w:p>
    <w:p>
      <w:pPr>
        <w:spacing w:after="0" w:line="227"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 xml:space="preserve">Using our proprietary AsCas12a enzyme, we can efficiently and specifically edit HSCs, which we believe can lead to best-in-class medicines for hemoglobinopathies. Our lead program, EDIT-301, is an experimental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gene-edited medicine to treat sickle cell disease (“SCD”), a severe inherited blood disease that causes premature death, and transfusion-dependent beta thalassemia (“TDT”), the most severe form of beta-thalassemia, an inherited blood disorder characterized by severe anemia. In the second quarter of 2022, we dosed the first patient in our Phase 1/2 clinical trial of EDIT-301, which we refer to as our RUBY trial, for the treatment of severe SCD, and in December 2022, announced initial clinical data from the first two patients treated in the RUBY trial. This clinical data supports human proof of concept by showing that EDIT-301 could safely increase expression of fetal hemoglobin to clinically meaningful levels and correct anemia in SCD patients. For additional information regarding these clinical data, please see “Business—Our Gene Editing Medicine Programs—Hemoglobinopathies.” After completing sequential dosing of the first two patients, we have commenced parallel patient dosing in this trial, meaning that we can now dose multiple patients simultaneously, and are on track to dose 20 total patients by the end of 2023. We expect to provide clinical updates from the RUBY trial in mid-2023 and end of 2023.</w:t>
      </w:r>
    </w:p>
    <w:p>
      <w:pPr>
        <w:spacing w:after="0" w:line="194" w:lineRule="exact"/>
        <w:rPr>
          <w:sz w:val="20"/>
          <w:szCs w:val="20"/>
          <w:color w:val="auto"/>
        </w:rPr>
      </w:pPr>
    </w:p>
    <w:p>
      <w:pPr>
        <w:ind w:left="60" w:right="439" w:firstLine="648"/>
        <w:spacing w:after="0" w:line="289" w:lineRule="auto"/>
        <w:rPr>
          <w:sz w:val="20"/>
          <w:szCs w:val="20"/>
          <w:color w:val="auto"/>
        </w:rPr>
      </w:pPr>
      <w:r>
        <w:rPr>
          <w:rFonts w:ascii="Times New Roman" w:cs="Times New Roman" w:eastAsia="Times New Roman" w:hAnsi="Times New Roman"/>
          <w:sz w:val="17"/>
          <w:szCs w:val="17"/>
          <w:color w:val="auto"/>
        </w:rPr>
        <w:t>In December 2021, the U.S. Food and Drug Administration (“FDA”) cleared our Investigational New Drug (“IND”) application for a Phase 1/2 clinical trial of EDIT-301 for the treatment of TDT. This trial, referred to as our EDITHAL trial, is designed to assess the safety, tolerability, and preliminary efficacy of EDIT-301 for the treatment of</w:t>
      </w:r>
    </w:p>
    <w:p>
      <w:pPr>
        <w:sectPr>
          <w:pgSz w:w="11900" w:h="16838" w:orient="portrait"/>
          <w:cols w:equalWidth="0" w:num="1">
            <w:col w:w="9019"/>
          </w:cols>
          <w:pgMar w:left="1440" w:top="513" w:right="1440"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TDT. We are on track to dose the first patient in this trial in the first quarter of 2023. We expect to provide data on this patient by the end of 2023.</w:t>
      </w:r>
    </w:p>
    <w:p>
      <w:pPr>
        <w:spacing w:after="0" w:line="16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believe that our unique editing approach, and the initial data from the RUBY trial, support potential differentiation of our EDIT-301 experimental medicine. The CRISPR nuclease used in the program is a proprietary high fidelity, highly specific, engineered AsCas12a enzyme for which we have exclusively licensed the foundational intellectual property to develop and commercialize human therapeutics. This enzyme has demonstrated high efficiency editing of multipotent long-term HSCs for sustained efficacy and durability. Its use to target the HBG1 and HBG2 promoters to mimic naturally occurring human mutations, analogous to patients with naturally occurring hereditary persistence of fetal hemoglobin, is potentially a more effective approach with better long-term safety than other editing targets and mechanisms. We seek to further differentiate this program by developing milder conditioning protocols. The myeloablative busulfan conditioning regimen for HSC transplantation that is necessary for current gene editing therapies for SCD and TDT requires that patients undergo immunosuppression at the time of transplant and carries with it the long-term burdens of infertility and oncogenesis. We are in early stage research for the development of non-myeloablative patient preconditioning regimens for HSC transplantations. We believe that developing milder conditioning protocols will further position us to develop a potentially best-in-class medicine to treat SCD and TDT that improves the therapeutic proposition for patients.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In vivo </w:t>
      </w:r>
      <w:r>
        <w:rPr>
          <w:rFonts w:ascii="Times New Roman" w:cs="Times New Roman" w:eastAsia="Times New Roman" w:hAnsi="Times New Roman"/>
          <w:sz w:val="18"/>
          <w:szCs w:val="18"/>
          <w:i w:val="1"/>
          <w:iCs w:val="1"/>
          <w:color w:val="auto"/>
        </w:rPr>
        <w:t>Medicines</w:t>
      </w:r>
    </w:p>
    <w:p>
      <w:pPr>
        <w:spacing w:after="0" w:line="22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also pursuing the development of next generation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administered gene editing medicines, in which the medicine is injected or infused into the patient to edit the cells inside their body. Leveraging our differentiated approach from our EDIT-301 program, we are initially focused on editing HSCs through targeted delivery of our AsCas12a enzyme to our clinically validated HBG1 and HBG2 promotor site. By editing HSCs directly in patients without transplantation, no myeloablative conditioning is required, thereby avoiding the adverse effects associated with current HSC transplantation protocols. We believe such a product could be used in multiple different healthcare settings with a much lower burden on patients and treatment sites.</w:t>
      </w:r>
    </w:p>
    <w:p>
      <w:pPr>
        <w:spacing w:after="0" w:line="187" w:lineRule="exact"/>
        <w:rPr>
          <w:sz w:val="20"/>
          <w:szCs w:val="20"/>
          <w:color w:val="auto"/>
        </w:rPr>
      </w:pPr>
    </w:p>
    <w:p>
      <w:pPr>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Beyond hemoglobinopathies, our discovery and development efforts are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in other organs and tissues, with the goal of selecting therapeutic targets we believe have a significant probability of technical, regulatory, and commercial success.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Development</w:t>
      </w:r>
    </w:p>
    <w:p>
      <w:pPr>
        <w:spacing w:after="0" w:line="21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are pursuing the right combination of gene editing and targeted delivery tools through internal development and the in-licensing of complementary technologies, while also leveraging our intellectual property portfolio to drive potential out-licensing and partnership discussions that can accelerate the achievement of our goal of delivering lifesaving medicines to patients with previously untreatable or under-treated diseases.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cellular therapy medicines, we are leveraging new and existing partnerships to progress engineered cell medicines to treat various cancers. We are advancing alpha-beta T-cell experimental medicines for the treatment of solid and liquid tumors in collaboration with Bristol Myers Squibb Company (“BMS”) through its wholly owned subsidiary, Juno Therapeutics, Inc. (“Juno Therapeutics”). This collaboration, which leverages our Cas9 and AsCas12a platform technologies, has resulted in 11 programs. We have also entered into a non-exclusive collaboration and licensing agreement with Immatics N.V. to combine gamma-delta T cell adoptive cell therapies and gene editing to develop medicines for the treatment of cancer.</w:t>
      </w:r>
    </w:p>
    <w:p>
      <w:pPr>
        <w:spacing w:after="0" w:line="187"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In January 2023, we announced the sale of our wholly owned oncology assets to Shoreline Biosciences, Inc. (“Shoreline”). Under the agreement, Shoreline acquired EDIT-202, our preclinical multiplexed edited induced human pluripotent stem cell (“iPSC”)-derived natural killer (“iNK”) cell medicine for the treatment of solid tumors, as well as an additional iNK program under development and certain related manufacturing technologies. We also exclusively licensed to Shoreline our rights to a proprietary knock-in gene editing technology referred to as SLEEK (SeLection by Essential-gene Exon Knock-in) for use in Shoreline’s iNK platform and for oncology in Shoreline’s iPSC-derived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312" w:lineRule="auto"/>
        <w:rPr>
          <w:sz w:val="20"/>
          <w:szCs w:val="20"/>
          <w:color w:val="auto"/>
        </w:rPr>
      </w:pPr>
      <w:r>
        <w:rPr>
          <w:rFonts w:ascii="Times New Roman" w:cs="Times New Roman" w:eastAsia="Times New Roman" w:hAnsi="Times New Roman"/>
          <w:sz w:val="17"/>
          <w:szCs w:val="17"/>
          <w:color w:val="auto"/>
        </w:rPr>
        <w:t>macrophage platform, as well as non-exclusively licensed our AsCas12a gene editing technology. We believe that this transaction will enable this oncology program to more rapidly move towards clinical applications and benefit patients.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Core Capability — Gene Editing</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Gene editing is the process of revising, removing, or repairing defective DNA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In general, gene editing corrects the defective DNA in its native genomic location, and consequently the repaired genetic region retains the cell’s normal control and feedback mechanisms. Gene editing typically takes advantage of naturally occurring DNA repair mechanisms, including non-homologous end joining (“NHEJ”) and homology directed repair (“HDR”), to achieve its desired therapeutic outcome. Edits that are repaired by NHEJ typically disrupt a gene or eliminate a disease-causing mutation. Edits that are repaired by HDR, including targeted insertion, aim to correct or replace aberrant DNA sequences. The diversity of genetic drivers of disease demands a variety of solutions. Gene editing has the potential to deliver a variety of types of genome modification to address a broad range of diseases.</w:t>
      </w:r>
    </w:p>
    <w:p>
      <w:pPr>
        <w:spacing w:after="0" w:line="17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CRISPR technology uses a protein-RNA complex composed of a type of enzyme, referred to as a DNA endonuclease, bound to an RNA molecule, referred to as a guide RNA, that has been designed to recognize a particular DNA sequence. A DNA endonuclease is an enzyme that cleaves DNA. This combination of a DNA endonuclease and a guide RNA only bind and cut DNA when two criteria are met: first, the protein recognizes a short DNA specific to the enzyme called the protospacer adjacent motif (“PAM”), and second, the appropriate portion of the guide RNA matches the adjacent DNA sequence. The PAM sequence that is recognized by the DNA endonuclease creates a second layer of recognition in addition to the guide RNA. We believe that CRISPR technology has three principal advantages for genome editing:</w:t>
      </w:r>
    </w:p>
    <w:p>
      <w:pPr>
        <w:spacing w:after="0" w:line="176" w:lineRule="exact"/>
        <w:rPr>
          <w:sz w:val="20"/>
          <w:szCs w:val="20"/>
          <w:color w:val="auto"/>
        </w:rPr>
      </w:pPr>
    </w:p>
    <w:p>
      <w:pPr>
        <w:ind w:left="1040" w:right="139" w:hanging="315"/>
        <w:spacing w:after="0" w:line="25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comprehensive, and systematic identification of product candidates. </w:t>
      </w:r>
      <w:r>
        <w:rPr>
          <w:rFonts w:ascii="Times New Roman" w:cs="Times New Roman" w:eastAsia="Times New Roman" w:hAnsi="Times New Roman"/>
          <w:sz w:val="18"/>
          <w:szCs w:val="18"/>
          <w:color w:val="auto"/>
        </w:rPr>
        <w:t>The key targeting mechanism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endonuclease, whether it is Cas9 or Cas12a, is a guide RNA, which can be rapidly replaced with a different guide RNA or optimized by changes as small as a single nucleotide. This allows for the flexible design, synthesis, and testing of hundreds of guide RNA/endonuclease combinations for each genetic target in order to find those that cut the DNA target with the optimal efficiency and specificity. In contrast, other commonly used DNA nucleases for gene editing have inherently limited flexibility. For example, zinc finger nucleases, engineered meganucleases, and transcription activator-like effector nucleases use proteins for DNA sequence recognition to bring the endonuclease to the site of the genome where cleavage is desired, requiring the creation of an entirely new protein for each target site.</w:t>
      </w:r>
    </w:p>
    <w:p>
      <w:pPr>
        <w:spacing w:after="0" w:line="190" w:lineRule="exact"/>
        <w:rPr>
          <w:rFonts w:ascii="Times New Roman" w:cs="Times New Roman" w:eastAsia="Times New Roman" w:hAnsi="Times New Roman"/>
          <w:sz w:val="18"/>
          <w:szCs w:val="18"/>
          <w:color w:val="auto"/>
        </w:rPr>
      </w:pPr>
    </w:p>
    <w:p>
      <w:pPr>
        <w:ind w:left="1040" w:right="299" w:hanging="315"/>
        <w:spacing w:after="0" w:line="254"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Simultaneous and efficient targeting of multiple sites. </w:t>
      </w:r>
      <w:r>
        <w:rPr>
          <w:rFonts w:ascii="Times New Roman" w:cs="Times New Roman" w:eastAsia="Times New Roman" w:hAnsi="Times New Roman"/>
          <w:sz w:val="18"/>
          <w:szCs w:val="18"/>
          <w:color w:val="auto"/>
        </w:rPr>
        <w:t>In CRISPR technology, multiple guide RNAs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along with the same endonuclease, enabling the simultaneous and efficient targeting of multiple sites. This ability to target multiple DNA sequences expands the applicability of CRISPR technology and also creates the potential for self-regulating systems that control exposure to the editing machinery. To address more than one target, other gene editing technologies require the engineering, characterization, manufacture, and delivery of distinct nuclease proteins for each target.</w:t>
      </w:r>
    </w:p>
    <w:p>
      <w:pPr>
        <w:spacing w:after="0" w:line="184"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achieve a range of different types of edits. </w:t>
      </w:r>
      <w:r>
        <w:rPr>
          <w:rFonts w:ascii="Times New Roman" w:cs="Times New Roman" w:eastAsia="Times New Roman" w:hAnsi="Times New Roman"/>
          <w:sz w:val="18"/>
          <w:szCs w:val="18"/>
          <w:color w:val="auto"/>
        </w:rPr>
        <w:t>The inherent differences in Cas9 and Cas12a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different engineered variants of both enzymes allow for different types of cuts for gene editing. We are able to make a blunt cut, cut either strand of the DNA, or create overhangs of differing length. This may be a critical component of improved HDR-driven approaches because the type of DNA cut can influence the type of repair mechanism used by a cell in response to that cut. We believe the ability to modify CRISPR technology to allow for different types of cuts will expand the potential of our gene editing platform.</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Gene Editing Platform</w:t>
      </w:r>
    </w:p>
    <w:p>
      <w:pPr>
        <w:spacing w:after="0" w:line="22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 proprietary gene editing platform that includes different natural and engineered variants of Cas9 and Cas12a. We have characterized different Cas9 and Cas12a enzymes for several reasons. Firstly, a lower molecular weight enzyme will have advantages for delivering the endonuclease using a viral vector due to the inherent size limitations of most such delivery systems. For example, the Cas9 enzyme from SaCas9 is significantly smaller than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that from </w:t>
      </w:r>
      <w:r>
        <w:rPr>
          <w:rFonts w:ascii="Times New Roman" w:cs="Times New Roman" w:eastAsia="Times New Roman" w:hAnsi="Times New Roman"/>
          <w:sz w:val="18"/>
          <w:szCs w:val="18"/>
          <w:i w:val="1"/>
          <w:iCs w:val="1"/>
          <w:color w:val="auto"/>
        </w:rPr>
        <w:t>Streptococcus pyogenes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 pyogenes</w:t>
      </w:r>
      <w:r>
        <w:rPr>
          <w:rFonts w:ascii="Times New Roman" w:cs="Times New Roman" w:eastAsia="Times New Roman" w:hAnsi="Times New Roman"/>
          <w:sz w:val="18"/>
          <w:szCs w:val="18"/>
          <w:color w:val="auto"/>
        </w:rPr>
        <w:t xml:space="preserve">” or “SpCas9”) (3,159 vs. 4,104 base pairs), and this decreased size is important when working with adeno-associated viral vectors (“AAV”) as a delivery vector, which has an effective packaging limit of approximately 4,700 base pairs. Secondly, we have gained access to modified versions of Cas12a and Cas12a guide RNAs that increase Cas12a activity. This increased activity may allow us to use Cas12a editing in more indications where editing at a Cas12a susceptible site is desirable from a biological perspective but technically difficult with the wild-type Cas12a editing system. EDIT-301 for SCD and TDT is one such example. Thirdly, identifying Cas9 and Cas12a enzymes with different editing properties will expand the number of potential editing sites in the human genome. The range of natural and engineered variants of Cas9 and Cas12a have significantly expanded the number of sites in the human genome that we can potentially target. As compared to the most commonly used, naturally occurring version of Cas9, from the bacterial species </w:t>
      </w:r>
      <w:r>
        <w:rPr>
          <w:rFonts w:ascii="Times New Roman" w:cs="Times New Roman" w:eastAsia="Times New Roman" w:hAnsi="Times New Roman"/>
          <w:sz w:val="18"/>
          <w:szCs w:val="18"/>
          <w:i w:val="1"/>
          <w:iCs w:val="1"/>
          <w:color w:val="auto"/>
        </w:rPr>
        <w:t>S. pyogenes</w:t>
      </w:r>
      <w:r>
        <w:rPr>
          <w:rFonts w:ascii="Times New Roman" w:cs="Times New Roman" w:eastAsia="Times New Roman" w:hAnsi="Times New Roman"/>
          <w:sz w:val="18"/>
          <w:szCs w:val="18"/>
          <w:color w:val="auto"/>
        </w:rPr>
        <w:t xml:space="preserve">, the range of endonucleases in our platform can target approximately ten times as many genomic sites. Thus, while the </w:t>
      </w:r>
      <w:r>
        <w:rPr>
          <w:rFonts w:ascii="Times New Roman" w:cs="Times New Roman" w:eastAsia="Times New Roman" w:hAnsi="Times New Roman"/>
          <w:sz w:val="18"/>
          <w:szCs w:val="18"/>
          <w:i w:val="1"/>
          <w:iCs w:val="1"/>
          <w:color w:val="auto"/>
        </w:rPr>
        <w:t>S. pyogenes</w:t>
      </w:r>
      <w:r>
        <w:rPr>
          <w:rFonts w:ascii="Times New Roman" w:cs="Times New Roman" w:eastAsia="Times New Roman" w:hAnsi="Times New Roman"/>
          <w:sz w:val="18"/>
          <w:szCs w:val="18"/>
          <w:color w:val="auto"/>
        </w:rPr>
        <w:t xml:space="preserve"> Cas9 can target approximately 1 in 10 bases in the human genome, we have the potential to hit over 95% of all bases due to the wide range of endonucleases at our disposal.</w:t>
      </w:r>
    </w:p>
    <w:p>
      <w:pPr>
        <w:spacing w:after="0" w:line="18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guide RNA molecule is another component of our gene editing platform. We have made substantial advances in the design, synthesis, modification, analysis, and characterization of guide RNAs. For example, in order to accelerate and standardize the selection of guide RNAs, we have created proprietary analytical software that supports guide RNA design through single nucleotide polymorphism analysis, specificity prediction, and assessment of relative importance of potential off target sites. Of critical importance in determining the activity and specificity of an endonuclease-guide RNA complex is understanding the quality and composition of the guide RNA. The ability to understand the quality and composition of the guide RNA is an essential component to developing product candidates that have the potential to be safe and efficacious medicines. In order to understand the absolute composition of our guide RNAs, we utilize state-of-the-art mass spectrometry and sequencing methodologies.</w:t>
      </w:r>
    </w:p>
    <w:p>
      <w:pPr>
        <w:spacing w:after="0" w:line="177"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 xml:space="preserve">Our gene editing platform includes multiple modular delivery modes that can be efficiently adapted to deliver different CRISPR gene editing components to address the specific needs of each disease targeted. Our strategy is to leverage existing delivery technologies to target cell types of interest while developing next generation capabilities as warranted. We have developed a variety of delivery approaches, including electroporation for efficient delivery to blood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lipid nanoparticles for non-viral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and AAVs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viral delivery. We have made substantial advances in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delivery of CRISPR systems to a number of cell types. We have been able to demonstrate greater than 90%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editing in HSCs using ribonucleoprotein complexes, which consist of the Cas9 or Cas12a endonuclease complexed with its guide RNA. These results are consistent across multiple cell donors and multiple target genes. In addition, we have taken advantage of the smaller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Cas9 and existing AAV technology to construct an “all-in-one” viral vector that is able to deliver the DNA coding for the nuclease protein and one or two guide RNAs directly to cells, which we believe has substantial advantages for manufacturing and delivery compared to approaches that rely on multiple vectors.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To optimize the specificity of our product candidates, there are a number of different aspects of the product configuration that we customize in addition to the sequence and quality of the guide RNA, including the length of the guide RNA, the type of Cas9 or Cas12a enzyme, including engineered forms, the delivery vector, the use of tissue-selective promoters, and the duration of exposure, all of which contribute to overall specificity.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Gene Editing Medicine Programs</w:t>
      </w:r>
    </w:p>
    <w:p>
      <w:pPr>
        <w:spacing w:after="0" w:line="21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research and development efforts are focused on hemoglobinopathies and developing next generation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medicines, including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of HSCs and other organs and tissues. Our product development strategy is to target diseases where gene editing can be used to enable or enhance therapeutic outcomes for patients, while maximizing probability of technical, regulatory and commercial success. We believe the therapeutic programs and delivery technologies we have chosen to pursue to date and those that are currently under development will demonstrate the depth and breadth of our ability to deploy our genome editing platform to develop differentiated, transformational medicines for previously untreatable or under-treated diseases. The following summarizes our product candidates, research programs and disease areas: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694690</wp:posOffset>
            </wp:positionV>
            <wp:extent cx="5383530" cy="257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Ex vivo </w:t>
      </w:r>
      <w:r>
        <w:rPr>
          <w:rFonts w:ascii="Times New Roman" w:cs="Times New Roman" w:eastAsia="Times New Roman" w:hAnsi="Times New Roman"/>
          <w:sz w:val="18"/>
          <w:szCs w:val="18"/>
          <w:i w:val="1"/>
          <w:iCs w:val="1"/>
          <w:color w:val="auto"/>
        </w:rPr>
        <w:t>Hemoglobinopothies</w:t>
      </w:r>
    </w:p>
    <w:p>
      <w:pPr>
        <w:spacing w:after="0" w:line="26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developing an approach for gene editing in HSCs to support the advancement of research programs to treat non-malignant hematological diseases. Our most advanced program, EDIT-301, is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medicine designed to treat SCD and TDT.</w:t>
      </w:r>
    </w:p>
    <w:p>
      <w:pPr>
        <w:spacing w:after="0" w:line="203"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 xml:space="preserve">Sickle cell disease affects millions of people worldwide, including approximately 100,000 people in the United States, and over 300,000 babies are born annually with SCD globally. Transfusion-dependent beta thalassemia is relatively rare in the United States, affecting approximately 1,000 people, but is one of the most common autosomal recessive disorders in the world, found most often among individuals of Mediterranean, Middle Eastern, and South Asian descent. Patients suffering from SCD can experience vaso-occlusive events and other severe symptoms such as anemia, fatigue, hemolysis, stroke, and other end-organ damages, while those with TDT typically suffer from chronic anemia, often requiring lifelong blood transfusions that can result in iron overload that requires separate treatment. While allogeneic bone marrow transplantation can cure SCD, less than 20% of patients can find matched donors and there is a risk of serious complications. We are actively pursuing a distinct gene editing approach to treating these hemoglobinopathies. Our primary criteria for a successful product candidate include high and pancellular fetal hemoglobin (“HbF”) with a best-in-class safety profile. To this end, we have developed EDIT-301, an experimental, autologous cell therapy that targets the HBG1/2 promoter and disrupts the binding site of the </w:t>
      </w:r>
      <w:r>
        <w:rPr>
          <w:rFonts w:ascii="Times New Roman" w:cs="Times New Roman" w:eastAsia="Times New Roman" w:hAnsi="Times New Roman"/>
          <w:sz w:val="18"/>
          <w:szCs w:val="18"/>
          <w:i w:val="1"/>
          <w:iCs w:val="1"/>
          <w:color w:val="auto"/>
        </w:rPr>
        <w:t>BCL11A</w:t>
      </w:r>
      <w:r>
        <w:rPr>
          <w:rFonts w:ascii="Times New Roman" w:cs="Times New Roman" w:eastAsia="Times New Roman" w:hAnsi="Times New Roman"/>
          <w:sz w:val="18"/>
          <w:szCs w:val="18"/>
          <w:color w:val="auto"/>
        </w:rPr>
        <w:t>, consistent with observed naturally occurring human mutations. These mutations mimic the asymptomatic condition of hereditary persistence of fetal hemoglobin (“HPFH”). By editing the HBG1/2 promoter in the beta-globin gene, we seek to generate protective changes that increase HbF production in a manner that is independent of erythropoietic stress, resulting in reduced sickling and vaso-occlusive events in sickle cell patients, and resolving anemia and transfusion dependence in beta thalassemia patients. We believe that mimicking a combination of HPFH mutations that elevate HbF could be more effective than recreating a single point mutation. EDIT-301 is the first experimental medicine in development generated using CRISPR/Cas12a (also known as Cpf1) gene editing.</w:t>
      </w:r>
    </w:p>
    <w:p>
      <w:pPr>
        <w:spacing w:after="0" w:line="223"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We have focused our efforts on editing a site within the beta-globin locus that we believe has the potential to create superior expression of fetal hemoglobin since patients with elevated HbF levels have better clinical outcomes. We believe that EDIT-301 has the potential to impact beta-globin expression by increasing HbF and decreasing sickle globin. In particular, our preclinical data shows that EDIT-301 induces more HbF than the approach of targeting</w:t>
      </w:r>
    </w:p>
    <w:p>
      <w:pPr>
        <w:spacing w:after="0" w:line="3" w:lineRule="exact"/>
        <w:rPr>
          <w:sz w:val="20"/>
          <w:szCs w:val="20"/>
          <w:color w:val="auto"/>
        </w:rPr>
      </w:pPr>
    </w:p>
    <w:p>
      <w:pPr>
        <w:ind w:left="60" w:right="219"/>
        <w:spacing w:after="0" w:line="24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BCL11A</w:t>
      </w:r>
      <w:r>
        <w:rPr>
          <w:rFonts w:ascii="Times New Roman" w:cs="Times New Roman" w:eastAsia="Times New Roman" w:hAnsi="Times New Roman"/>
          <w:sz w:val="18"/>
          <w:szCs w:val="18"/>
          <w:color w:val="auto"/>
        </w:rPr>
        <w:t xml:space="preserve"> erythroid enhancer (“BC11Ae”). Likewise, we believe our approach will reduce the sickle globin and, therefore, not have to compete for alpha globin in the same cell unlike lentiviral gene therapy approaches. Our preclinical studies identified the potential that BC11Ae might result in deleterious lineage skewing when editing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BCL11Ae</w:t>
      </w:r>
      <w:r>
        <w:rPr>
          <w:rFonts w:ascii="Times New Roman" w:cs="Times New Roman" w:eastAsia="Times New Roman" w:hAnsi="Times New Roman"/>
          <w:sz w:val="18"/>
          <w:szCs w:val="18"/>
          <w:color w:val="auto"/>
        </w:rPr>
        <w:t xml:space="preserve"> locus. Finally, gene editing is more specific than lentiviral expression. To get the high levels of beta-globin required for an efficacious therapy, there will be cells in the CD34+ population, which are cells that contain the long-term stem cells that repopulate the hematopoietic lineages, that carry more than twenty copies of the viral genome. These random integration events have the potential to inadvertently activate or inactivate genes involved in cell function and tumorigenesis. As such, we believe our approach to editing the beta-globin locus provides the highest likelihood of providing clinical benefit in patients while minimizing potential safety risks.</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4"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Using our approach in preclinical studies, we tested the ability of CD34+ cells obtained from healthy donors and edited at the beta-globin locus to induce fetal hemoglobin. As predicted from our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editing at the beta-globin site with Cas12a caused a robust, pancellular induction of HbF of approximately 45% above the background levels.</w:t>
      </w:r>
    </w:p>
    <w:p>
      <w:pPr>
        <w:spacing w:after="0" w:line="180"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 xml:space="preserve">We also tested CD34+ cells obtained from sickle cell patients, which we edited at the beta-globin locus. These studies showed that editing was highly efficient and reproducible, with approximately 90% editing in multiple sickle patient donors. We found that EDIT-301 derived red blood cells had more than 50% HbF expression. Further, EDIT-301 derived red blood cells had a significant improvement in deformability, which could aid red blood cell transit without sickling, and a four-fold decrease in sickling, when subjected to reduced oxygen levels compared to unedited control cells. These data suggest EDIT-301 can provide potential clinical benefit for sickle patients.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revealed editing was highly efficient with greater than 90% editing in bone marrow cells from mice infused with edited CD34+ cells 16 weeks post-infusion. In these mice, HbF expression was increased by approximately 50% in the red blood cells derived from these edited cells. We also observed that approximately 90% of these cells were HbF positive, demonstrating that HbF expression was pan-cellular, which we believe is likely a critical property for potential clinical benefit. For these reasons, we believe our approach of editing the hemoglobin locus to increase HbF has the potential to generate differentiated medicines to benefit patients with sickle cell disease and TDT.</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Clinical trial</w:t>
      </w:r>
    </w:p>
    <w:p>
      <w:pPr>
        <w:spacing w:after="0" w:line="254"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January 2021, the FDA cleared the start of enrollment and dosing of patients in the first phase of our Phase 1/2 RUBY clinical trial of EDIT-301 for the treatment of SCD, and in July 2022, the FDA removed its partial clinical hold, enabling us to include efficacy data from patients in a future marketing application for EDIT-301. This trial is a single-arm, open-label, multi-center Phase 1/2 study designed to assess the safety and efficacy of EDIT-301 in patients with SCD. Enrolled patients receive a single administration of EDIT-301.</w:t>
      </w:r>
    </w:p>
    <w:p>
      <w:pPr>
        <w:spacing w:after="0" w:line="210"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In December 2022, we announced initial clinical data from the first two patients treated in the RUBY trial, which supports human proof of concept by showing that EDIT-301 could safely increase expression of fetal hemoglobin to clinically meaningful levels and correct anemia in SCD patients. The clinical data included safety data from the first two patients and efficacy data from the first patient treated. Both treated patients demonstrated successful neutrophil and platelet engraftment. Patient 1 achieved neutrophil engraftment at 23 days after EDIT-301 infusion and platelet engraftment at 19 days after EDIT-301 infusion. Patient 2 achieved neutrophil engraftment 29 days after EDIT-301 infusion and platelet engraftment 37 days after EDIT-301 infusion. Additionally, neither patient had experienced any vaso-occlusive events since treatment with EDIT-301, at five and 1.5 months follow up, respectively. At five months post-treatment, the first patient treated with EDIT-301 had a total hemoglobin of 16.4 g/dL, an HbF of 45.4%, and a mean corpuscular HbF of 13.8 pg/red blood cell, exceeding the 10.0 pg/red blood cell threshold to suppress red blood cell sickling. Additionally, HbF increase in the first patient was highly pancellular, with F cells steadily increasing to reach greater than 95% of red blood cells. EDIT-301 was well-tolerated in the two patients and demonstrated a safety profile consistent with myeloablative conditioning with busulfan and autologous HSC transplant. No serious adverse events occurred, and no adverse events reported were related to treatment with EDIT-301.</w:t>
      </w:r>
    </w:p>
    <w:p>
      <w:pPr>
        <w:spacing w:after="0" w:line="182"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In December 2021, the FDA cleared our IND application for our Phase 1/2 EDITHAL clinical trial of EDIT-301 for the treatment of TDT. This trial is designed to assess the safety, tolerability, and preliminary efficacy of EDIT-301 for the treatment of TDT.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have increased our investment in our EDIT-301 program to expand our editing capacity and accelerate clinical trial enrollment and dosing. We are also activating additional trial sites and continue to screen patients. After completing sequential dosing of the first two patients, we have commenced parallel patient dosing in the RUBY trial and are on track to dose 20 total patients by the end of 2023. We expect to provide clinical updates from the RUBY trial in mid-2023 and end of 2023. We also are on track to dose the first patient in the EDITHAL trial in the first quarter of 2023, and expect to provide data on this patient by the end of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In Vivo </w:t>
      </w:r>
      <w:r>
        <w:rPr>
          <w:rFonts w:ascii="Times New Roman" w:cs="Times New Roman" w:eastAsia="Times New Roman" w:hAnsi="Times New Roman"/>
          <w:sz w:val="18"/>
          <w:szCs w:val="18"/>
          <w:i w:val="1"/>
          <w:iCs w:val="1"/>
          <w:color w:val="auto"/>
        </w:rPr>
        <w:t>Gene Editing Medicines</w:t>
      </w:r>
    </w:p>
    <w:p>
      <w:pPr>
        <w:spacing w:after="0" w:line="266" w:lineRule="exact"/>
        <w:rPr>
          <w:sz w:val="20"/>
          <w:szCs w:val="20"/>
          <w:color w:val="auto"/>
        </w:rPr>
      </w:pPr>
    </w:p>
    <w:p>
      <w:pPr>
        <w:ind w:left="60" w:right="99" w:firstLine="690"/>
        <w:spacing w:after="0" w:line="253" w:lineRule="auto"/>
        <w:rPr>
          <w:sz w:val="20"/>
          <w:szCs w:val="20"/>
          <w:color w:val="auto"/>
        </w:rPr>
      </w:pPr>
      <w:r>
        <w:rPr>
          <w:rFonts w:ascii="Times New Roman" w:cs="Times New Roman" w:eastAsia="Times New Roman" w:hAnsi="Times New Roman"/>
          <w:sz w:val="18"/>
          <w:szCs w:val="18"/>
          <w:color w:val="auto"/>
        </w:rPr>
        <w:t xml:space="preserve">We seek to additionally develop targeted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initially focused on HSCs but expanding to other organs and tissues in the future. Initial clinical data from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EDIT-301 program demonstrated successful hemoglobin induction, creating a foundation for development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HSC gene editing medicines. We believe that the ability to edit HSCs directly in patients without transplantation will allow the treatment of larger patient populations due to the elimination of the current myeloablative conditioning requirement, enabling access to such a product across health systems with a lower burden on patients and treatment centers. We are also in the discovery stage in developing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for other organs and tissues.</w:t>
      </w:r>
    </w:p>
    <w:p>
      <w:pPr>
        <w:spacing w:after="0" w:line="228" w:lineRule="exact"/>
        <w:rPr>
          <w:sz w:val="20"/>
          <w:szCs w:val="20"/>
          <w:color w:val="auto"/>
        </w:rPr>
      </w:pPr>
    </w:p>
    <w:p>
      <w:pPr>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 xml:space="preserve">We previously achieved human proof of concept for our most advanced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 for inherited retinal diseases (“IRDs”), EDIT-101. EDIT-101 is designed to treat a specific genetic form of retinal degeneration called Leber congenital amaurosis 10 (“LCA10”), a CEP290-related retinal degenerative disorder. EDIT-101 uses an AAV5 vector to deliver the DNA encoding SaCas9 and two guide RNAs to photoreceptor cells in the eye. In mid-2019, we initiated a Phase 1/2 clinical trial of EDIT-101, referred to as the BRILLIANCE trial, which was designed to assess the safety, tolerability, and efficacy of EDIT-101 in up to five cohorts of patients. In November 2022, we announced clinical data from the trial, including safety and efficacy data from all 14 patients treated in the study to that date. EDIT-101 was tolerated with no ocular serious adverse events or dose-limiting toxicities observed. Most adverse events were mild and expected for subretinal delivery. Three out of 14 treated subjects met a responder threshold having experienced clinically meaningful improvements in best corrected visual acuity and demonstrated consistent improvements in two of the following three additional endpoints: full field sensitivity test, visual function navigation course, or the visual function quality of life. Two of the three responders were homozygous for IVS26 mutation. Despite this proof of concept, we were not able to identify any baseline characteristics of the treatment responder patients that could pre-select a responder patient population other than zygosity, or the degree to which both copies of a chromosome or gene have the same genetic sequence. Since LCA10 patients homozygous for CEP290 IVS26 mutation represent an estimated population of approximately 300 in the United States, we paused further patient enrollment in the trial and determined not to progress the program independently. We have also terminated our AAV IRD platform, including EDIT-103 for the treatment of rhodopsin-assoiated autosomal dominant retinitis pigmentosa, and are seeking to divest those assets.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54" w:lineRule="exact"/>
        <w:rPr>
          <w:sz w:val="20"/>
          <w:szCs w:val="20"/>
          <w:color w:val="auto"/>
        </w:rPr>
      </w:pPr>
    </w:p>
    <w:p>
      <w:pPr>
        <w:ind w:left="60" w:right="159" w:firstLine="648"/>
        <w:spacing w:after="0" w:line="251" w:lineRule="auto"/>
        <w:rPr>
          <w:sz w:val="20"/>
          <w:szCs w:val="20"/>
          <w:color w:val="auto"/>
        </w:rPr>
      </w:pPr>
      <w:r>
        <w:rPr>
          <w:rFonts w:ascii="Times New Roman" w:cs="Times New Roman" w:eastAsia="Times New Roman" w:hAnsi="Times New Roman"/>
          <w:sz w:val="18"/>
          <w:szCs w:val="18"/>
          <w:color w:val="auto"/>
        </w:rPr>
        <w:t>Through new and existing partnerships, we are also progressing multiple cellular therapy medicines for the treatment of different cancers. In our collaboration with BMS, we are researching and developing engineered alpha-beta T cell therapies to treat solid and liquid tumors leveraging our platform technologies, including Cas9 and AsCas12a. Engineered T cells, including alpha-beta T cells, have shown encouraging clinical activity against multiple cancers, culminating in recent approvals of such therapies in the United States. Because of these promising results, there is significant interest in the medical community in expanding the application of this technology across a broader range of cancers and patients. We believe that our genome editing technology has the potential to improve multiple properties of these alpha-beta T cell therapies. Alpha-beta cells are part of the adaptive immune system and recognize tumors with endogenous alpha-beta T cell receptors or CARs or engineered T cell receptors (“eTCRs”). If we are successful, genome-edited engineered alpha-beta T cells have the potential to significantly expand the types of cancers treatable by CAR/ eTCR alpha-beta T cells and to improve the outcomes of these therapies. Through our collaboration with BMS, we have applied our Cas9 and AsCas12a platform technologies to multiple gene targets in order to improve the efficacy and safety of CAR/eTCR alpha-beta T cells directed against a range of tumor types. In addition, we have optimized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genome editing components and delivery methods compatible with engineered alpha-beta T cell manufacturing methods developed by BMS. To date, this collaboration has resulted in 11 programs. We are also leveraging our AsCas12a technology in a non-exclusive collaboration with Immatics N.V. to advance gamma-delta T cell therapies for the treatment of cancer.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Collaborations and Licensing Strategy</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BMS Collaboration and License Agreement</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May 2015, we entered into a collaboration and license agreement with Juno Therapeutics, a subsidiary of BMS, for the research and development of engineered T cells with CARs and eTCRs that have been genetically modified to recognize and kill other cells. We and BMS amended and restated this agreement in May 2018 and November 2019 (the “BMS Collaboration Agreement”) and, in connection with the amendment and restatement in November 2019, we entered into a license agreement with BMS (such agreement, the “BMS License Agreement,” and together with the BMS Collaboration Agreement, the “BMS Agreements”). Under the terms of the BMS Collaboration Agreement, we received an upfront payment of $25.0 million, amendment fees totaling $75.0 million and have received milestone payments totaling $20.0 million, in addition to certain opt-in fees.</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Agreements relate to technology used to edit or modify the genome of a cell in connection with the research, development, manufacture, commercialization or other exploitation of T cells that express or have ever expressed T cell receptor dimers consisting of an alpha (α) chain and a beta (β) chain (such cells, “Alpha-beta T Cells”), and T cells derived from pluripotent stem cells or any other precursor cell (such cells, “Other Derived T Cells”), subject to certain exclusions for certain of our existing obligations. The exploitation of Alpha-beta T Cells and Other Derived T Cells specifically excludes the exploitation of T Cells that express a T cell receptor dimer consisting of a gamma (γ) chain and a delta (δ) chain, which we refer to as gamma-delta T Cells.</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212529"/>
        </w:rPr>
        <w:t xml:space="preserve">During the research term under the BMS Collaboration Agreement, we may research ribonucleoprotein complexes comprising an RNA-guided engineered nuclease paired with an oligonucleotide (“RNP Complexes”) that recognize or modulate the expression of up to twenty gene targets selected by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(each, a “Research Program”) for the purpose of identifying the RNP Complexes that may be used in the creation of potential drug development candidates. The initial research term is five years from the November 2019 effective date of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Collaboration Agreement.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may extend the research term for up to two one-year periods upon written notice to us and payment to us of a mid to high single digit million-dollar payment upon each extension.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right to extend the research term for the second one-year period is subject to our consent.</w:t>
      </w:r>
    </w:p>
    <w:p>
      <w:pPr>
        <w:spacing w:after="0" w:line="17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212529"/>
        </w:rPr>
        <w:t xml:space="preserve">Under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Collaboration Agreement, if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elects to opt-in with respect to a Research Program, it shall make a mid-six digit dollar payment to us and we shall amend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 Agreement to include such Research Program by executing a licensed program addendum for such Research Program. Following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opt-in for each program we shall grant to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an exclusive (even as to us), royalty-bearing worldwide right and license under specified intellectual property rights to research, develop, manufacture commercialize or otherwise exploit the RNP Complexes in such Research Program to create products containing, incorporating, comprising or containing Alpha-beta T Cells and/or Other Derived T Cells, in each case modified using the RNP Complexes in such Research Program (each, a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212529"/>
        </w:rPr>
        <w:t xml:space="preserve">We are entitled to receive high single-digit to low double-digit percentage royalties on net sales made by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its affiliates and sublicensees of any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Products, subject to reductions in certain circumstances. We are also entitled to receive development milestones totaling up to $135.0 million in the aggregate upon achievement of certain clinical milestones and specified regulatory approvals and commercial milestone payments totaling up to $60.0 million in the aggregate for each of the first two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Products to achieve specified net sales milestones.</w:t>
      </w:r>
    </w:p>
    <w:p>
      <w:pPr>
        <w:spacing w:after="0" w:line="17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212529"/>
        </w:rPr>
        <w:t xml:space="preserve">We have agreed during the term of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Collaboration Agreement not to use (directly or indirectly), or license others to use, genome editing technology in connection with any research, development, manufacture, commercialization or other exploitation of any Alpha-beta T Cells or Other Derived T Cells. Our exclusivity obligation will not apply to activities related to (i) any identified RNP Complexes in a program for which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elects not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212529"/>
        </w:rPr>
        <w:t>exercise its opt-in right, (ii) certain of our existing obligations to third parties, and (iii) certain existing programs of an acquiror of our company in a change of control.</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We have agreed during the term of any licensed program addendum under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 Agreement not to use (directly or indirectly), or license others to use, any genome editing technology that modulates or recognizes a gene target covered by such licensed program addendum for the conduct of any research, development, manufacture, commercialization or other exploitation with respect to any product that constitutes, incorporates, comprises or contains any Alpha-beta T Cell or Other Derived T Cells.</w:t>
      </w:r>
    </w:p>
    <w:p>
      <w:pPr>
        <w:spacing w:after="0" w:line="18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Collaboration Agreement continues in effect until the later of expiration of the research term or expiration of the last to expire of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right to opt-in with respect to any Research Program.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may terminate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Collaboration Agreement in its discretion upon six months’ prior written notice to us. Either party may terminate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Collaboration Agreement for uncured material breach of the other party, provided that the breaching party has had sixty days to cure such breach, or in the event of insolvency or bankruptcy of the other party.</w:t>
      </w:r>
    </w:p>
    <w:p>
      <w:pPr>
        <w:spacing w:after="0" w:line="170"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 Agreement continues in effect on a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Product-by-</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 and country-by-country basis until the expiration of the royalty term with respect to such licensed product in such country and in its entirety upon the expiration of all royalty terms with respect to all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Products in all countries.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may terminate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 Agreement in its entirety or on a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Product-by-</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 basis in its discretion upon ninety days’ prior written notice to us. Either party may terminate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 Agreement on a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Product-by-</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Licensed Product basis in the event of an uncured material breach of the other party, provided that the breaching party has had sixty days to cure such breach, or in the event of insolvency or bankruptcy of the other party. We have the right to terminate the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License Agreement on a program-by-program basis in the event that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xml:space="preserve"> fails to make any undisputed payment to us and has not cured such payment breach within the cure period. Other than </w:t>
      </w:r>
      <w:r>
        <w:rPr>
          <w:rFonts w:ascii="Times New Roman" w:cs="Times New Roman" w:eastAsia="Times New Roman" w:hAnsi="Times New Roman"/>
          <w:sz w:val="18"/>
          <w:szCs w:val="18"/>
          <w:color w:val="000000"/>
        </w:rPr>
        <w:t>BMS</w:t>
      </w:r>
      <w:r>
        <w:rPr>
          <w:rFonts w:ascii="Times New Roman" w:cs="Times New Roman" w:eastAsia="Times New Roman" w:hAnsi="Times New Roman"/>
          <w:sz w:val="18"/>
          <w:szCs w:val="18"/>
          <w:color w:val="212529"/>
        </w:rPr>
        <w:t>’ right to wind-down its operations with respect to</w:t>
      </w:r>
      <w:r>
        <w:rPr>
          <w:rFonts w:ascii="Times New Roman" w:cs="Times New Roman" w:eastAsia="Times New Roman" w:hAnsi="Times New Roman"/>
          <w:sz w:val="18"/>
          <w:szCs w:val="18"/>
          <w:color w:val="000000"/>
        </w:rPr>
        <w:t xml:space="preserve"> BMS </w:t>
      </w:r>
      <w:r>
        <w:rPr>
          <w:rFonts w:ascii="Times New Roman" w:cs="Times New Roman" w:eastAsia="Times New Roman" w:hAnsi="Times New Roman"/>
          <w:sz w:val="18"/>
          <w:szCs w:val="18"/>
          <w:color w:val="212529"/>
        </w:rPr>
        <w:t>Licensed Products during the twelve months following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date of effectiveness of termination, all licenses and other exclusive rights granted under the BMS License Agreement shall terminate.</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Allergan Agreement</w:t>
      </w:r>
    </w:p>
    <w:p>
      <w:pPr>
        <w:spacing w:after="0" w:line="214"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In March 2017, we entered into a strategic alliance and option agreement with Allergan Pharmaceuticals International Limited (together with its affiliates, “Allergan”) to discover, develop, and commercialize new gene editing medicines for a range of ocular disorders. Pursuant to this agreement, we granted Allergan an exclusive option to exclusively license from us up to five collaboration development programs for the treatment of ocular disorders.</w:t>
      </w:r>
    </w:p>
    <w:p>
      <w:pPr>
        <w:spacing w:after="0" w:line="180"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Allergan was acquired by AbbVie Inc. in May 2020. On August 5, 2020, we entered into a termination agreement with Allergan pursuant to which, among other things, we and Allergan terminated the strategic alliance and option agreement and the co-development and commercialization agreement. As a result of the termination of our collaboration with Allergan, we regained full global rights to research, develop, manufacture, and commercialize our ocular product candidates, including EDIT-101 for the treatment of LCA10. Under the termination agreement, Allergan granted us a non-exclusive, royalty-bearing right and license, including the right to grant sublicenses (through multiple tiers), to certain Allergan know-how that is necessary to develop, manufacture and commercialize EDIT-101. In addition, we are obligated to use commercially reasonable efforts to develop and commercialize a product directed to each of four collaboration targets, one of which is LCA10. Under this agreement, we will make certain payments on achievements of clinical and regulatory milestones up to $20.0 million for each target program and aggregated sales milestones for all products covered by the termination agreement up to $90.0 million. We are also obligated to pay royalties in a low-single digit percentage, subject to reduction under specified circumstances, on net sales of specified products. Our obligation to pay royalties will expire on a country-by-country and product-by-product basis upon the later of the expiration of regulatory-based exclusivity with respect to such product in such country and the tenth anniversary of the first commercial sale of such product.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Intellectual Property Licenses</w:t>
      </w:r>
    </w:p>
    <w:p>
      <w:pPr>
        <w:spacing w:after="0" w:line="22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genome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Broad Institute and President and Fellows of Harvard College License Agreement</w:t>
      </w:r>
    </w:p>
    <w:p>
      <w:pPr>
        <w:spacing w:after="0" w:line="225" w:lineRule="exact"/>
        <w:rPr>
          <w:sz w:val="20"/>
          <w:szCs w:val="20"/>
          <w:color w:val="auto"/>
        </w:rPr>
      </w:pPr>
    </w:p>
    <w:p>
      <w:pPr>
        <w:jc w:val="both"/>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In October 2014, we entered into a license agreement with The Broad Institute, Inc. (“Broad”) and the President and Fellows of Harvard College (“Harvard”), for specified patent rights. In December 2016, we amended and restated this license agreement and further amended the agreement in March 2017 (as amended, the “Cas9-I License Agreement”).</w:t>
      </w:r>
    </w:p>
    <w:p>
      <w:pPr>
        <w:spacing w:after="0" w:line="2" w:lineRule="exact"/>
        <w:rPr>
          <w:sz w:val="20"/>
          <w:szCs w:val="20"/>
          <w:color w:val="auto"/>
        </w:rPr>
      </w:pPr>
    </w:p>
    <w:p>
      <w:pPr>
        <w:ind w:left="60" w:right="139"/>
        <w:spacing w:after="0" w:line="248" w:lineRule="auto"/>
        <w:rPr>
          <w:sz w:val="20"/>
          <w:szCs w:val="20"/>
          <w:color w:val="auto"/>
        </w:rPr>
      </w:pPr>
      <w:r>
        <w:rPr>
          <w:rFonts w:ascii="Times New Roman" w:cs="Times New Roman" w:eastAsia="Times New Roman" w:hAnsi="Times New Roman"/>
          <w:sz w:val="18"/>
          <w:szCs w:val="18"/>
          <w:color w:val="auto"/>
        </w:rPr>
        <w:t>Among other things, the Cas9-I License Agreement amended the original license agreement by excluding additional fields from the scope of the exclusive license granted to us; converting the exclusive license to three specified targets to a non-exclusive license, subject to specified limitations; revising certain provisions relating to the rights of Harvard and Broad to grant further licenses under specified circumstances to third parties that wish to develop and commercialize products that target a particular gene and that otherwise would fall within the scope of our exclusive license; and providing Harvard and Broad with certain rights to designate, and reserve all rights to, gene targets for which the designating institution has an interest in researching and developing products that would otherwise be covered by rights licensed to us. The licenses granted to us under the Cas9-I License Agreement include rights to certain patents solely owned by Harvard (the “Harvard Cas9-I Patent Rights”), certain patents co-owned by the Massachusetts Institute of Technology (“MIT”) and Broad, certain patents co-owned by MIT, The Rockefeller University (“Rockefeller”), and Broad, and certain patents co-owned by MIT, Broad and Harvard. We refer to all the patents and patent applications licensed to us under the Cas9-I License Agreement as the Harvard/Broad Cas9-I Patent Rights.</w:t>
      </w:r>
    </w:p>
    <w:p>
      <w:pPr>
        <w:spacing w:after="0" w:line="196"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Certain patent applications in the Harvard/Broad Cas9-I Patent Rights are jointly owned by Rockefeller. In February 2017, Broad and Rockefeller entered into an inter-institutional agreement pursuant to which Rockefeller authorized Broad to act as its sole and exclusive agent for the purposes of licensing Rockefeller’s rights in such Harvard/Broad Cas9-I Patent Rights and any additional related patents or patent applications that Rockefeller may jointly own with Broad. The March 2017 amendment to the Cas9-I License Agreement included a license to Rockefeller’s rights in such patents and patent applications.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Harvard/Broad Cas9-I Patent Rights are directed, in part, to certain CRISPR/Cas9 compositions of matter and their use for genome editing and to certain CRISPR/Cas9 related delivery technologies. Pursuant to the Cas9-I License Agreement, and as of December 31, 2022, we have certain rights under 71 U.S. patents, 50 pending U.S. patent applications, 33 European patents and related validations, 23 pending European patent applications, and other related patent applications in jurisdictions outside of the United States and Europe.</w:t>
      </w:r>
    </w:p>
    <w:p>
      <w:pPr>
        <w:spacing w:after="0" w:line="187"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Pursuant to the Cas9-I License Agreement, Harvard and Broad granted us an exclusive, worldwide, royalty-bearing, sublicensable license to the Harvard/Broad Cas9-I Patent Rights to make, have made, use, sell, offer for sale, have sold, import, and export products and services in the field of the prevention and treatment of human disease, subject to certain limitations and retained rights. The exclusive license granted by Broad and Harvard excludes certain fields, including the modification of animals or animal cells for the creation and sale of organs suitable for xenotransplantation into humans; the research, development and commercialization of products or services in the field of livestock applications; plant-based agricultural products; and, subject to certain limitations, products providing nutritional benefits. Moreover, the license granted by Broad is non-exclusive with respect to the treatment of medullary cystic kidney disease 1 and three other specified targets, subject to the limitation that for such three targets, each of Broad and Harvard is only permitted to grant a non-exclusive license to one third party at a time with respect to each such target within the field of exclusive license granted to us. Harvard and Broad also granted us a non-exclusive, worldwide, royalty-bearing, sublicensable license to the Harvard/Broad Cas9-I Patent Rights for all purposes, with the exception that the non-exclusive license to certain Harvard Cas9-I Patent Rights excludes the modification of animals or animal cells for the creation and sale of organs suitable for xenotransplantation into humans and the development and commercialization of products or services in the field of livestock applications. In addition to the exclusions described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above, the following are excluded from the scope of both the exclusive and non-exclusive licenses granted to us under the Cas9-I License Agreement: human germline modification; the stimulation of biased inheritance of particular genes or traits within a population of plants or animals; the research, development, manufacturing, or commercialization of sterile seeds; and the modification of the tobacco plant with specified exceptions.</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research, develop, and commercialize products for the prevention or treatment of human disease under the Cas9-I License Agreement. Also, we are required to achieve certain development milestones within specified time periods for products incorporating the technologies covered by the Harvard/Broad Cas9-I Patent Rights. Harvard and Broad have the right to terminate our license with respect to the Harvard/Broad Cas9-I Patent Rights covering the technology or technologies with respect to which we fail to achieve these development milestones.</w:t>
      </w:r>
    </w:p>
    <w:p>
      <w:pPr>
        <w:spacing w:after="0" w:line="18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licenses granted by Broad and Harvard to us under the Cas9-I License Agreement are subject to retained rights of the U.S. government in the Harvard/Broad Cas9-I Patent Rights and the rights retained by Broad, Harvard, MIT, and Rockefeller on behalf of themselves and other academic, government and non-profit entities, to practice the Harvard/Broad Cas9-I Patent Rights for research, educational, or teaching purposes. In addition, certain rights granted to us under the Cas9-I License Agreement are further subject to a non-exclusive license to the Howard Hughes Medical Institute for research purposes. Our exclusive license rights also are subject to rights retained by Broad, Harvard, MIT, and Rockefeller any third party to research, develop, make, have made, use, offer for sale, sell, have sold, import or otherwise exploit the Harvard/Broad Cas9-I Patent Rights and licensed products as research products or research tools, or for research purposes.</w:t>
      </w:r>
    </w:p>
    <w:p>
      <w:pPr>
        <w:spacing w:after="0" w:line="17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have the right to sublicense our licensed rights provided that the sublicense agreement must be in compliance and consistent with the terms of the Cas9-I License Agreement. Any sublicense agreement cannot include the right to grant further sublicenses without the written consent of Broad and Harvard. In addition, any sublicense agreements must contain certain terms, including a provision requiring the sublicensee to indemnify Harvard, Broad, MIT, and Howard Hughes Medical Institute according to the same terms as are provided in the Cas9-I License Agreement and a statement that Broad, Harvard, MIT, and Howard Hughes Medical Institute are intended third party beneficiaries of the sublicense agreement for certain purposes.</w:t>
      </w:r>
    </w:p>
    <w:p>
      <w:pPr>
        <w:spacing w:after="0" w:line="17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Under the agreement, Harvard and Broad also retained rights to grant further licenses under specified circumstances to third parties, other than specified entities, that wish to develop and commercialize products that target a particular gene and that otherwise would fall within the scope of our exclusive license from Harvard and Broad. If a third party requests a license under the Harvard/Broad Cas9-I Patent Rights for the development and commercialization of a product that would be subject to our exclusive license grant from Harvard and Broad under the Cas9-I License Agreement, Harvard and Broad may notify us of the request (the “Cas9-I Third Party Proposed Product Requests”). Our process to address Cas9-I Third Party Proposed Product Requests has been conformed to the same process established in our Cpf1 license agreement described below.</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Cas9-I License Agreement also provides Broad with the right, after a specified period of time and subject to certain limitations, to designate gene targets for which Broad, whether alone or together with an affiliate or third party, has an interest in researching and developing products that would otherwise be covered by rights licensed to us under the Cas9-I License Agreement. Broad may not so designate any gene target for which we, directly or through any of our affiliates, sublicensees, or collaborators, are researching, developing, or commercializing a product, or for which we can demonstrate to Broad’s reasonable satisfaction that we are interested in researching, developing, and commercializing a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product directed toward the gene target designated by Broad and are not able to develop and implement a plan reasonably satisfactory to Broad, Broad is entitled to reserve all rights under the Cas9-I License Agreement, including the right to grant exclusive or non-exclusive licenses to third parties, to develop and commercialize products directed to such gene target and our license granted with respect to such gene target will terminate, and we will not be entitled under the Cas9-I License Agreement to develop and commercialize products directed to that gene target.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 xml:space="preserve">Under the Cas9-I License Agreement, we paid Broad and Harvard an upfront license fee in the low six figures and issued a single-digit percentage of shares of our common stock to Broad (with Broad holding a right to request re-issuance to its designees, including MIT or MIT’s designee) and Harvard. We also must pay an annual license maintenance fee ranging from the low- to mid-five figures to the low-six figures, depending on the calendar year. This annual license maintenance fee is creditable against royalties owed on licensed products and services in the same year as the maintenance fee is paid. We are obligated to reimburse Broad and Harvard for expenses associated with the prosecution and maintenance of the Harvard/Broad Cas9-I Patent Rights, including expenses associated with any interference proceedings in the USPTO, any opposition proceedings in the EPO, or any other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or other post grant proceedings in these or other jurisdictions where we are seeking patent protection. Therefore, we are obligated to reimburse Broad and/or Harvard for expenses associated with the interference and opposition proceedings involving patents licensed to us under this agreement (described in more detail under “Risk Factors—Risks Related to Our Intellectual Property—Some of Our In-Licensed Patents are Subject to Priority and Validity Disputes” in Part I, Item 1A of this Annual Report on Form 10-K).</w:t>
      </w:r>
    </w:p>
    <w:p>
      <w:pPr>
        <w:spacing w:after="0" w:line="17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Broad and Harvard are collectively entitled to receive clinical and regulatory milestone payments totaling up to $14.8 million in the aggregate per licensed product approved in the United States, the European Union and Japan for the prevention or treatment of a human disease that afflicts at least a specified number of patients in the aggregate in the United States. If we undergo a change of control during the term of the Cas9-I License Agreement, these clinical and regulatory milestone payments will be increased by a certain percentage in the mid double-digits. We are also obligated to make additional payments to Broad and Harvard, collectively, of up to an aggregate of $54.0 million upon the occurrence of certain sales milestones per licensed product for the prevention or treatment of a human disease that afflicts at least a specified number of patients in the aggregate in the United States. Broad and Harvard are collectively entitled to receive clinical and regulatory milestone payments totaling up to $4.1 million in the aggregate per licensed product approved in the United States and at least one jurisdiction outside the United States for the prevention or treatment of a human disease that afflicts fewer than a specified number of patients in the aggregate in the United States or a specified number of patients per year in the United States, which we refer to as an ultra-orphan disease. We are also obligated to make additional payments to Broad and Harvard, collectively, of up to an aggregate of $36.0 million upon the occurrence of certain sales milestones per licensed product for the prevention or treatment of an ultra-orphan disease.</w:t>
      </w:r>
    </w:p>
    <w:p>
      <w:pPr>
        <w:spacing w:after="0" w:line="194"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Broad and Harvard, collectively, are entitled to receive mid single-digit percentage royalties on net sales of licensed products for the prevention or treatment of human disease, and ranging from low single-digit to high single-digit percentage royalties on net sales of other licensed products and services, made by us, our affiliates, or our sublicensees. The royalty percentage depends on the licensed product and licensed service, and whether such licensed product or licensed service is covered by a valid claim within the Harvard/Broad Cas9-I Patent Rights. If we are legally required to pay royalties to a third party on net sales of our licensed products because such third party holds patent rights that cover such licensed product, then we can credit up to a mid double-digit percentage of the amount paid to such third party against the royalties due to Harvard and Broad in the same period. Our obligation to pay royalties will expire on a product-by-product and country-by-country basis upon the later of the expiration of the last to expire valid claim of the Harvard/Broad Cas9-I Patent Rights that cover the composition, manufacture, or use of each covered product or service in each country or the tenth anniversary of the date of the first commercial sale of the licensed product or licensed service. If we sublicense any of the Harvard/Broad Cas9-I Patent Rights to a third party pursuant to our exclusive license under the Cas9-I License Agreement, Broad and Harvard, collectively, had the right to receive a low to mid double-digit percentage of the sublicense income, which percentage decreased to a low double-digit percentage in 2018 and may still decrease to a low of a high single-digit percentage for licensed products for the prevention or treatment of human disease under sublicenses executed after we meet a certain clinical milestone.</w:t>
      </w:r>
    </w:p>
    <w:p>
      <w:pPr>
        <w:spacing w:after="0" w:line="19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Broad and Harvard retain control of the prosecution of their respective patent rights. If an interference is declared or a derivation proceeding is initiated, with respect to any Harvard/Broad Cas9-I Patent Rights, then our prosecution related rights, including our right to receive correspondence from a patent office, will be suspended with respect to the patent rights involved in the interference or derivation proceeding until, under some circumstances, we enter into a common interest agreement with that institution. Nevertheless, we remain responsible for the cost of such interference or derivation proceeding. We are responsible for the cost of the interference proceeding and appeal with respect to these patents and this patent application. Broad and Harvard are required to maintain any application or patent within the Harvard/Broad Patents Rights so long as we meet our obligation to reimburse Broad and Harvard for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related to prosecution and there is a good faith basis for doing so. If we cease payment for the prosecution of any Harvard/Broad Patent Right, then any license granted to us with respect to such Harvard/Broad Patent Right will terminate.</w:t>
      </w:r>
    </w:p>
    <w:p>
      <w:pPr>
        <w:spacing w:after="0" w:line="140"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We have the first right, but not the obligation, to enforce the Harvard/Broad Cas9-I Patent Rights with respect to our licensed products so long as certain conditions are met, such as providing Broad and Harvard with evidence demonstrating a good faith basis for bringing suit against a third party. We are solely responsible for the costs of any lawsuits we elect to initiate and cannot enter into a settlement without the prior written consent of Broad and Harvard (and MIT and Rockefeller, if applicable). Any sums recovered in such lawsuits will be shared between us, Broad, and Harvard.</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Unless terminated earlier, the term of the Cas9-I License Agreement will expire on a country-by-country basis, upon the expiration of the last to expire valid claim of the Harvard/Broad Cas9-I Patent Rights in such country. However, our royalty obligations, discussed above, may survive expiration or termination. We have the right to terminate the agreement at will upon four months’ written notice to Broad and Harvard. Broad and Harvard may terminate the agreement upon a specified period of notice in the event of our uncured material breach, such notice period varying depending on the nature of the breach. Both Broad and Harvard may terminate the Cas9-I License Agreement immediately if we challenge the enforceability, validity, or scope of any Harvard/Broad Patent Right or assist a third party to do so, or in the event of our bankruptcy or insolvency. Neither Broad nor Harvard acting alone has the right to terminate the Cas9-I License Agreement. However, Broad and Harvard may separately terminate the licenses granted to us with respect to their respective patent rights upon the occurrence of the same events that would give rise to the right of both institutions acting collectively to terminate the Cas9-I License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Broad Institute—Cpf1 License Agreement</w:t>
      </w:r>
    </w:p>
    <w:p>
      <w:pPr>
        <w:spacing w:after="0" w:line="212"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December 2016, we entered into a license agreement with Broad, for specified patent rights (“Cpf1 Patent Rights”) related primarily to Cas12a compositions of matter and their use for gene editing (as amended, the “Cpf1 License Agreement”). Pursuant to the Cpf1 License Agreement, Broad, on behalf of itself, Harvard, MIT, Wageningen University (“Wageningen”), and the University of Tokyo (“Tokyo” and collectively with the other institutions, the “Cpf1 Institutions”) granted us an exclusive, worldwide, royalty-bearing, sublicensable license to the Cpf1 Patent Rights, to make, have made, use, have used, sell, offer for sale, have sold, export and import products solely in the field of the prevention or treatment of human disease using gene therapy, editing of genetic material, or targeting of genetic material, subject to certain limitations and retained rights (collectively, the “Exclusive Cpf1 Field”), as well as a non-exclusive, worldwide, royalty-bearing, sublicensable license to the Cpf1 Patent Rights for all other purposes, subject to certain limitations and retained rights. The licenses granted to us under the Cpf1 License Agreement exclude certain fields, including human germline modification; the stimulation of biased inheritance of particular genes or traits within a population of plants or animals; the research, development, manufacturing, or commercialization of sterile seeds; and the modification of the tobacco plant with specified exceptions.</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Tokyo and the National Institute of Health (“NIH”) are joint owners on certain Cpf1 Patent Rights. Broad has only granted a license to us with respect to its interests and to Tokyo’s interests in these U.S. patent applications but not to any foreign equivalents thereof. Broad does not, and does not purport to, grant any rights in NIH’s interest in these U.S. patent applications under our agreement. As a result, we may not have exclusive rights under any U.S. patents that issue from these U.S. patent applications and we may not have any rights under any foreign patents that issue from any foreign equivalents thereof.</w:t>
      </w:r>
    </w:p>
    <w:p>
      <w:pPr>
        <w:spacing w:after="0" w:line="174" w:lineRule="exact"/>
        <w:rPr>
          <w:sz w:val="20"/>
          <w:szCs w:val="20"/>
          <w:color w:val="auto"/>
        </w:rPr>
      </w:pPr>
    </w:p>
    <w:p>
      <w:pPr>
        <w:jc w:val="both"/>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Pursuant to the Cpf1 License Agreement, and as of December 31, 2022, we have certain rights under 7 U.S. patents, 12 pending U.S. patent applications, 5 European patents and related validations, 6 pending European patent applications, and other related patent applications in jurisdictions outside of the United States and Europe.</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research, develop, and commercialize licensed products in the Exclusive Cpf1 Field. We are also required to achieve certain development milestones within specified time periods for products covered by the Cpf1 Patent Rights, with Broad having the right to terminate the Cpf1 License Agreement if we fail to achieve these milestones within the required time periods. We have the right to sublicense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licensed rights provided that the sublicense agreement must be in compliance and consistent with the terms of the Cpf1 License Agreement. Any sublicense agreement cannot include the right to grant further sublicenses without the written consent of Broad. In addition, any sublicense agreements must contain certain terms, including a provision requiring the sublicensee to indemnify the Cpf1 Institutions according to the same terms as are provided in the Cpf1 License Agreement and a statement that the Cpf1 Institutions are intended third party beneficiaries of the sublicense agreement for certain purposes.</w:t>
      </w:r>
    </w:p>
    <w:p>
      <w:pPr>
        <w:spacing w:after="0" w:line="174"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licenses granted to us under the Cpf1 License Agreement are subject to retained rights of the U.S. government in the Cpf1 Patent Rights and rights retained by the Cpf1 Institutions on behalf of themselves and other academic, government and non-profit entities, to practice the Cpf1 Patent Rights for research, teaching, or educational purposes. Our exclusive license rights also are subject to rights retained by the Cpf1 Institutions for themselves and any third party to research, develop, make, have made, use, offer for sale, sell, have sold, import or otherwise exploit the Cpf1 Patent Rights and licensed products as research products or research tools, or for research purposes.</w:t>
      </w:r>
    </w:p>
    <w:p>
      <w:pPr>
        <w:spacing w:after="0" w:line="17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Under the Cpf1 License Agreement, Broad also retained rights to grant further licenses under specified circumstances to third parties that wish to develop and commercialize products that target a particular gene and that otherwise would fall within the scope of our exclusive license from Broad. If a third party requests a license under the Cpf1 Patent Rights for the development and commercialization of a product that would be subject to our exclusive license grant from Broad (a “Cpf1 Third Party Proposed Product Request”), Broad may notify us of such request. A Cpf1 Third Party Proposed Product Request must be accompanied by a research, development and commercialization plan reasonably satisfactory to Broad, including evidence that the third party has, or reasonably expects to have, access to any necessary intellectual property and funding. Broad may not grant a Cpf1 Third Party Proposed Product Request (i) if we, directly or through any of our affiliates, sublicensees, or collaborators are researching, developing, or commercializing a product directed to the same gene target that is the subject of the Cpf1Third Party Proposed Product Request (“Cpf1 Licensee Product”) and we can demonstrate such ongoing efforts to Broad’s reasonable satisfaction, or (ii) if we, directly or through any of our affiliates or sublicensees, wish to do so either alone or with a collaboration partner, and we can demonstrate to Broad’s reasonable satisfaction that we are interested in researching, developing, and commercializing a Cpf1 Licensee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Cpf1 Licensee Product nor able to develop and implement a plan reasonably satisfactory to Broad, Broad may grant an exclusive or non-exclusive license to the third party on a gene target-by-gene target basis.</w:t>
      </w:r>
    </w:p>
    <w:p>
      <w:pPr>
        <w:spacing w:after="0" w:line="19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Cpf1 License Agreement also provides Broad with the right, subject to certain limitations, to designate gene targets for which Broad, whether alone or together with a Cpf1 Institution, affiliate or third party, has an interest in researching and developing products that would otherwise be covered by rights licensed to us under the Cpf1 License Agreement. Broad may not so designate any gene target for which we, directly or through any of our affiliates, sublicensees, or collaborators, are researching, developing, or commercializing a product, or for which we can demonstrate to Broad’s reasonable satisfaction that we are interested in researching, developing, and commercializing a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product directed toward the gene target designated by Broad and are not able to develop and implement a plan reasonably satisfactory to Broad, Broad is entitled to reserve all rights under the Cpf1 License Agreement, including the right to grant exclusive or non-exclusive licenses to third parties, to develop and commercialize products directed to such gene target, our license with respect to such gene target will terminate, and we will not be entitled under the Cpf1 License Agreement to develop and commercialize products directed to such gene target.</w:t>
      </w:r>
    </w:p>
    <w:p>
      <w:pPr>
        <w:spacing w:after="0" w:line="194"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Under the Cpf1 License Agreement, we paid Broad and Wageningen an aggregate upfront license fee in the mid seven digits and issued to Broad and Wageningen promissory notes (the “Initial Promissory Notes”) in an aggregate principal amount of $10.0 million, which we settled in full in 2017. Broad and Wageningen are collectively entitled to receive clinical and regulatory milestone payments totaling up to $20.0 million in the aggregate per licensed product approved in the United States, the European Union and Japan for the prevention or treatment of a human disease that afflicts at least a specified number of patients in the aggregate in the United States. If we undergo a change of control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during the term of the Cpf1 License Agreement, certain of these clinical and regulatory milestone payments will be increased by a certain percentage in the mid double-digits. We are also obligated to make additional payments to Broad and Wageningen, collectively, of up to an aggregate of $54.0 million upon the occurrence of certain sales milestones per licensed product for the prevention or treatment of a human disease that afflicts at least a specified number of patients in the aggregate in the United States. Broad and Wageningen are collectively entitled to receive clinical and regulatory milestone payments totaling up to $6.0 million in the aggregate per licensed product approved in the United States, the European Union and Japan for the prevention or treatment of an ultra-orphan disease. We are also obligated to make additional payments to Broad and Wageningen, collectively, of up to an aggregate of $36.0 million upon the occurrence of certain sales milestones per licensed product for the prevention or treatment of an ultra-orphan disease.</w:t>
      </w:r>
    </w:p>
    <w:p>
      <w:pPr>
        <w:spacing w:after="0" w:line="191"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Broad and Wageningen, collectively, are entitled to receive mid single-digit percentage royalties on net sales of products for the prevention or treatment of human disease, and ranging from sub single-digit to high single-digit percentage royalties on net sales of other products and services, made by us, our affiliates, or our sublicensees. The royalty percentage depends on the product and service, and whether such licensed product or licensed service is covered by a valid claim within the Cpf1 Patent Rights. If we are legally required to pay royalties to a third party on net sales of our products because such third party holds patent rights that cover such licensed product, then we can credit up to a mid double-digit percentage of the amount paid to such third party against the royalties due to Broad and Wageningen in the same period. Our obligation to pay royalties will expire on a product-by-product and country-by-country basis upon the later of the expiration of the last to expire valid claim of the Cpf1 Patent Rights that covers each licensed product or licensed service in each country or the tenth anniversary of the date of the first commercial sale of the product or service. If we sublicense any of the Cpf1 Patent Rights to a third party, Broad and Wageningen, collectively, have the right to receive high single-digit to low double-digit percentages of the sublicense income, depending on the stage of development of the products or services in question at the time of the sublicense.</w:t>
      </w:r>
    </w:p>
    <w:p>
      <w:pPr>
        <w:spacing w:after="0" w:line="194"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Under the Cpf1 License Agreement, Broad and Wageningen are also entitled, collectively, to receive success payments in the event our market capitalization reaches specified thresholds ascending from a high nine digit dollar amount to $10.0 billion (“Market Cap Success Payments”) or sale of our company for consideration in excess of those thresholds, (“Company Sale Success Payments,” which with the Market Cap Success Payments, the “Success Payments”). Market Cap Success Payments are payable by us in cash, in shares of our common stock, with such shares being valued for such purpose at the closing price of our common stock as reported the Nasdaq Stock Market for the trading day immediately preceding the date of such payment if our common stock was then listed on the Nasdaq Stock Market, or in the form of promissory notes (the “Promissory Notes”). The Promissory Notes bear interest at 4.8% per annum. Principal and interest on the Promissory Notes are payable on, subject to certain exceptions, 150 days following issuance (or if earlier, a specified period of time following a sale of our company). We could elect to make any payment of amounts outstanding under the Promissory Notes either in the form of cash or, subject to certain conditions, in shares of our common stock of equal value, with such shares being valued for such purpose at the closing price of our common stock as reported the Nasdaq Stock Market for the trading day immediately preceding the date of such payment if our common stock was then listed on the Nasdaq Stock Market. In the event of a change of control of our company or a sale of our company, we are required to pay all remaining principal and accrued interest on the Promissory Notes in cash within a specified period following such event. Following a change in control of our company, Market Cap Success Payments are required to be made in cash. Company Sale Success Payments are payable solely in cash. In 2017, two Market Cap Success Payments of $5.0 million each became due and payable and we issued Promissory Notes in such amounts, which we fully settled by issuing shares of our common stock in 2017 and 2018. In December 2020, an additional Market Cap Success Payment of $15.0 million became due and payable, which we settled through the issuance of shares of our common stock in January 2021. The remaining Success Payments that may be paid to Broad and Wageningen range from a low-eight digit dollar amount to a mid-eight digit dollar amount, and collectively will not exceed, in aggregate, $100.0 million, which maximum would be payable only if we achieve a market capitalization threshold of $10.0 billion and have at least one product candidate covered by a claim of a patent right licensed to us under either the Cpf1 License Agreement or the Cas9-I License Agreement that is or was the subject of a clinical trial pursuant to development efforts by us or any of our affiliates or sublicensees.</w:t>
      </w:r>
    </w:p>
    <w:p>
      <w:pPr>
        <w:spacing w:after="0" w:line="19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addition, in the event that a sale of our company or change of control has occurred and the maximum amount of potential Success Payments under the Cpf1 License Agreement has not been paid to Broad and Wageningen, Broad and Wageningen are entitled to receive, upon the subsequent achievement of specified regulatory milestones,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percentages ranging from high single digits to mid-to-low double digits of the remaining unpaid maximum amount of Success Payments. Broad and Wageningen are further entitled to receive up to the full remaining unpaid maximum amount of Success Payments upon the subsequent achievement of specified sales milestones. All such post-sale or post-change of control milestone payments are required to be made in cash.</w:t>
      </w:r>
    </w:p>
    <w:p>
      <w:pPr>
        <w:spacing w:after="0" w:line="18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Broad retains control of the prosecution and maintenance of the Cpf1 Patent Rights. We have the right to provide input in the prosecution of the Cpf1 Patent Rights, including to direct Broad to file and prosecute patents in certain countries. We are also obligated to reimburse Broad and Wageningen for all unreimbursed expenses incurred by them in connection with the prosecution and maintenance of the Cpf1 Patent Rights prior to the date of the Cpf1 License Agreement, and to reimburse Broad for expenses associated with the prosecution and maintenance of the Cpf1 Patent Rights following the date of the Cpf1 License Agreement.</w:t>
      </w:r>
    </w:p>
    <w:p>
      <w:pPr>
        <w:spacing w:after="0" w:line="189" w:lineRule="exact"/>
        <w:rPr>
          <w:sz w:val="20"/>
          <w:szCs w:val="20"/>
          <w:color w:val="auto"/>
        </w:rPr>
      </w:pPr>
    </w:p>
    <w:p>
      <w:pPr>
        <w:ind w:left="60" w:right="439" w:firstLine="648"/>
        <w:spacing w:after="0" w:line="254" w:lineRule="auto"/>
        <w:rPr>
          <w:sz w:val="20"/>
          <w:szCs w:val="20"/>
          <w:color w:val="auto"/>
        </w:rPr>
      </w:pPr>
      <w:r>
        <w:rPr>
          <w:rFonts w:ascii="Times New Roman" w:cs="Times New Roman" w:eastAsia="Times New Roman" w:hAnsi="Times New Roman"/>
          <w:sz w:val="18"/>
          <w:szCs w:val="18"/>
          <w:color w:val="auto"/>
        </w:rPr>
        <w:t>We have the first right, but not the obligation, to enforce the Cpf1 Patent Rights with respect to our licensed products in the Exclusive Cpf1 Field so long as certain conditions are met, such as providing Broad and the applicable Cpf1 Institutions with evidence demonstrating a good faith basis for bringing suit against a third party. We are solely responsible for the costs of any lawsuits we elect to initiate and cannot enter into a settlement without the prior written consent of Broad. Any sums recovered in such lawsuits will be shared between Broad, Wageningen, and us.</w:t>
      </w:r>
    </w:p>
    <w:p>
      <w:pPr>
        <w:spacing w:after="0" w:line="187"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Unless terminated earlier, the term of the Cpf1 License Agreement will expire on a country-by-country basis, upon the expiration of the last to expire valid claim of the Cpf1 Patent Rights in such country. However, our royalty obligations, discussed above, may survive expiration or termination. We have the right to terminate the Cpf1 License Agreement at will upon four months’ written notice to Broad. Either party may terminate the Cpf1 License Agreement upon a specified period of notice in the event of the other party’s uncured material breach of a material obligation, such notice period varying depending on the nature of the breach. Broad may terminate the Cpf1 License Agreement immediately if we challenge the enforceability, validity, or scope of any Cpf1 Patent Right or assist a third party to do so, or in the event of our bankruptcy or insolvency.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Other Broad Agreements</w:t>
      </w:r>
    </w:p>
    <w:p>
      <w:pPr>
        <w:spacing w:after="0" w:line="21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Cas9-I License Agreement and the Cpf1 License Agreement, in December 2016, we entered into a license agreement with Broad for certain Cas9 compositions of matter and their use for gene editing (the “Cas9-II Agreement”), and, in December 2018, we entered into a Sponsored Research Agreement with Broad providing for Broad to conduct research useful or relevant to genome editing in the field of genomic medicines for the prevention of treatment of human diseases with funding from us (the “Sponsored Research Agreement”). Under the Cas9-II Agreement and the Sponsored Research Agreement, we have potential obligations with respect to success payments, which are described in Note 8 to the Notes to Consolidated Financial Statements included in Item 8 of this Annual Report on Form 10-K.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platform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in-licensed patents and patent applications cover various aspects of our genome editing platform technology, including CRISPR systems that employ Cas9 including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Cas9, high-fidelity Cas9 nucleases and Cas9 PAM variants, self-inactivating forms of Cas9, Cas9 nickases, CRISPR systems that employ Cas12a including Cas12a nickases and other variants and self-inactivating forms of Cas12a, and also CRISPR systems that employ viral vectors for delivery, single guide RNAs, or modified guide RNAs, including guide nucleic acids containing both DNA and RNA components. We also have filed patent applications and have in-licensed rights to filed patent applications directed to each of the four components of our genome editing platform technology. We intend to pursue, when possible, additional patent protection, including composition of matter, method of use, and process claims, directed to each component of our platform technology. We also intend to obtain rights to existing delivery technologies through one or more licenses from third parties.</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Moreover, trade secrets can be difficult to protect.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Factors—Risks Related to Our Intellectual Property.”</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The Drug Price Competition and Patent Term Restoration Act of 1984 extension cannot extend the remaining term of a patent beyond a total of 14 years from the date of product approval, only one patent applicable to each regulatory review period may be extended and only those claims covering the approved drug or a method for using it may be extended.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CRISPR</w:t>
      </w:r>
    </w:p>
    <w:p>
      <w:pPr>
        <w:spacing w:after="0" w:line="227"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2022, we owned 24 U.S. patents, 69 pending U.S. non-provisional patent applications, 14 European patents and related validations, 63 pending European patent applications, 10 pending U.S. provisional patent applications, seven pending PCT patent applications, and other related patent applications in jurisdictions outside the United States and Europe that are related to our CRISPR technology and which include claims directed to our genome editing platform, including our directed editing component, as well as composition of matter and method of use claims for our therapeutic programs. Four of these U.S. patents, one of these European patents and their U.S., European and foreign counterpart applications are co-owned with Broad and Iowa and we have obtained an exclusive license to such co-ownership rights from these third parties in the field of prevention or treatment of human disease using gene therapy or genome editing. In addition, 13 of these pending U.S. non-provisional patent applications are co-owned with certain of our collaborators because they encompass inventions developed under our collaborations. Our current issued U.S. patents, if the appropriate maintenance fees are paid, are expected to expire between 2034 and 2038, excluding any additional term for patent term adjustments or patent term extensions. If issued as U.S. patents, and if the appropriate maintenance fees are paid, the U.S. patent applications would be expected to expire between 2035 and 2042, excluding any additional term for patent term adjustments or patent term extensions.</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2022, we in-licensed 114 U.S. patents, 54 European patents and related validations, and approximately 430 pending patent applications, including 86 pending U.S. non-provisional patent applications, 52 pending European patent applications, and other related patents and patent applications in jurisdictions outside the United States and Europe that are related to our CRISPR technology collectively from various universities and institutions. The patents and patent applications outside of the United States and Europe are held primarily in Canada, Japan, and Australia, although some of our in-licensed patent families were filed in a larger number of countries. The claims from our in-licensed portfolio include claims to compositions of matter, methods of use, and certain processes.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These include claims directed to CRISPR systems that employ Cas9 including Cas9 nickases,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Cas9, high-fidelity Cas9 nucleases, Cas9 PAM variants and self-inactivating forms of Cas9, CRISPR systems that employ Cas12a including Cas12a nickases and other variants and self-inactivating forms of Cas12a, and also CRISPR systems that employ viral vectors for delivery, single guide RNAs, or modified guide RNAs. Our current in-licensed U.S. patents, if the appropriate maintenance fees are paid, are expected to expire between 2033 and 2037, excluding any additional term for patent term adjustments or patent term extensions. If issued as U.S. patents, and if the appropriate maintenance fees are paid, the U.S. patent applications would be expected to expire between 2034 and 2037, excluding any additional term for patent term adjustments or patent term extensions.</w:t>
      </w:r>
    </w:p>
    <w:p>
      <w:pPr>
        <w:spacing w:after="0" w:line="187"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Our in-licensed patents and patent applications claim the inventions of investigators at various universities and institutions and the majority of these licensed patents and patent applications are licensed on an exclusive basis. The exclusive licenses are, in some cases, limited to certain technical fields. Certain U.S. patent applications licensed to us by Broad include Tokyo and NIH as joint applicants. Broad has only granted a license to us with respect to its interests and to Tokyo’s interests in these U.S. patent applications but not to any foreign equivalents thereof. Broad does not and does not purport to grant any rights in NIH’s interest in these U.S. patent applications under our agreement. As a result, we may not have exclusive rights under any U.S. patents that issue from these U.S. patent applications and we may not have any rights under any foreign patents that issue from any foreign equivalents thereof. For more information regarding these license agreements, please see the section of this Annual Report on Form 10-K titled “Business —Intellectual Property Licenses.”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2022, our registered trademark portfolio consisted of registrations in the United States for EDITAS, EDITAS in Stylized Letters and the Infinity Logo, registrations in Australia, China, the European Union, Japan, Switzerland and the United Kingdom for EDITAS, registrations in Australia, China, the European Union, Japan, Switzerland and the United Kingdom for the Infinity Logo, registrations in the European Union and United Kingdom for UDITAS, registrations in the European Union, Switzerland and the United Kingdom for SLEEK, and registrations in Australia, the European Union and United Kingdom for the Double Helix Design.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6"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including in the gene therapy, genome editing and cell therapy fields, are characterized by rapidly advancing technologies, intense competition, and a strong emphasis on intellectual property and proprietary products. While we believe that our technology, development experience, and scientific knowledge provide us with competitive advantages, we face potential competition from many different sources, including major pharmaceutical, specialty pharmaceutical, biotechnology companies, governmental agencies, and public and private research institutions. Any product candidates that we successfully develop and commercialize may compete with existing therapies and new therapies may become available in the future.</w:t>
      </w:r>
    </w:p>
    <w:p>
      <w:pPr>
        <w:spacing w:after="0" w:line="187"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utilize technologies encompassing genomic medicines to create therapies, including genome editing and gene therapy. There are additional companies that are working to develop therapies in areas related to our research programs. Our platform and product focus is the development of therapies using CRISPR technology specifically for genome editing. Other companies developing CRISPR Cas9 or Cas12a technology or therapies using CRISPR Cas9 or Cas12a technology include Artisan Bio, Caribou Biosciences, CRISPR Therapeutics, EdiGene, ERS Genomics, Excision Biotherapeutics, Graphite Bio, Inscripta, Intellia Therapeutics, Sigma-Aldrich, ToolGen, and Vertex Pharmaceuticals. In addition, there have been and may continue to be discoveries of new CRISPR-based gene editing technologies. There are additional companies developing therapies using related CRISPR genome editing technologies, including other CRISPR nucleases, base editing, prime editing and gene writing. These companies include Arbor Biotechnologies, Beam Therapeutics, Chroma Medicine, Emendo Biotherapeutics, Integra Therapeutics, KSQ Therapeutics, Locus Biosciences, Mammoth Biosciences, Metagenomi, Poseida Therapeutics, Prime Medicine, Scribe Therapeutics, Tessera Therapeutics, Tome Biosciences, Tune Therapeutics, and Verve Therapeutics. There are also companies developing therapies using transcription activator-like effector nucleases, meganucleases, Mega-TALs and zinc finger nucleases. These companies include 2Seventy Bio, Allogene Therapeutics, bluebird bio, Cellectis, Precision Biosciences, and Sangamo Therapeutics.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addition to competition from other genome editing therapies, gene therapies or cell medicine therapies, any products that we may develop may also face competition from other types of therapies, such as small molecule, antibody, protein, oligonucleotide, or ribonucleic acid therapies. There are also companies developing therapies related to our development programs. For hemoglobinopathies, these companies include Acceleron Pharma, Aruvant Therapeutics, Beam Therapeutics, bluebird bio, Cellectis, CRISPR Therapeutics, EdiGene, Global Blood Therapeutics, Graphite Bio, Intellia Therapeutics, Novartis Pharmaceuticals, Sangamo Therapeutics, and Vertex Pharmaceuticals.</w:t>
      </w:r>
    </w:p>
    <w:p>
      <w:pPr>
        <w:spacing w:after="0" w:line="174"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may have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182"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If our current programs are approved for the indications for which we are currently planning clinical trials, they may compete with other products currently under development, including genome editing and gene therapy products. Competition with other related products currently under development may include competition for clinical trial sites, patient recruitment, and product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1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We currently perform some manufacturing activities such as the production of RNP Complexes for our various internal programs, as well as cell processing for EDIT-301. We may also agree to produce RNP Complexes for our partners. These activities are performed on site at our existing facilities or at current good manufacturing practice-compliant space leased by us. We contract with third parties for the manufacturing of all other materials for preclinical studies and our clinical trials. We have limited manufacturing operations and do not own or operate any substantial manufacturing facilities for large-scale production of our program materials. While we have limited early-phase clinical manufacturing capabilities, we currently have no plans to build our own late-stage clinical or commercial scale manufacturing capabilities. The use of contracted manufacturing and reliance on collaboration partners is relatively cost-efficient and has eliminated the need for substantial direct investment in manufacturing facilities and additional staff early in development. Although we rely on contract manufacturers, we have personnel with manufacturing experience to oversee our contract manufacturers. We expect third-party manufacturers to be capable of providing sufficient quantities of our program materials to meet anticipated needs for preclinical studies and clinical trials. To meet our projected needs for commercial manufacturing, third parties with whom we currently work might need to increase their scale of production or we will need to secure alternate suppliers. We believe that there are alternate sources of supply that can satisfy our preclinical, clinical, and commercial requirements, although we cannot be certain that identifying and establishing relationships with such sources, if necessary, would not result in significant delay or material additional costs.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left="60" w:right="259" w:firstLine="648"/>
        <w:spacing w:after="0" w:line="275" w:lineRule="auto"/>
        <w:rPr>
          <w:sz w:val="20"/>
          <w:szCs w:val="20"/>
          <w:color w:val="auto"/>
        </w:rPr>
      </w:pPr>
      <w:r>
        <w:rPr>
          <w:rFonts w:ascii="Times New Roman" w:cs="Times New Roman" w:eastAsia="Times New Roman" w:hAnsi="Times New Roman"/>
          <w:sz w:val="17"/>
          <w:szCs w:val="17"/>
          <w:color w:val="auto"/>
        </w:rPr>
        <w:t>We currently intend to build the commercial infrastructure in the United States and Europe necessary to effectively support the commercialization of all of our programs, if and when we first believe a regulatory approval of a product candidate under one of our programs in a particular geographic market appears probable. The commercial infrastructure for orphan products typically consists of a targeted, specialty sales force that calls on a limited and focused</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group of physicians supported by sales management, medical liaisons, internal sales support, an internal marketing group, and distribution support.</w:t>
      </w:r>
    </w:p>
    <w:p>
      <w:pPr>
        <w:spacing w:after="0" w:line="16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Additional capabilities important to the orphan marketplace include the management of key accounts such as managed care organizations, group purchasing organizations, specialty pharmacies, and government accounts. To develop the appropriate commercial infrastructure, we will have to invest significant amounts of financial and management resources, some of which will be committed prior to any confirmation that any product candidate we may develop will be approved.</w:t>
      </w:r>
    </w:p>
    <w:p>
      <w:pPr>
        <w:spacing w:after="0" w:line="187"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 and Licensure of Products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Licensure and Regulation of Biologics in the United States</w:t>
      </w:r>
    </w:p>
    <w:p>
      <w:pPr>
        <w:spacing w:after="0" w:line="227" w:lineRule="exact"/>
        <w:rPr>
          <w:sz w:val="20"/>
          <w:szCs w:val="20"/>
          <w:color w:val="auto"/>
        </w:rPr>
      </w:pPr>
    </w:p>
    <w:p>
      <w:pPr>
        <w:ind w:left="60" w:right="31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our candidate products would be regulated as biological products, or biologics, under the Public Health Service Act (the “PHSA”) and the Federal Food, Drug and Cosmetic Act (the “FDCA”) and its implementing regulations and guidances. A company, institution, or organization which takes responsibility for the initiation and management of a clinical development program for such products, and their approval by regulatory authorities, is generally referred to as a sponsor. The failure to comply with the applicable U.S. requirements at any time during the product development process, including non-clinical testing, clinical testing, the approval process or post-approval process, may subject a sponsor to delays in the conduct of the study, regulatory review and approval, and/or administrative or judicial sanctions.</w:t>
      </w:r>
    </w:p>
    <w:p>
      <w:pPr>
        <w:spacing w:after="0" w:line="178"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A sponsor seeking approval to market and distribute a new biologic in the United States generally must satisfactorily complete each of the following steps:</w:t>
      </w:r>
    </w:p>
    <w:p>
      <w:pPr>
        <w:spacing w:after="0" w:line="162" w:lineRule="exact"/>
        <w:rPr>
          <w:sz w:val="20"/>
          <w:szCs w:val="20"/>
          <w:color w:val="auto"/>
        </w:rPr>
      </w:pPr>
    </w:p>
    <w:p>
      <w:pPr>
        <w:ind w:left="1040" w:right="4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(“GLP”) regulations and standards;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(“cGMP”) conditions, of the drug substance and drug product that the sponsor intends to use in human clinical trials along with required analytical and stability testing;</w:t>
      </w:r>
    </w:p>
    <w:p>
      <w:pPr>
        <w:spacing w:after="0" w:line="17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IND application for human clinical testing,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(“GCP”);</w:t>
      </w:r>
    </w:p>
    <w:p>
      <w:pPr>
        <w:spacing w:after="0" w:line="175"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 License Application (“BLA”) for a biologic product requesting marketing for one or more proposed indications, including submission of detailed information on the manufacture and composition of the product in clinical development and proposed labelling;</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5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and, if applicable, the FDA’s current good tissue practice (“GTP”) for the use of human cellular and tissue products;</w:t>
      </w:r>
    </w:p>
    <w:p>
      <w:pPr>
        <w:spacing w:after="0" w:line="169"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GCPs and the integrity of clinical data in support of the BLA;</w:t>
      </w:r>
    </w:p>
    <w:p>
      <w:pPr>
        <w:spacing w:after="0" w:line="161"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Prescription Drug User Free Act (“PDUFA”) securing FDA approval of the BLA and licensure of the new biologic product; and</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(“REMS”) and any post-approval studies required by the FDA.</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22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Before testing any biologic product candidate in humans, including a gene therapy product candidate, the product candidate must undergo preclinical testing. Preclinical tests include laboratory evaluations of product chemistry, formulation and stability, as well as studies to evaluate the potential for efficacy and toxicity in animal studies. These studies are generally referred to as IND-enabling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7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process, it may choose to impose a partial or complete clinical hold. Clinical holds are imposed by the FDA whenever there is concern for patient safety and may be a result of new data, findings, or developments in clinical, nonclinical, and/or chemistry, manufacturing, and controls. This order issued by the FDA would delay either a proposed clinical study or cause suspension of an ongoing study, until all outstanding concerns have been adequately addressed and the FDA has notified the company that investigations may proceed. This could cause significant delays or difficulties in completing planned clinical studies in a timely manner.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22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as required by the 21st Century Cures Act (the “Cures Act”), passed in 2016, if a sponsor has a policy regarding how it responds to expanded access requests, it must make that policy publicly available. Although these requirements were rolled out over time, they have now come into full effect.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189" w:lineRule="exact"/>
        <w:rPr>
          <w:sz w:val="20"/>
          <w:szCs w:val="20"/>
          <w:color w:val="auto"/>
        </w:rPr>
      </w:pPr>
    </w:p>
    <w:p>
      <w:pPr>
        <w:jc w:val="both"/>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manufacturer to make its investigational products available to eligible patients as a result of the Right to Try Act.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74"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subjects.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more frequently if serious adverse events occur. These reports must include a development safety update report, or DSUR.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The FDA will typically inspect one or more clinical sites to assure compliance with GCP and the integrity of the clinical data submitted.</w:t>
      </w:r>
    </w:p>
    <w:p>
      <w:pPr>
        <w:spacing w:after="0" w:line="17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(“DSMB”). This group may recommend continuation of the study as planned, changes in study conduct, or cessation of the study at designated check points based on certain available data from the study to which only the DSMB has access. Finally, research activities involving infectious agents, hazardous chemicals, recombinant DNA, and genetically altered organisms and agents may be subject to review and approval of an Institutional Biosafety Committee in accordance with NIH Guidelines for Research Involving Recombinant or Synthetic Nucleic Acid Molecules.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 studies may be required after approval.</w:t>
      </w:r>
    </w:p>
    <w:p>
      <w:pPr>
        <w:spacing w:after="0" w:line="203" w:lineRule="exact"/>
        <w:rPr>
          <w:sz w:val="20"/>
          <w:szCs w:val="20"/>
          <w:color w:val="auto"/>
        </w:rPr>
      </w:pPr>
    </w:p>
    <w:p>
      <w:pPr>
        <w:ind w:left="1040" w:right="239" w:hanging="315"/>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adverse effects, dose tolerance, absorption, metabolism, distribution, excretion, and pharmacodynamics in healthy humans or, on occasion, in patients, such as patients suffering from LCA10, sickle cell disease or cancer.</w:t>
      </w:r>
    </w:p>
    <w:p>
      <w:pPr>
        <w:spacing w:after="0" w:line="166" w:lineRule="exact"/>
        <w:rPr>
          <w:rFonts w:ascii="Times New Roman" w:cs="Times New Roman" w:eastAsia="Times New Roman" w:hAnsi="Times New Roman"/>
          <w:sz w:val="18"/>
          <w:szCs w:val="18"/>
          <w:color w:val="auto"/>
        </w:rPr>
      </w:pPr>
    </w:p>
    <w:p>
      <w:pPr>
        <w:ind w:left="1040" w:right="339" w:hanging="315"/>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66" w:lineRule="exact"/>
        <w:rPr>
          <w:rFonts w:ascii="Times New Roman" w:cs="Times New Roman" w:eastAsia="Times New Roman" w:hAnsi="Times New Roman"/>
          <w:sz w:val="18"/>
          <w:szCs w:val="18"/>
          <w:color w:val="auto"/>
        </w:rPr>
      </w:pPr>
    </w:p>
    <w:p>
      <w:pPr>
        <w:ind w:left="1040" w:right="159" w:hanging="315"/>
        <w:spacing w:after="0" w:line="253"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may proceed if the Phase 2 clinical trials demonstrate that a dose range of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187"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Sponsors of clinical trials are required to register and disclose certain clinical trial information on a public registry (clinicaltrials.gov) maintained by the U.S. National Institutes of Health, or NIH. The NIH’s Final Rule on registration and reporting requirements for clinical trials became effective in 2017, and both NIH and the FDA have recently signaled the government’s willingness to begin enforcing those requirements against non-compliant clinical trial sponsors. The failure to submit clinical trial information to clinicaltrials.gov, as required, is a prohibited act under the FDCA with violations subject to potential civil monetary penalties of up to $10,000 for each day the violation continues. Although the FDA has historically not enforced these reporting requirements due to HHS’s long delay in issuing final implementing regulations, those regulations have now been issued and the FDA has issued several Notices of Noncompliance to manufacturers since April 2021.</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9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For products intended to treat a serious or life-threatening disease or condition, the FDA must, upon the request of a sponsor,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Unless otherwise required by regulation, the pediatric data requirements do not apply to products with orphan designation, although FDA has taken steps to limit what it considers abuse of this statutory exemption in PREA by announcing that it does not intend to grant any additional orphan drug designations for rare pediatric subpopulations of what is otherwise a common disease.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Special Regulations and Guidance Governing Gene Therapy Products</w:t>
      </w:r>
    </w:p>
    <w:p>
      <w:pPr>
        <w:spacing w:after="0" w:line="22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It is possible that the procedures and standards applied to gene therapy products and cell therapy products may be applied to any CRISPR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transferred to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prior to administration to the recipient.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Within the FDA, the Center for Biologics Evaluation and Research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NIH, including its Novel and Exceptional Technology Research Advisory Committee (“NExTRAC”), also advises the FDA on gene therapy issues and other issues related to emerging biotechnologies. The FDA and the NIH have published guidance documents with respect to the development and submission of gene therapy protocols.</w:t>
      </w:r>
    </w:p>
    <w:p>
      <w:pPr>
        <w:spacing w:after="0" w:line="175"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The FDA has issued various guidance documents regarding gene therapies, including recent final guidance documents released in January 2020 relating to chemistry, manufacturing and controls information for gene therapy INDs, long-term follow-up after the administration of gene therapy products, gene therapies for rare diseases and gene therapies for retinal disorders, as well as draft guidance in January 2021 for Human Gene Therapy for Neurodegenerative Diseases. Although the FDA has indicated that these and other guidance documents it previously issued are not legally binding, compliance with them is likely necessary to gain approval for any gene therapy product candidate.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Until 2019, most gene therapy clinical trials required pre-review by the predecessor of NExTRAC before being submitted for approval by the IRBs and any local biosafety boards. In 2019, the NIH eliminated the pre-review process and going forward, the review of future gene therapy clinical trial protocols would be largely handled by IRBs. Furthermore, in 2019, the NIH removed from public access the Genetic Modification Clinical Research Information System database, which previously contained substantial amounts of safety and other patient information regarding human gene therapy studies performed to 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Compliance with cGMP and GTP Requirements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7"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For a gene therapy product, the FDA also will not approve the product if the manufacturer is not in compliance with GTP. These standards are found in FDA regulations and guidances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92" w:lineRule="exact"/>
        <w:rPr>
          <w:sz w:val="20"/>
          <w:szCs w:val="20"/>
          <w:color w:val="auto"/>
        </w:rPr>
      </w:pPr>
    </w:p>
    <w:p>
      <w:pPr>
        <w:ind w:left="60" w:right="279" w:firstLine="648"/>
        <w:spacing w:after="0" w:line="270" w:lineRule="auto"/>
        <w:rPr>
          <w:sz w:val="20"/>
          <w:szCs w:val="20"/>
          <w:color w:val="auto"/>
        </w:rPr>
      </w:pPr>
      <w:r>
        <w:rPr>
          <w:rFonts w:ascii="Times New Roman" w:cs="Times New Roman" w:eastAsia="Times New Roman" w:hAnsi="Times New Roman"/>
          <w:sz w:val="17"/>
          <w:szCs w:val="17"/>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electronic or physical records regarding their establishments. Delaying, denying, limiting, or refusing inspection by the FDA may lead to a product being deemed to be adulterated.</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Submission and Filing of a BLA</w:t>
      </w:r>
    </w:p>
    <w:p>
      <w:pPr>
        <w:spacing w:after="0" w:line="21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an application user fee, which for federal fiscal year 2023 is approximately $3.25 million for an application requiring clinical data. The sponsor of a licensed BLA is also subject to an annual program fee, which for fiscal year 2023 is more than $394,000. Certain exceptions and waivers are available for some of these fees, such as an exception from the application fee for products with orphan designation and a waiver for certain small businesses.</w:t>
      </w:r>
    </w:p>
    <w:p>
      <w:pPr>
        <w:spacing w:after="0" w:line="1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FDA conducts a preliminary review of all applications within 60 days of receipt and must inform the sponsor at that time or before whether an application is sufficiently complete to permit substantive review. In pertinent part, FDA’s regulations state that an application “shall not be considered as filed until all pertinent information and data have been received” by the FDA. In the event that FDA determines that an application does not satisfy this standard, it will issue a Refuse to File, or RTF, determination to the sponsor.</w:t>
      </w:r>
    </w:p>
    <w:p>
      <w:pPr>
        <w:spacing w:after="0" w:line="1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the other hand, once the submission has been accepted for filing, the FDA begins an in-depth review of the application. Under the goals and policies agreed to by the FDA under the PDUFA, the FDA has ten months in which to complete its initial review of a standard application and respond to the sponsor,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sponsor otherwise provides additional information or clarification regarding information already provided in the submission within the last three months before the PDUFA goal date.</w:t>
      </w:r>
    </w:p>
    <w:p>
      <w:pPr>
        <w:spacing w:after="0" w:line="192"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Before approving an application, the FDA typically will inspect the facility or facilities where the product is or will be manufactured. These pre-approval inspections may cover all facilities associated with a BLA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93"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its review of a BLA, the FDA may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FDA’s Decision on a BLA</w:t>
      </w:r>
    </w:p>
    <w:p>
      <w:pPr>
        <w:spacing w:after="0" w:line="227"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w:t>
      </w:r>
    </w:p>
    <w:p>
      <w:pPr>
        <w:spacing w:after="0" w:line="17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and any FDA audits of non-clinical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Such resubmissions are classified under PDUFA as either Class 1 or Class 2. The classification of a resubmission is based on the information submitted by a sponsor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194"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25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FDA is authorized to expedite the review of applications in several ways. None of these expedited programs, however, changes the standards for approval but they may help expedite the development or approval process of product candidates.</w:t>
      </w:r>
    </w:p>
    <w:p>
      <w:pPr>
        <w:spacing w:after="0" w:line="174" w:lineRule="exact"/>
        <w:rPr>
          <w:sz w:val="20"/>
          <w:szCs w:val="20"/>
          <w:color w:val="auto"/>
        </w:rPr>
      </w:pPr>
    </w:p>
    <w:p>
      <w:pPr>
        <w:ind w:left="1260" w:right="179" w:hanging="319"/>
        <w:spacing w:after="0" w:line="254"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Fast Track designation</w:t>
      </w:r>
      <w:r>
        <w:rPr>
          <w:rFonts w:ascii="Times New Roman" w:cs="Times New Roman" w:eastAsia="Times New Roman" w:hAnsi="Times New Roman"/>
          <w:sz w:val="18"/>
          <w:szCs w:val="18"/>
          <w:color w:val="auto"/>
        </w:rPr>
        <w:t>: Candidate products are eligible for Fast Track designation if they are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84" w:lineRule="exact"/>
        <w:rPr>
          <w:rFonts w:ascii="Times New Roman" w:cs="Times New Roman" w:eastAsia="Times New Roman" w:hAnsi="Times New Roman"/>
          <w:sz w:val="18"/>
          <w:szCs w:val="18"/>
          <w:color w:val="auto"/>
        </w:rPr>
      </w:pPr>
    </w:p>
    <w:p>
      <w:pPr>
        <w:ind w:left="1260" w:right="119" w:hanging="319"/>
        <w:spacing w:after="0" w:line="253"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intended to treat a serious or life-threatening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development program, intensive involvement of senior managers and experienced staff on a proactive, collaborative and cross-disciplinary review and rolling review.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right="199" w:hanging="319"/>
        <w:spacing w:after="0" w:line="261"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it would be a significant improvement in the safety or effectiveness of the treatment, diagnosis or prevention compared to marketed products. FDA aims to complete its review of priority review applications within six months as opposed to 10 months for standard review.</w:t>
      </w:r>
    </w:p>
    <w:p>
      <w:pPr>
        <w:spacing w:after="0" w:line="166" w:lineRule="exact"/>
        <w:rPr>
          <w:rFonts w:ascii="Times New Roman" w:cs="Times New Roman" w:eastAsia="Times New Roman" w:hAnsi="Times New Roman"/>
          <w:sz w:val="18"/>
          <w:szCs w:val="18"/>
          <w:color w:val="auto"/>
        </w:rPr>
      </w:pPr>
    </w:p>
    <w:p>
      <w:pPr>
        <w:ind w:left="1260" w:right="79" w:hanging="319"/>
        <w:spacing w:after="0" w:line="252"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 products studied for their safety and effectiveness in treating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life-threatening conditions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176" w:lineRule="exact"/>
        <w:rPr>
          <w:rFonts w:ascii="Times New Roman" w:cs="Times New Roman" w:eastAsia="Times New Roman" w:hAnsi="Times New Roman"/>
          <w:sz w:val="18"/>
          <w:szCs w:val="18"/>
          <w:color w:val="auto"/>
        </w:rPr>
      </w:pPr>
    </w:p>
    <w:p>
      <w:pPr>
        <w:ind w:left="1240" w:right="2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passage of the Food and Drug Omnibus Reform Act, or FDORA, in December 2022, Congress modified certain provisions governing accelerated approval of drug and biologic products. Specifically, the new legislation authorized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an NDA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188" w:lineRule="exact"/>
        <w:rPr>
          <w:rFonts w:ascii="Times New Roman" w:cs="Times New Roman" w:eastAsia="Times New Roman" w:hAnsi="Times New Roman"/>
          <w:sz w:val="18"/>
          <w:szCs w:val="18"/>
          <w:color w:val="auto"/>
        </w:rPr>
      </w:pPr>
    </w:p>
    <w:p>
      <w:pPr>
        <w:ind w:left="1260" w:right="139" w:hanging="319"/>
        <w:spacing w:after="0" w:line="252"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Regenerative advanced therapy. </w:t>
      </w:r>
      <w:r>
        <w:rPr>
          <w:rFonts w:ascii="Times New Roman" w:cs="Times New Roman" w:eastAsia="Times New Roman" w:hAnsi="Times New Roman"/>
          <w:sz w:val="18"/>
          <w:szCs w:val="18"/>
          <w:color w:val="auto"/>
        </w:rPr>
        <w:t>With passage of the 21st Century Cures Act, or the Cures Act,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88"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6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9" w:lineRule="exact"/>
        <w:rPr>
          <w:sz w:val="20"/>
          <w:szCs w:val="20"/>
          <w:color w:val="auto"/>
        </w:rPr>
      </w:pPr>
    </w:p>
    <w:p>
      <w:pPr>
        <w:ind w:left="1040" w:right="23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which describe the types of evidence that the agency will consider in determining the intended use of a drug or biologic.</w:t>
      </w:r>
    </w:p>
    <w:p>
      <w:pPr>
        <w:spacing w:after="0" w:line="192" w:lineRule="exact"/>
        <w:rPr>
          <w:sz w:val="20"/>
          <w:szCs w:val="20"/>
          <w:color w:val="auto"/>
        </w:rPr>
      </w:pPr>
    </w:p>
    <w:p>
      <w:pPr>
        <w:ind w:left="60" w:right="319" w:firstLine="648"/>
        <w:spacing w:after="0" w:line="270" w:lineRule="auto"/>
        <w:rPr>
          <w:sz w:val="20"/>
          <w:szCs w:val="20"/>
          <w:color w:val="auto"/>
        </w:rPr>
      </w:pPr>
      <w:r>
        <w:rPr>
          <w:rFonts w:ascii="Times New Roman" w:cs="Times New Roman" w:eastAsia="Times New Roman" w:hAnsi="Times New Roman"/>
          <w:sz w:val="17"/>
          <w:szCs w:val="17"/>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175"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at the FDA based on acceptable confidential requests made under the regulatory provisions. The product must then go through the review and approval process like any other product.</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In particular, the concept of what constitutes the “same drug” for purposes of orphan drug exclusivity remains in flux in the context of gene therapies, and the FDA has recently issued guidance indicating it would consider two gene therapy products for the same indication to be different, thus each eligible for orphan drug exclusivity, if they express different transgenes or have or use different vectors, so long as those differences are not “minor.” The FDA will determine whether two vectors from the same viral class are the same on a case-by-case basis and may consider additional key features in assessing sameness. If a product designated as an orphan drug ultimately receives marketing approval for an indication broader than what was designated in its orphan drug application, it may not be entitled to exclusivity.</w:t>
      </w:r>
    </w:p>
    <w:p>
      <w:pPr>
        <w:spacing w:after="0" w:line="19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FDA announced that, in matters beyond the scope of that court order, FDA will continue to apply its existing regulations tying orphan-drug exclusivity to the uses or indications for which the orphan drug was approved.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14" w:lineRule="exact"/>
        <w:rPr>
          <w:sz w:val="20"/>
          <w:szCs w:val="20"/>
          <w:color w:val="auto"/>
        </w:rPr>
      </w:pPr>
    </w:p>
    <w:p>
      <w:pPr>
        <w:ind w:left="60" w:right="519" w:firstLine="648"/>
        <w:spacing w:after="0" w:line="312" w:lineRule="auto"/>
        <w:rPr>
          <w:sz w:val="20"/>
          <w:szCs w:val="20"/>
          <w:color w:val="auto"/>
        </w:rPr>
      </w:pPr>
      <w:r>
        <w:rPr>
          <w:rFonts w:ascii="Times New Roman" w:cs="Times New Roman" w:eastAsia="Times New Roman" w:hAnsi="Times New Roman"/>
          <w:sz w:val="17"/>
          <w:szCs w:val="17"/>
          <w:color w:val="auto"/>
        </w:rPr>
        <w:t>Pediatric exclusivity is another type of non-patent marketing exclusivity in the United States and, if granted, provides for the attachment of an additional six months of marketing protection to the term of any existing regulatory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To date, the FDA has approved a number of biosimilars and the first interchangeable biosimilar product was approved on July 30, 2021, and a second product previously approved as a biosimilar was designated as interchangeable in October 2021. The FDA has also issued numerous guidance documents outlining its approach to reviewing and licensing biosimilars and interchangeable biosimilars under the PHSA, including a draft guidance issued in November 2020 that seeks to provide additional clarity to manufacturers of interchangeable biosimilars.</w:t>
      </w:r>
    </w:p>
    <w:p>
      <w:pPr>
        <w:spacing w:after="0" w:line="191"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FDA may approve multiple first interchangeable biosimilar biological products so long as the products are all approved on the first day on which such a product is approved as interchangeable with the reference product.</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w:t>
      </w:r>
      <w:r>
        <w:rPr>
          <w:rFonts w:ascii="Times New Roman" w:cs="Times New Roman" w:eastAsia="Times New Roman" w:hAnsi="Times New Roman"/>
          <w:sz w:val="18"/>
          <w:szCs w:val="18"/>
          <w:color w:val="231F20"/>
        </w:rPr>
        <w:t>There have been recent government proposals to reduce the 12-year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reference product exclusivity period, but none has been enacted to date. At the same time, since passage of the BPCIA, many states have passed laws or amendments to laws, which address pharmacy practices involving biosimilar products.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27"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A patent claiming a new biologic product, its method of use or its method of manufacture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which approval is sought can only be extended in connection with one of the approvals. The USPTO reviews and approves the application for any patent term extension or restoration in consultation with the FDA.</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FDA Approval of Companion Diagnostics</w:t>
      </w:r>
    </w:p>
    <w:p>
      <w:pPr>
        <w:spacing w:after="0" w:line="227"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on issues related to co-development of the products.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2014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product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April 2020, the FDA issued additional guidance which describes considerations for the development and labeling of companion diagnostic devices to support the indicated uses of multiple drug or biological oncology products, when appropriate. This guidance builds upon existing policy regarding the labeling of companion diagnostics. In its 2014 guidance, the FDA stated that if evidence is sufficient to conclude that the companion diagnostic is appropriate for use with a specific group of therapeutic products, the companion diagnostic’s intended use/indications for use should name the specific group of therapeutic products, rather than specific products.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174"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18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FDA previously has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the product candidate to obtain pre-market approval (“PMA”) simultaneously with approval of the therapeutic product candidate. The PMA process, including the gathering of clinical and preclinical data and the submission to and review by the FDA, can take several years or longer. It involves a rigorous premarket review during which the sponsor must prepare and provide the FDA with reasonable assurance of the device’s safety and effectiveness and information about the device and its components regarding, among other things, device design, manufacturing and labeling. PMA applications are subject to an application fee. For federal fiscal year 2023, the standard fee is $441,547 and the small business fee is $110,387.</w:t>
      </w:r>
    </w:p>
    <w:p>
      <w:pPr>
        <w:spacing w:after="0" w:line="173"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Procedures Governing Approval of Medicinal Products in the European Union</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Before the new Clinical Trials Regulation, (EU) No 536/2014, or the Clinical Trials Regulation, came into application in January 2022, requirements for the conduct of clinical trials in the European Union, or EU, were set forth in Clinical Trials Directive 2001/20/EC and the Directive 2005/28/EC on GCP. This system for the approval of clinical trials in the European Union has been implemented through national legislation of the member states. 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competent ethics committee has issued a favorable opinion.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8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April 2014, the Clinical Trials Regulation, (EU) No 536/2014, or the Clinical Trials Regulation, was adopted. The Clinical Trials Regulation aims to simplify and streamline the approval of clinical trials in the EU.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9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Clinical Trials Regulation came into application in all the EU Member States on January 31, 2022, repealing Clinical Trials Directive 2001/20/EC. According to the transitional provisions, if a clinical trial continues for more than three years from the day on which the Clinical Trials Regulation became applicable, the Clinical Trials Regulation will at that time begin to apply to the clinical trial.</w:t>
      </w:r>
    </w:p>
    <w:p>
      <w:pPr>
        <w:spacing w:after="0" w:line="18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Parties conducting certain clinical studies must, as in the U.S., post clinical trial information in the European Union at the EudraCT website: https://eudract.ema.europa.eu.</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227"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21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Sponsors developing a new medicinal product must agree upon a Pediatric Investigation Plan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European Union regulatory system, a sponsor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 sponsor established in the European Union. Regulation (EC) No 1901/2006 provides that prior to obtaining a marketing authorization in the European Union, a sponsor must demonstrate compliance with all measures included in an EMA-approved PIP, covering all subsets of the pediatric population, unless the EMA has granted a product-specific waiver, class waiver, or a deferral for one or more of the measures included in the PIP.</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19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application for marketing authorization. The European Commission grants or refuses marketing authorization in light of the opinion delivered by EMA.</w:t>
      </w:r>
    </w:p>
    <w:p>
      <w:pPr>
        <w:spacing w:after="0" w:line="16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an initial assessment of a product. Under the centralized procedure in the European Union, the maximum timeframe for the evaluation of an MAA is 210 days, excluding clock stops when additional information or written or oral explanation is to be provided by the sponsor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Specialized Procedures for Gene Therapies</w:t>
      </w:r>
    </w:p>
    <w:p>
      <w:pPr>
        <w:spacing w:after="0" w:line="22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grant of marketing authorization in the European Union for gene therapy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European Union</w:t>
      </w:r>
    </w:p>
    <w:p>
      <w:pPr>
        <w:spacing w:after="0" w:line="22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European Union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22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Reimbursement and Pricing of Prescription Pharmaceuticals</w:t>
      </w:r>
    </w:p>
    <w:p>
      <w:pPr>
        <w:spacing w:after="0" w:line="22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to those in the United States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pharmaceutical firms may be required to conduct a clinical trial that compares the cost-effectiveness of the product to other available therapies.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9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 orphan drug designation provides a number of benefits, including fee reductions, regulatory assistance, and the possibility to apply for a centralized European Union marketing authorization. Marketing authorization for an orphan drug leads to a ten-year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Products that are granted a marketing authorization with the results of the pediatric clinical trials conducted in accordance with the PIP are eligible for a six-month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Patent Term Extensions in the European Union and Other Jurisdictions</w:t>
      </w:r>
    </w:p>
    <w:p>
      <w:pPr>
        <w:spacing w:after="0" w:line="227"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The European Union also provides for patent term extension through Supplementary Protection Certificates, or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The United Kingdom’s withdrawal from the EU took place on January 31, 2020. The EU and the UK reached an agreement on their new partnership in the Trade and Cooperation Agreement, (“the Agreement”), which entered into force on May 1, 2021. The Agreement focuses primarily on free trade by ensuring no tariffs or quotas on trade in goods, including healthcare products such as medicinal products. Thereafter, the EU and the UK will form two separate markets governed by two distinct regulatory and legal regimes. As such, the Agreement seeks to minimize barriers to trade in goods while accepting that border checks will become inevitable as a consequence that the UK is no longer part of the single market. As of January 1, 2021, the Medicines and Healthcare products Regulatory Agency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the body of EU law instruments governing medicinal products that pre-existed prior to the UK’s withdrawal from the EU.</w:t>
      </w:r>
    </w:p>
    <w:p>
      <w:pPr>
        <w:spacing w:after="0" w:line="183"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for pharmaceutical products in the UK covering the quality, safety, and efficacy of pharmaceutical products, clinical trials, marketing authorization,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UK. For example, the UK is no longer covered by the centralized procedures for obtaining EU-wide marketing authorization from the EMA, and a separate marketing authorization will be required to market our product candidates in the UK Until 31 December 2023, it is possible for the MHRA to rely on a decision taken by the European Commission on the approval of a new marketing authorization via the centralized procedure.</w:t>
      </w:r>
    </w:p>
    <w:p>
      <w:pPr>
        <w:spacing w:after="0" w:line="192"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As with other issues related to Brexit, there are open questions about how personal data will be protected in the UK and whether personal information can transfer from the EU to the UK. Following the withdrawal of the UK from the EU, the UK Data Protection Act 2018 applies to the processing of personal data that takes place in the UK and includes parallel obligations to those set forth by GDPR. While the Data Protection Act of 2018 in the United Kingdom that “implements” and complements the European Union General Data Protection Regulation, or GDPR, has achieved Royal Assent on May 23, 2018 and is now effective in the United Kingdom, it is still unclear whether transfer of data from the European Economic Area, or EEA, to the UK will remain lawful under GDPR. The United Kingdom government has already determined that it considers all European Union and EEA member states to be adequate for the purposes of data protection, ensuring that data flows from the United Kingdom to the European Union/EEA remain unaffected. In addition, a recent decision from the European Commission appears to deem the UK as being “essentially adequate” for purposes of data transfer from the EU to the UK, although this decision may be re-evaluated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227" w:lineRule="exact"/>
        <w:rPr>
          <w:sz w:val="20"/>
          <w:szCs w:val="20"/>
          <w:color w:val="auto"/>
        </w:rPr>
      </w:pPr>
    </w:p>
    <w:p>
      <w:pPr>
        <w:ind w:left="60" w:right="259" w:firstLine="648"/>
        <w:spacing w:after="0" w:line="251"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July 2020, the Court of Justice of the European Union, (“CJEU”), invalidated the EU-U.S. Privacy Shield framework, one of the mechanisms used to legitimize the transfer of personal data from the EU to the United States. The CJEU decision also drew into question the long-term viability of an alternative means of data transfer, the standard contractual clauses, for transfers of personal data from the EU to the United States. Additionally, in October 2022, President Joe Biden signed an executive order to implement the EU-U.S. Data Privacy Framework, which would serve as a replacement to the EU-US Privacy Shield. The EC initiated the process to adopt an adequacy decision for the EU-US Data Privacy Framework in December 2022. It is unclear if and when the framework will be finalized and whether it will be challenged in court. The uncertainty around this issue may further impact our business operations in the EU. Following the withdrawal of the UK from the EU, the UK Data Protection Act 2018 applies to the processing of personal data that takes place in the UK and includes parallel obligations to those set forth by GDPR, including in relation to data transfers.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Coverage, Pricing, and Reimbursement</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176" w:lineRule="exact"/>
        <w:rPr>
          <w:sz w:val="20"/>
          <w:szCs w:val="20"/>
          <w:color w:val="auto"/>
        </w:rPr>
      </w:pPr>
    </w:p>
    <w:p>
      <w:pPr>
        <w:ind w:left="60" w:right="219" w:firstLine="648"/>
        <w:spacing w:after="0" w:line="269" w:lineRule="auto"/>
        <w:rPr>
          <w:sz w:val="20"/>
          <w:szCs w:val="20"/>
          <w:color w:val="auto"/>
        </w:rPr>
      </w:pPr>
      <w:r>
        <w:rPr>
          <w:rFonts w:ascii="Times New Roman" w:cs="Times New Roman" w:eastAsia="Times New Roman" w:hAnsi="Times New Roman"/>
          <w:sz w:val="17"/>
          <w:szCs w:val="17"/>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8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Healthcare Law and Regulation</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174" w:lineRule="exact"/>
        <w:rPr>
          <w:sz w:val="20"/>
          <w:szCs w:val="20"/>
          <w:color w:val="auto"/>
        </w:rPr>
      </w:pPr>
    </w:p>
    <w:p>
      <w:pPr>
        <w:ind w:left="1040" w:right="499" w:hanging="315"/>
        <w:spacing w:after="0" w:line="289" w:lineRule="auto"/>
        <w:tabs>
          <w:tab w:leader="none" w:pos="10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19"/>
        <w:spacing w:after="0" w:line="282" w:lineRule="auto"/>
        <w:rPr>
          <w:sz w:val="20"/>
          <w:szCs w:val="20"/>
          <w:color w:val="auto"/>
        </w:rPr>
      </w:pPr>
      <w:r>
        <w:rPr>
          <w:rFonts w:ascii="Times New Roman" w:cs="Times New Roman" w:eastAsia="Times New Roman" w:hAnsi="Times New Roman"/>
          <w:sz w:val="18"/>
          <w:szCs w:val="18"/>
          <w:color w:val="auto"/>
        </w:rPr>
        <w:t>order or recommendation of, any good or service, for which payment may be made, in whole or in part, under a federal healthcare program such as Medicare and Medicaid;</w:t>
      </w:r>
    </w:p>
    <w:p>
      <w:pPr>
        <w:spacing w:after="0" w:line="162" w:lineRule="exact"/>
        <w:rPr>
          <w:sz w:val="20"/>
          <w:szCs w:val="20"/>
          <w:color w:val="auto"/>
        </w:rPr>
      </w:pPr>
    </w:p>
    <w:p>
      <w:pPr>
        <w:ind w:left="1040" w:right="139" w:hanging="315"/>
        <w:spacing w:after="0" w:line="258"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69"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penalty and false statement laws and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spacing w:after="0" w:line="166"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166"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66"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spacing w:after="0" w:line="175" w:lineRule="exact"/>
        <w:rPr>
          <w:rFonts w:ascii="Times New Roman" w:cs="Times New Roman" w:eastAsia="Times New Roman" w:hAnsi="Times New Roman"/>
          <w:sz w:val="18"/>
          <w:szCs w:val="18"/>
          <w:color w:val="auto"/>
        </w:rPr>
      </w:pPr>
    </w:p>
    <w:p>
      <w:pPr>
        <w:ind w:left="1040" w:right="99" w:hanging="315"/>
        <w:spacing w:after="0" w:line="255"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(“PPACA”), as amended by the Health Care Education Reconciliation Act, which requires certain manufacturers of drugs, devices, biologics and medical supplies to report annually to the Centers for Medicare &amp; Medicaid Services (“CMS”) within the U.S. Department of Health and Human Services,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175" w:lineRule="exact"/>
        <w:rPr>
          <w:rFonts w:ascii="Times New Roman" w:cs="Times New Roman" w:eastAsia="Times New Roman" w:hAnsi="Times New Roman"/>
          <w:sz w:val="18"/>
          <w:szCs w:val="18"/>
          <w:color w:val="auto"/>
        </w:rPr>
      </w:pPr>
    </w:p>
    <w:p>
      <w:pPr>
        <w:ind w:left="1040" w:right="35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0"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United States Congress enacted the PPACA, which, among other things, includes changes to the coverage and payment for products under government health care programs.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Coronavirus Aid, Relief and Economic Security Act, or CARES Act. Under subsequent legislation, these Medicare sequester reductions were suspended and reduced through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(the “Tax Act”), which was signed by President Trump on December 22, 2017, Congress repealed the “individual mandate.” The repeal of this provision, which requires most Americans to carry a minimal level of health insurance, became effective in 2019. On December 14, 2018, a U.S. District Court judge in the Northern District of Texas ruled that the individual mandate portion of the PPACA is an essential and inseverable feature of the PPACA, and therefore because the mandate was repealed as part of the Tax Act, the remaining provisions of the PPACA are invalid as well. In June 2021, the U.S. Supreme Court dismissed this action after finding that the plaintiffs do not have standing to challenge the constitutionality of the ACA. Litigation and legislation over the PPACA are likely to continue, with unpredictable and uncertain results.</w:t>
      </w:r>
    </w:p>
    <w:p>
      <w:pPr>
        <w:spacing w:after="0" w:line="193"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rescinded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229"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Infrastructure Investment and Jobs Act to January 1, 2026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18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r>
    </w:p>
    <w:p>
      <w:pPr>
        <w:spacing w:after="0" w:line="191"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8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healthcare organizations and individual hospitals are increasingly using bidding procedures to determine what pharmaceutical products and which suppliers will be included in their prescription pharmaceutical and other healthcare programs. These measures could reduce the ultimate demand for our products, once approved, or put pressure on our product pricing. We expect that additional state and federal healthcare reform measures will be adopted in the future,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of which could limit the amounts that federal and state governments will pay for healthcare products and services, which could result in reduced demand for our product candidates or additional pricing pressures.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Laws</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(“HIPAA”), the U.S. Department of Health and Human Services, or HHS, has issued regulations to protect the privacy and security of protected health information, or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96" w:lineRule="exact"/>
        <w:rPr>
          <w:sz w:val="20"/>
          <w:szCs w:val="20"/>
          <w:color w:val="auto"/>
        </w:rPr>
      </w:pPr>
    </w:p>
    <w:p>
      <w:pPr>
        <w:ind w:left="60" w:right="139" w:firstLine="648"/>
        <w:spacing w:after="0" w:line="249"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(the “CCPA”), which took effect on January 1, 2020 and imposed many requirements on businesses that process the personal information of California residents. Many of the CCPA’s requirements are similar to those found in the General Data Protection Regulation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In addition, other states, including Virginia, Colorado, Utah, and Connecticut already have passed state privacy laws. Virginia’s privacy law also went into effect on January 1, 2023, and the laws in the other three states will go into effect later in the year. Other states will be considering these laws in the future, and Congress has also been debating passing a federal privacy law. These laws may impact our business activities, including our identification of research subjects, relationships with business partners and ultimately the marketing and distribution of our products.</w:t>
      </w:r>
    </w:p>
    <w:p>
      <w:pPr>
        <w:spacing w:after="0" w:line="20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Regulations</w:t>
      </w:r>
    </w:p>
    <w:p>
      <w:pPr>
        <w:spacing w:after="0" w:line="21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third countries that impose similar obligations.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1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As of February 1, 2023, we had 226 full-time employees, including 113 employees with M.D. or Ph.D. degrees. Of these full-time employees, 140 employees are engaged in research and development activities. None of our employees are represented by a labor union or covered by a collective bargaining agreement. We anticipate that we will increase headcount in our manufacturing and clinical organizations as we accelerate the clinical development of EDIT-301 to treat SCD and TDT, and in our research organization to strengthen our discovery engine and technological capabilities.</w:t>
      </w:r>
    </w:p>
    <w:p>
      <w:pPr>
        <w:spacing w:after="0" w:line="16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At Editas, we seek to unlock the full potential of gene editing technology, and we recognize that our success is driven by our dynamic, passionate and diverse team. We work together with integrity, guided by our distinct culture, to develop transformative medicines for people living with serious diseases around the world. At the center of our culture are our core values, which guide and define the behaviors that make our culture unique and enable us to bring our best selves forward to achieve our mission of translating the promise of gene editing into a broad class of differentiated, transformational medicines for previously untreatable or under-treated diseases:</w:t>
      </w:r>
    </w:p>
    <w:p>
      <w:pPr>
        <w:spacing w:after="0" w:line="189"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 We are active within our teams, Editas, and the broader community.</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 – We succeed together through collaboration, communication, and mutual respect.</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 We are focused to urgently deliver transformative medicines to patients.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Resilience – We adapt and learn from setbacks and proactively prepare for future challenges.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 We hold ourselves, our teams, and Editas responsible for both our successes and failures.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Diversity, Equity and Inclusion</w:t>
      </w:r>
    </w:p>
    <w:p>
      <w:pPr>
        <w:spacing w:after="0" w:line="21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We strongly believe that our greatest strength comes from the people who make up our team. Each employee brings diverse perspectives, backgrounds, and thinking styles, and, by embracing and celebrating these differences, we strengthen our culture and further our mission to pioneer a new field of genome editing. We are committed to preserving and further cultivating our diverse and inclusive workforce, including in our senior management team, to ensure an environment where employees feel empowered to achieve their fullest potential.</w:t>
      </w:r>
    </w:p>
    <w:p>
      <w:pPr>
        <w:spacing w:after="0" w:line="183" w:lineRule="exact"/>
        <w:rPr>
          <w:sz w:val="20"/>
          <w:szCs w:val="20"/>
          <w:color w:val="auto"/>
        </w:rPr>
      </w:pPr>
    </w:p>
    <w:p>
      <w:pPr>
        <w:ind w:left="60" w:right="139" w:firstLine="648"/>
        <w:spacing w:after="0" w:line="280" w:lineRule="auto"/>
        <w:rPr>
          <w:sz w:val="20"/>
          <w:szCs w:val="20"/>
          <w:color w:val="auto"/>
        </w:rPr>
      </w:pPr>
      <w:r>
        <w:rPr>
          <w:rFonts w:ascii="Times New Roman" w:cs="Times New Roman" w:eastAsia="Times New Roman" w:hAnsi="Times New Roman"/>
          <w:sz w:val="17"/>
          <w:szCs w:val="17"/>
          <w:color w:val="auto"/>
        </w:rPr>
        <w:t>As of December 31, 2022, approximately 52% of our full-time employees were women and 48% of our senior management (director level and above) were women. As of December 31, 2022, approximately 45% of our full-time employees identify as racially/ethnically diverse and 33% of our senior management identify as racially/ethnically diverse.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Recruitment, Retention and Development</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Successful execution of our strategy is dependent on attracting, retaining and motivating a diverse team of highly skilled employees at all levels. We believe a key component of recruiting, retaining and motivating our employees is our total compensation package. For this reason, we provide employees with competitive compensation, including market-competitive salary and equity awards, along with competitive benefits packages, including medical, dental, vision and life insurance, an employee stock purchase plan, flexible spending accounts, short- and long-term disability and matching contributions to a 401(k) tax-deferred savings plan. We also provide annual cash incentive bonus opportunities that are tied to both company performance and individual performance to foster a pay-for-performance culture. We regularly benchmark these total rewards against our industry peers to ensure we remain competitive and attractive to potential new hires.</w:t>
      </w:r>
    </w:p>
    <w:p>
      <w:pPr>
        <w:spacing w:after="0" w:line="19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believe that continued learning and development, training and other resources are also an essential part of retaining our employees and creating a culture of learning and leadership. We encourage our employees to participate and take advantage of a variety of learning and development resources, including online skills courses, professional development events, and external training programs based on individual needs. We have also implemented formal coaching and mentoring programs, which enable employees to connect with, and learn and develop from, individuals across our company.</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 and Engagement</w:t>
      </w:r>
    </w:p>
    <w:p>
      <w:pPr>
        <w:spacing w:after="0" w:line="25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recognize that our employees perform best when they know how their work contributes to our overall strategy. To achieve this, we emphasize open and direct communication through the use of a variety of channels, including quarterly all-company business updates from the senior management team, fireside chats with new members of the board of directors and our executive management team, open forums and company-wide written communications, and postings on our company intranet.</w:t>
      </w:r>
    </w:p>
    <w:p>
      <w:pPr>
        <w:spacing w:after="0" w:line="183"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In addition, we periodically conduct employee surveys to gauge employee engagement and solicit feedback, and enhance our understanding of the views of our employees, work environment and culture. The results from engagement surveys are used to implement programs and processes designed to enhance employee engagement and improve the employee experience.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Wellness and Safety</w:t>
      </w:r>
    </w:p>
    <w:p>
      <w:pPr>
        <w:spacing w:after="0" w:line="256"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Employee safety and well-being is of paramount importance to us. In addition to traditional benefits such as healthcare, flexible time off, paid parental leave, and retirement benefits, we offer a variety of benefits and resources to support employees’ physical and mental health, including a lifestyle spending allowance that employees may allocate to certain wellness programs and a third-party employee assistance program, which help us both attract talent and help to realize a healthier workforce.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1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under the name Gengine, Inc. as a Delaware corporation in September 2013, and we changed our name to Editas Medicine, Inc. in November 2013. Our principal executive offices are located at 11 Hurley St., Cambridge, Massachusetts, 02141, and our telephone number is (617) 401-9000.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319"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internet website at www.editasmedicine.com and make available free of charge through our website our Annual Reports on Form 10-K, Quarterly Reports on Form 10-Q, Current Reports on Form 8-K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Securities and Exchange Commission, or the SEC.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spacing w:after="0" w:line="17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$220.4 million, $192.5 million, and $116.0 million for the years ended December 31, 2022, 2021 and 2020, respectively. As of December 31, 2022, we had an accumulated deficit of $1.1 billion. We have financed our operations primarily through public offerings of our common stock, our collaboration with Bristol Myers Squibb Company (“BMS”) through its wholly owned subsidiary, Juno Therapeutics, Inc. (“Juno Therapeutics”), and payments under our former strategic alliance with Allergan Pharmaceuticals International Limited (which was acquired by AbbVie Inc. in May 2020 and is referred to together with its affiliates as “Allergan”). We have devoted substantially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93" w:lineRule="exact"/>
        <w:rPr>
          <w:sz w:val="20"/>
          <w:szCs w:val="20"/>
          <w:color w:val="auto"/>
        </w:rPr>
      </w:pPr>
    </w:p>
    <w:p>
      <w:pPr>
        <w:ind w:left="1040" w:right="31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the clinical development of EDIT-301 to treat severe sickle cell disease (“SCD”) and transfusion-dependent beta-thalassemia (“TDT”);</w:t>
      </w:r>
    </w:p>
    <w:p>
      <w:pPr>
        <w:spacing w:after="0" w:line="159" w:lineRule="exact"/>
        <w:rPr>
          <w:rFonts w:ascii="Times New Roman" w:cs="Times New Roman" w:eastAsia="Times New Roman" w:hAnsi="Times New Roman"/>
          <w:sz w:val="18"/>
          <w:szCs w:val="18"/>
          <w:color w:val="auto"/>
        </w:rPr>
      </w:pPr>
    </w:p>
    <w:p>
      <w:pPr>
        <w:ind w:left="1040" w:right="199" w:hanging="315"/>
        <w:spacing w:after="0" w:line="267"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our current research programs, including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treatments for hemoglobinopothies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and our preclinical and clinical development of product candidates from our current research programs;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any product candidates we identify and develop;</w:t>
      </w:r>
    </w:p>
    <w:p>
      <w:pPr>
        <w:spacing w:after="0" w:line="22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 provide reimbursement of third-party expenses related to our patent portfolio;</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5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medicines for which we may obtain marketing approval;</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genome editing platform;</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225"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medicines and technologies;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 commercial-scale current Good Manufacturing Practices (“cGMP”) manufacturing facility;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are in the early stages of the clinical development of EDIT-301 and expect that it will be many years, if ever, before we have a product candidate ready for commercialization. To become and remain profitable, we must develop and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Other than EDIT-301, we are currently only in the preclinical testing stages for our most advanced research programs.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cause our stockholders to lose all or part of their investments in us.</w:t>
      </w:r>
    </w:p>
    <w:p>
      <w:pPr>
        <w:spacing w:after="0" w:line="19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would be forced to delay, reduce, or eliminate our research and product development programs or commercialization efforts.</w:t>
      </w:r>
    </w:p>
    <w:p>
      <w:pPr>
        <w:spacing w:after="0" w:line="14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develop, we expect to incur significant commercialization expenses related to product sales, marketing, manufacturing, and distribution to the extent that such sales, marketing, manufacturing, and distribution are not the responsibility of a collaborator.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1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at December 31,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anticipated interest income will enable us to fund our operating expenses and capital expenditure requirements into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07" w:lineRule="exact"/>
        <w:rPr>
          <w:sz w:val="20"/>
          <w:szCs w:val="20"/>
          <w:color w:val="auto"/>
        </w:rPr>
      </w:pPr>
    </w:p>
    <w:p>
      <w:pPr>
        <w:ind w:left="1040" w:right="45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or natural history study trials for the product candidates we develop;</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progressing the clinical development of EDIT-301 to treat SCD and TDT;</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develop;</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regulatory approval;</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BMS;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BMS exercises any of its options to extend the research program term and/or to additional research programs under our collaboration;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technologies;</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reimbursing our licensors for the prosecution and maintenance of the patent rights in-licensed by us;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1"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collaborations, strategic alliances, and licensing arrangements. We do not have any significant committed external source of funds. To the extent that we raise additional capital through the sale of equity or convertible debt securities, the ownership interests of our stockholders may be materially diluted, and the terms of these securities may include liquidation or other preferences that adversely affect the rights of our stockholders. Debt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jc w:val="both"/>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w:t>
      </w:r>
    </w:p>
    <w:p>
      <w:pPr>
        <w:spacing w:after="0" w:line="1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our stockholders to evaluate the success of our business to date and to assess our future viability.</w:t>
      </w:r>
    </w:p>
    <w:p>
      <w:pPr>
        <w:spacing w:after="0" w:line="14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were founded and commenced operations in the second half of 2013. Our operations to date have been limited to organizing and staffing our company, business planning, raising capital, acquiring and developing our technology, identifying potential product candidates, undertaking preclinical studies and initiating clinical trials. Except for EDIT-301, all of our research programs are still in the preclinical or research stage of development, and the risk of failure of all of our research programs is high. We have not yet demonstrated an ability to successfully complete any clinical trials, including large-scale, pivotal clinical trials, obtain marketing approvals, manufacture a commercial-scale medicine, or arrange for a third party to do so on our behalf, or conduct sales and marketing activities necessary for</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successful commercialization. In addition, we may encounter unforeseen expenses, difficulties, complications, delays, and other known and unknown factors.</w:t>
      </w:r>
    </w:p>
    <w:p>
      <w:pPr>
        <w:spacing w:after="0" w:line="16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financial condition and operating results will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1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collaboration partners, to successfully complete the development of, and obtain the regulatory approvals necessary to commercialize, product candidates we may identify for development. We do not anticipate generating revenues from product sales for the next several years, if ever.</w:t>
      </w:r>
    </w:p>
    <w:p>
      <w:pPr>
        <w:spacing w:after="0" w:line="18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Even if one or more of the product candidates we develop is approved for commercial sale, we anticipate incurring significant costs associated with commercializing any approved product candidate. Our expenses could increase beyond expectations if we are required by the U.S. Food and Drug Administration (the “FDA”), the European Medicines Agency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22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 of our lead product candidate, EDIT-301, which is in clinical development. Clinical trials of product candidates may not be successful. If we are unable to complete the clinical development of, obtain marketing approval for, or successfully commercialize this product candidate, either alone or with a collaborator, or if we experience significant delays in doing so, our business would be substantially harmed.</w:t>
      </w:r>
    </w:p>
    <w:p>
      <w:pPr>
        <w:spacing w:after="0" w:line="167"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January 2023, we implemented a strategic reprioritization of our portfolio to focus on hemoglobinopathies and </w:t>
      </w:r>
      <w:r>
        <w:rPr>
          <w:rFonts w:ascii="Times New Roman" w:cs="Times New Roman" w:eastAsia="Times New Roman" w:hAnsi="Times New Roman"/>
          <w:sz w:val="17"/>
          <w:szCs w:val="17"/>
          <w:i w:val="1"/>
          <w:iCs w:val="1"/>
          <w:color w:val="auto"/>
        </w:rPr>
        <w:t xml:space="preserve">in vivo </w:t>
      </w:r>
      <w:r>
        <w:rPr>
          <w:rFonts w:ascii="Times New Roman" w:cs="Times New Roman" w:eastAsia="Times New Roman" w:hAnsi="Times New Roman"/>
          <w:sz w:val="17"/>
          <w:szCs w:val="17"/>
          <w:color w:val="auto"/>
        </w:rPr>
        <w:t>gene editing, and in connection with that paused patient enrollment in our clinical EDIT-101 program, terminated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AAV IRD platform, and divested our preclinical wholly owned iNK programs. As a result, we have one ongoing clinical-stage program, EDIT-301. We currently have no products approved for sale and are investing a significant portion of our efforts and financial resources in the development of EDIT-301 for the treatment of SCD and TDT.</w:t>
      </w:r>
    </w:p>
    <w:p>
      <w:pPr>
        <w:spacing w:after="0" w:line="168"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Our prospects are substantially dependent on our ability, or that of any future collaborator, to develop, obtain marketing approval for and successfully commercialize EDIT-301. Because our business is significantly dependent upon this one product candidate, any setback in the clinical development or the obtaining of regulatory approval for EDIT-301 would have a material adverse effect on our business and prospects.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success of our EDIT-301 program will depend on several factors, including the following:</w:t>
      </w:r>
    </w:p>
    <w:p>
      <w:pPr>
        <w:spacing w:after="0" w:line="225" w:lineRule="exact"/>
        <w:rPr>
          <w:sz w:val="20"/>
          <w:szCs w:val="20"/>
          <w:color w:val="auto"/>
        </w:rPr>
      </w:pPr>
    </w:p>
    <w:p>
      <w:pPr>
        <w:ind w:left="1040" w:right="17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our RUBY Phase 1/2 clinical trial of EDIT-301 for the treatment of SCD and our EDITHAL Phase 1/2 clinical trial of EDIT-301 for the treatment of TDT, as well as any additional clinical trials of EDIT-301 that we undertake;</w:t>
      </w:r>
    </w:p>
    <w:p>
      <w:pPr>
        <w:spacing w:after="0" w:line="175" w:lineRule="exact"/>
        <w:rPr>
          <w:rFonts w:ascii="Times New Roman" w:cs="Times New Roman" w:eastAsia="Times New Roman" w:hAnsi="Times New Roman"/>
          <w:sz w:val="18"/>
          <w:szCs w:val="18"/>
          <w:color w:val="auto"/>
        </w:rPr>
      </w:pPr>
    </w:p>
    <w:p>
      <w:pPr>
        <w:ind w:left="1040" w:right="8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or any comparable foreign regulatory authority for marketing approval;</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products that are appropriately packaged for sale;</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following any marketing approval; and</w:t>
      </w:r>
    </w:p>
    <w:p>
      <w:pPr>
        <w:spacing w:after="0" w:line="161" w:lineRule="exact"/>
        <w:rPr>
          <w:rFonts w:ascii="Times New Roman" w:cs="Times New Roman" w:eastAsia="Times New Roman" w:hAnsi="Times New Roman"/>
          <w:sz w:val="18"/>
          <w:szCs w:val="18"/>
          <w:color w:val="auto"/>
        </w:rPr>
      </w:pPr>
    </w:p>
    <w:p>
      <w:pPr>
        <w:ind w:left="1040" w:right="8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 including therapies that are further advanced in clinical development.</w:t>
      </w:r>
    </w:p>
    <w:p>
      <w:pPr>
        <w:spacing w:after="0" w:line="16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outcome of clinical development, the regulatory submission process, potential threats to our intellectual property rights and the manufacturing, marketing and sales efforts of any future collaborator. If we are unable to develop, receive marketing approval for and successfully commercialize EDIT-301, on our own or with any future collaborator, or experience delays as a result of any of these or other factors, our business would be substantially harmed.</w:t>
      </w:r>
    </w:p>
    <w:p>
      <w:pPr>
        <w:spacing w:after="0" w:line="179" w:lineRule="exact"/>
        <w:rPr>
          <w:sz w:val="20"/>
          <w:szCs w:val="20"/>
          <w:color w:val="auto"/>
        </w:rPr>
      </w:pPr>
    </w:p>
    <w:p>
      <w:pPr>
        <w:jc w:val="both"/>
        <w:ind w:left="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intend to identify and develop product candidates based on a novel genome editing technology, which makes it difficult to predict the time and cost of product candidate development. No therapeutic products that utilize genome editing technology have been approved in the United States or in Europe.</w:t>
      </w:r>
    </w:p>
    <w:p>
      <w:pPr>
        <w:spacing w:after="0" w:line="18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We have concentrated our research and development efforts on our genome editing platform, which uses CRISPR technology. Our future success depends on the successful development of this novel genome editing therapeutic approach. To date, no therapeutic product that utilizes genome editing, including CRISPR technology, has been approved in the United States or Europe. It is difficult for us to predict the time and cost of product candidate development, and we cannot predict whether the application of our genome editing platform, or any similar or competitive genome editing platforms, will result in the identification, development, and regulatory approval of any medicines. There can be no assurance that any development problems we experience in the future related to our genome editing platform or any of our research programs will not cause significant delays or unanticipated costs, or that such development problems can be solved. We may also experience delays in developing a sustainable, reproducible, and scalable manufacturing process or transferring that process to commercial partners. Any of these factors may prevent us from completing our preclinical studies or any clinical trials that we may initiate or commercializing any product candidates we develop on a timely or profitable basis, if at all.</w:t>
      </w:r>
    </w:p>
    <w:p>
      <w:pPr>
        <w:spacing w:after="0" w:line="17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genetic medicines, and in particular any novel genetic medicines we may develop, have changed frequently and may continue to change in the future.</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Regulatory requirements governing genetic and cellular medicines, and in particular any novel genetic medicine products we may develop, have changed frequently and may continue to change in the future, including, for example, the draft guidance document titled “Human Gene Therapy Products Incorporating Human Genome Editing” issued by the FDA in March 2022. We are aware of a limited number of genetic medicines that have received marketing authorization from the FDA and EMA. Even with respect to more established products in the genetic medicine field, the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landscape is still developing. For example, the FDA has established the Office of Tissues and Advanced Therapies (formerly the Office of Cellular, Tissue and Gene Therapies) within CBER to consolidate the review of genetic medicines and related products, and the Cellular, Tissue and Gene Therapies Advisory Committee to advise CBER on its review. Genetic medicine clinical trials conducted at institutions that receive funding for recombinant DNA research from the NIH also are potentially subject to review by the Office of Biotechnology Activities’ Recombinant DNA Advisory Committee, or the RAC; however, the NIH announced that the RAC will only publicly review clinical trials if the trials cannot be evaluated by standard oversight bodies and pose unusual risks.</w:t>
      </w:r>
    </w:p>
    <w:p>
      <w:pPr>
        <w:spacing w:after="0" w:line="17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same applies in the European Union. The EMA’s Committee for Advanced Therapies (“CAT”) is responsible for assessing the quality, safety and efficacy of advanced-therapy medicinal products. The role of the CAT is to prepare a draft opinion on an application for marketing authorization for a genetic medicinal candidate that is submitted to the CHMP before CHMP adopts its final opinion. In the European Union, the development and evaluation of a genetic medicinal product must be considered in the context of the relevant European Union guidelines. The EMA may issue new guidelines concerning the development and marketing authorization for genetic medicinal products and require that we comply with these new guidelines. As a result, the procedures and standards applied to genetic medicines and cell therapy products may be applied to any product candidates we may develop, but that remains uncertain at this point.</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As we advance any product candidates we may develop, we will be required to consult with these regulatory and advisory groups and comply with applicable guidelines. If we fail to do so, we may be required to delay or discontinue development of these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Although the FDA decides whether individual genetic medicine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IBC as well as its IRB would need to review the proposed clinical trial to assess the safety of the trial. In addition, adverse developments in clinical trials of genetic medicine products conducted by others may cause the FDA or other oversight bodies to change the requirements for approval of any product candidates we may develop. Similarly, the EMA may issue new guidelines concerning the development and marketing authorization for genetic medicine products and require that we comply with these new guidelines.</w:t>
      </w:r>
    </w:p>
    <w:p>
      <w:pPr>
        <w:spacing w:after="0" w:line="190"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As we are initially seeking to identify and develop product candidates to treat diseases using novel technologies, there is heightened risk that the FDA, the EMA or other regulatory authority may not consider the clinical trial endpoints that we propose to provide clinically meaningful results. Even if the endpoints are deemed clinically meaningful, we may not achieve these endpoints to a degree of statistical significance, particularly because many of the diseases we are targeting with our platform have small patient populations, making development of large and rigorous clinical trials more difficult.</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Adverse developments in post-marketing experience or in clinical trials conducted by others of genetic medicines or cell therapy products may cause the FDA, the EMA, and other regulatory bodies to revise the requirements for development or approval of any product candidates we may develop or limit the use of products utilizing non-viral genetic medicinal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non-viral genetic medicine technology in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176"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In addition, ethical, social and legal concerns about genetic medicine,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any product candidates we may develop are unsafe or pose a hazard could prevent us from commercializing any products. New government requirements may be established that could delay or prevent regulatory approval of any product candidates we may develop under development. It is impossible to predict whether legislative changes will be enacted, regulations, policies or guidance changed, or interpretations by agencies or courts changed, or what the impact of such changes, if any, may be.</w:t>
      </w:r>
    </w:p>
    <w:p>
      <w:pPr>
        <w:spacing w:after="0" w:line="192" w:lineRule="exact"/>
        <w:rPr>
          <w:sz w:val="20"/>
          <w:szCs w:val="20"/>
          <w:color w:val="auto"/>
        </w:rPr>
      </w:pPr>
    </w:p>
    <w:p>
      <w:pPr>
        <w:ind w:left="60" w:right="439" w:firstLine="648"/>
        <w:spacing w:after="0" w:line="252" w:lineRule="auto"/>
        <w:rPr>
          <w:sz w:val="20"/>
          <w:szCs w:val="20"/>
          <w:color w:val="auto"/>
        </w:rPr>
      </w:pPr>
      <w:r>
        <w:rPr>
          <w:rFonts w:ascii="Times New Roman" w:cs="Times New Roman" w:eastAsia="Times New Roman" w:hAnsi="Times New Roman"/>
          <w:sz w:val="18"/>
          <w:szCs w:val="18"/>
          <w:color w:val="auto"/>
        </w:rPr>
        <w:t>As we advance any product candidates we may develop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develop, or commercialize potential product candidates.</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based on our genome editing platform. Other than EDIT-301, all of our ongoing product development programs are still in the preclinical or research stage of development. Our research programs, including those subject to our collaboration with BMS, may fail to identify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impractical to manufacture or commercialize, or unlikely to receive marketing approval.</w:t>
      </w:r>
    </w:p>
    <w:p>
      <w:pPr>
        <w:spacing w:after="0" w:line="187" w:lineRule="exact"/>
        <w:rPr>
          <w:sz w:val="20"/>
          <w:szCs w:val="20"/>
          <w:color w:val="auto"/>
        </w:rPr>
      </w:pPr>
    </w:p>
    <w:p>
      <w:pPr>
        <w:ind w:left="60" w:right="219" w:firstLine="648"/>
        <w:spacing w:after="0" w:line="275" w:lineRule="auto"/>
        <w:rPr>
          <w:sz w:val="20"/>
          <w:szCs w:val="20"/>
          <w:color w:val="auto"/>
        </w:rPr>
      </w:pPr>
      <w:r>
        <w:rPr>
          <w:rFonts w:ascii="Times New Roman" w:cs="Times New Roman" w:eastAsia="Times New Roman" w:hAnsi="Times New Roman"/>
          <w:sz w:val="17"/>
          <w:szCs w:val="17"/>
          <w:color w:val="auto"/>
        </w:rPr>
        <w:t>The occurrence of these events may force us to abandon our development efforts for a program or programs, which could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w:t>
      </w:r>
    </w:p>
    <w:p>
      <w:pPr>
        <w:spacing w:after="0" w:line="171" w:lineRule="exact"/>
        <w:rPr>
          <w:sz w:val="20"/>
          <w:szCs w:val="20"/>
          <w:color w:val="auto"/>
        </w:rPr>
      </w:pPr>
    </w:p>
    <w:p>
      <w:pPr>
        <w:ind w:left="60" w:right="239" w:firstLine="648"/>
        <w:spacing w:after="0" w:line="277" w:lineRule="auto"/>
        <w:rPr>
          <w:sz w:val="20"/>
          <w:szCs w:val="20"/>
          <w:color w:val="auto"/>
        </w:rPr>
      </w:pPr>
      <w:r>
        <w:rPr>
          <w:rFonts w:ascii="Times New Roman" w:cs="Times New Roman" w:eastAsia="Times New Roman" w:hAnsi="Times New Roman"/>
          <w:sz w:val="17"/>
          <w:szCs w:val="17"/>
          <w:color w:val="auto"/>
        </w:rPr>
        <w:t>For example, in November 2022 we announced updated clinical data from our Phase 1/2 BRILLIANCE trial of EDIT-101 to treat Leber congenital amaurosis. This data demonstrated a favorable safety profile and provided proof of concept. However, we were not able to identify any baseline characteristics of the treatment responder patients that could pre-select a responder patient population other than zygosity. The identified responder patient population was determined to be too small to progress the program independently. We have since paused patient enrollment in this program.</w:t>
      </w:r>
    </w:p>
    <w:p>
      <w:pPr>
        <w:spacing w:after="0" w:line="150"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genome editing field is relatively new and is evolving rapidly. We are focusing our research and development efforts on CRISPR gene editing technology using Cas9 and Cas12a enzymes, but other genome editing technologies may be discovered that provide significant advantages over CRISPR/Cas9 or CRISPR/Cas12a, which could materially harm our business.</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To date, we have focused our efforts on genome editing technologies using CRISPR and the Cas9 and Cas12a (also known as Cpf1) enzymes. Other companies have previously undertaken research and development of genome editing technologies using zinc finger nucleases, engineered meganucleases, and transcription activator-like effector nucleases, but to date none has obtained marketing approval for a product candidate. There can be no certainty that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CRISPR/Cas9 or CRISPR/Cas12a technology will lead to the development of genomic medicines, that other genome editing technologies will not be considered better or more attractive for the development of medicines or that either Cas9 or Cas12a, the two CRISPR associated proteins that we use, may be useful or successful in developing therapeutics. For example, Cas9 or Cas12a may be determined to be less attractive than other CRISPR enzymes, including CRISPR enzymes that have yet to be discovered. Similarly, a new genome editing technology that has not been discovered yet may be determined to be more attractive than CRISPR. Moreover, if we decide to develop genome technologies other than CRISPR technology using a Cas9 or Cas12a enzyme, we cannot be certain we will be able to obtain rights to such technologies. Any of these factors could reduce or eliminate our commercial opportunity, and could have a material adverse effect on our business, financial condition, results of operations, and prospects.</w:t>
      </w:r>
    </w:p>
    <w:p>
      <w:pPr>
        <w:spacing w:after="0" w:line="187"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Except for EDIT-301, all of our product development programs are at the preclinical or research stage. Preclinical testing and clinical trials of product candidates may not be successful. If we are unable to commercialize any product candidates we develop or experience significant delays in doing so, our business will be materially harmed.</w:t>
      </w:r>
    </w:p>
    <w:p>
      <w:pPr>
        <w:spacing w:after="0" w:line="175" w:lineRule="exact"/>
        <w:rPr>
          <w:sz w:val="20"/>
          <w:szCs w:val="20"/>
          <w:color w:val="auto"/>
        </w:rPr>
      </w:pPr>
    </w:p>
    <w:p>
      <w:pPr>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our successful development and eventual commercialization of product candidates that we have identified or may identify in the future. Our research programs, including any with collaborators, may fail to identify potential product candidates for clinical development for a number of reasons, or our potential product candidates may be shown to have harmful side effects or may have other characteristics that may make the product candidates impractical to manufacture, unmarketable, or unlikely to receive marketing approval. Any potential product candidates we identify will require preclinical and clinical activities and studies, regulatory review and approval in each jurisdiction in which we intend to market the products, substantial investment, establishing manufacturing capabilities, access to sufficient commercial manufacturing capacity and significant marketing efforts before we can generate any revenue from product sales. We currently generate no revenue from sales of any product and we may never be able to develop or commercialize a marketable product.</w:t>
      </w:r>
    </w:p>
    <w:p>
      <w:pPr>
        <w:spacing w:after="0" w:line="189"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product candidates we develop, we may need to abandon or limit our further clinical development of those product candidates.</w:t>
      </w:r>
    </w:p>
    <w:p>
      <w:pPr>
        <w:spacing w:after="0" w:line="175"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We have limited experience in evaluating product candidates in human clinical trials, having dosed our first patient in a clinical trial in 2020, and our proposed delivery modes, combined with CRISPR technology, have a limited history, if any, of being tested clinically. It is impossible to predict when or if any product candidates we develop will ultimately prove safe in humans, including EDIT-301. In the genomic medicine field, there have been several significant adverse events from gene therapy treatments in the past, including reported cases of leukemia and death. There can be no assurance that genome editing technologies will not cause severe or undesirable side effects.</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significant risk in any genome editing product is that the edit will be “off-target” and cause serious adverse events, undesirable side effects, or unexpected characteristics. For example, off-target cuts could lead to disruption of a gene or a genetic regulatory sequence at an unintended site in the DNA. We cannot be certain that off-target editing will not occur in any of our clinical studies. There is also the potential risk of delayed adverse events following exposure to genome editing therapy due to the potential for persistent biological activity of the genetic material or other components of products used to carry the genetic material.</w:t>
      </w:r>
    </w:p>
    <w:p>
      <w:pPr>
        <w:spacing w:after="0" w:line="18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w:t>
      </w:r>
    </w:p>
    <w:p>
      <w:pPr>
        <w:spacing w:after="0" w:line="16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product candidates we develop or the delivery modes we rely on cause undesirable side effects, it could delay or prevent their regulatory approval, limit the commercial potential, or result in significant negative consequences following any potential marketing approval.</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1" w:lineRule="auto"/>
        <w:rPr>
          <w:sz w:val="20"/>
          <w:szCs w:val="20"/>
          <w:color w:val="auto"/>
        </w:rPr>
      </w:pPr>
      <w:r>
        <w:rPr>
          <w:rFonts w:ascii="Times New Roman" w:cs="Times New Roman" w:eastAsia="Times New Roman" w:hAnsi="Times New Roman"/>
          <w:sz w:val="18"/>
          <w:szCs w:val="18"/>
          <w:color w:val="auto"/>
        </w:rPr>
        <w:t>Our product candidates that we are testing or may test in clinical trials, including EDIT-301, or that are developed may be associated with off-target editing or other serious adverse events, undesirable side effects, or unexpected characteristics. In addition to serious adverse events or side effects caused by any product candidate we develop and test, the administration process or related procedures also can cause undesirable side effects. If any such events occur, our clinical trials could be suspended or terminated. If we are unable to demonstrate that such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96"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If we successfully develop a product candidate and it receives marketing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of our product candidates, several potentially significant negative consequences could result, including:</w:t>
      </w:r>
    </w:p>
    <w:p>
      <w:pPr>
        <w:spacing w:after="0" w:line="187"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any product candidates we may identify and develop and could have a material adverse effect on our business, financial condition, results of operations, and prospects.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not extensively tested any of our proposed delivery modes and product candidates in clinical trials.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proposed delivery modes, combined with our product candidates, have a limited history of being evaluated in human clinical trials. Any of our product candidates, including EDIT-301 to treat SCD and TDT, may fail to show the desired safety and efficacy in later stages of clinical development despite having successfully advanced through initial clinical trials.</w:t>
      </w:r>
    </w:p>
    <w:p>
      <w:pPr>
        <w:spacing w:after="0" w:line="180"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Any such adverse events may cause us to delay, limit, or terminate planned clinical trials, any of which would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have a material adverse effect on our business, financial condition, results of operations, and prospects.</w:t>
      </w:r>
    </w:p>
    <w:p>
      <w:pPr>
        <w:spacing w:after="0" w:line="221"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product candidates for the treatment of diseases in which there is little clinical experience using new technologies, there is increased risk that the FDA, the EMA, or other regulatory authorities may not consider the endpoints of our clinical trials to provide clinically meaningful results and that these results may be difficult to analyze.</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During the regulatory review process, we will need to identify success criteria and endpoints such that the FDA, the EMA, or other regulatory authorities will be able to determine the clinical efficacy and safety profile of our product candidates. As we are seeking to 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have small patient populations, and designing and executing a rigorous clinical trial with appropriate statistical power is more difficult than with diseases that have larger patient populations. The FDA weighs the benefits of a product against its risks, and the FDA may view the efficacy results in the context of safety as not being supportive of regulatory approval. Any product candidates we develop will be based on a novel technology that makes it difficult to predict the time and cost of development and of subsequently obtaining regulatory approval. No genome editing therapeutic product has been approved in the United States or in Europe.</w:t>
      </w:r>
    </w:p>
    <w:p>
      <w:pPr>
        <w:spacing w:after="0" w:line="176"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any product candidates we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6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18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or our collaborators may experience numerous unforeseen events during, or as a result of, clinical trials that could delay or prevent our ability to receive marketing approval or commercialize any product candidates we may identify and develop, including:</w:t>
      </w:r>
    </w:p>
    <w:p>
      <w:pPr>
        <w:spacing w:after="0" w:line="183"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independent ethics committees (“IECs”) not authorizing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contract research organizations (“CROs”) and clinical trial sites;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develop producing negative or inconclusive results, and us deciding, or regulators requiring us, to conduct additional clinical trials or abandon product development or research programs;</w:t>
      </w:r>
    </w:p>
    <w:p>
      <w:pPr>
        <w:spacing w:after="0" w:line="175" w:lineRule="exact"/>
        <w:rPr>
          <w:rFonts w:ascii="Times New Roman" w:cs="Times New Roman" w:eastAsia="Times New Roman" w:hAnsi="Times New Roman"/>
          <w:sz w:val="18"/>
          <w:szCs w:val="18"/>
          <w:color w:val="auto"/>
        </w:rPr>
      </w:pPr>
    </w:p>
    <w:p>
      <w:pPr>
        <w:jc w:val="both"/>
        <w:ind w:left="1040" w:right="31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develop may be larger than we anticipate; enrollment of suitable participants in these clinical trials may be delayed or slower than we anticipate; or patients may drop out of these clinical trials at a higher rate than we anticipate;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83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failing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58"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IECs requiring that we or our investigators suspend or terminate clinical research or clinical trials of any product candidates we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69"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develop or other materials necessary to conduct clinical trials of any product candidates we develop being insufficient or inadequate, including as a result of delays in the testing, validation, manufacturing, and delivery of any product candidates we develop to the clinical sites by us or by third parties with whom we have contracted to perform certain of those functions;</w:t>
      </w:r>
    </w:p>
    <w:p>
      <w:pPr>
        <w:spacing w:after="0" w:line="166"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develop that are viewed to outweigh their potential benefits;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develop beyond those that we currently contemplate, if we or our collaborators are unable to successfully complete clinical trials or other tests of any product candidates we develop, or if the results of these trials or tests are not positive or only modestly positive, or if there are safety concerns, we or our collaborators may:</w:t>
      </w:r>
    </w:p>
    <w:p>
      <w:pPr>
        <w:spacing w:after="0" w:line="180" w:lineRule="exact"/>
        <w:rPr>
          <w:sz w:val="20"/>
          <w:szCs w:val="20"/>
          <w:color w:val="auto"/>
        </w:rPr>
      </w:pPr>
    </w:p>
    <w:p>
      <w:pPr>
        <w:ind w:left="1040" w:right="61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product candidates we develop, or not obtain marketing approval at all;</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risk evaluation and mitigation strategy;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testing or marketing approvals. We do not know whether clinical trials will begin as planned, will need to be restructured, or will be completed on schedule, or at all. Significant clinical trial delays also could shorten any periods during which we may have the exclusive right to commercialize any product candidates we develop, could allow our competitors to bring products to market before we do, and could impair our ability to successfully commercialize any product candidates we develop, any of which may harm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approvals could be delayed or prevented.</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of our product candidates if we are unable to locate and enroll a sufficient number of eligible patients to participate in these trials as required by the FDA or analogous regulatory authorities outside the United States, or as needed to provide appropriate statistical power for a given trial.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products, or for other reasons, the timeline for recruiting patients, conducting studies, and obtaining regulatory approval of any product candidates we develop may be delayed. Moreover, some of our competitors may have ongoing clinical trials for product candidates that would treat the same indications as any product candidates we develop, and patients who would otherwise be eligible for our clinical trials may instead enroll in clinical trials of our competitors’ product candidates.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225"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informed consent;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genome editing as a therapeutic approach;</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eligibility criteria of our clinical trials further limits the pool of available trial participants. Additionally, the process of finding and diagnosing patients may prove costly. The COVID-19 pandemic, including related restrictions imposed by regulatory authorities and constraints on healthcare provider capacity, has previously impacted and may in the future impact our ability to timely enroll trial participants and conduct our studies.</w:t>
      </w:r>
    </w:p>
    <w:p>
      <w:pPr>
        <w:spacing w:after="0" w:line="187"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is subject to numerous risks unique to conducting business in foreign countries, including: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and physicians;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standard-of-care for patients with a particular disease;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locate qualified local consultants, physicians, and partners; and</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burden of complying with a variety of foreign laws, medical standards, and regulatory requirements, including the regulation of pharmaceutical and biotechnology products and treatment.</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any of our product candidates,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79" w:lineRule="exact"/>
        <w:rPr>
          <w:sz w:val="20"/>
          <w:szCs w:val="20"/>
          <w:color w:val="auto"/>
        </w:rPr>
      </w:pPr>
    </w:p>
    <w:p>
      <w:pPr>
        <w:ind w:left="60" w:right="3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2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our product candidates for specific indications among many potential options. As a result, we may forgo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185"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medicines we develop, or experience significant delays in doing so, we may not realize the full commercial potential of any medicines we may develop.</w:t>
      </w:r>
    </w:p>
    <w:p>
      <w:pPr>
        <w:spacing w:after="0" w:line="17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of our medicines, which may require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187" w:lineRule="exact"/>
        <w:rPr>
          <w:sz w:val="20"/>
          <w:szCs w:val="20"/>
          <w:color w:val="auto"/>
        </w:rPr>
      </w:pPr>
    </w:p>
    <w:p>
      <w:pPr>
        <w:ind w:left="1040" w:right="3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product candidates may be adversely affected if we are unable to appropriately select patients for enrollment in our clinical trials;</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not receive marketing approval if safe and effective use of such product candidates depends on an in vitro diagnostic; and</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7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a result, we may be unable to successfully develop and realize the commercial potential of any product candidates we may identify and develop, and our business, financial condition, results of operations, and prospects would be materially adversely affected.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we develop, and any such approval may be for a more narrow indication than we seek.</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any product candidates we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develop. Any of the foregoing scenarios could materially harm the commercial prospects for any product candidates we develop and materially adversely affect our business, financial condition, results of operations, and prospects.</w:t>
      </w:r>
    </w:p>
    <w:p>
      <w:pPr>
        <w:spacing w:after="0" w:line="18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175" w:lineRule="exact"/>
        <w:rPr>
          <w:sz w:val="20"/>
          <w:szCs w:val="20"/>
          <w:color w:val="auto"/>
        </w:rPr>
      </w:pPr>
    </w:p>
    <w:p>
      <w:pPr>
        <w:jc w:val="both"/>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commercial success of any of our product candidates will depend upon its degree of market acceptance by physicians, patients, third-party payors, and others in the medical community. The degree of market acceptance of any of our product candidates, if approved for commercial sale, will depend on a number of factors, including:</w:t>
      </w:r>
    </w:p>
    <w:p>
      <w:pPr>
        <w:spacing w:after="0" w:line="183"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to our targeted patient population and limitations or warnings contained in approved labeling by the FDA or other regulatory authorities;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medicines for sale at competitive prices;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the European Commission, or other regulatory agencies;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regarding genomic medicine generally and genome editing technologies specifically;</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as well as their willingness to accept a therapeutic intervention that involves the editing of the patient’s genome;</w:t>
      </w:r>
    </w:p>
    <w:p>
      <w:pPr>
        <w:spacing w:after="0" w:line="17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do not achieve an adequate level of acceptance, we may not generate significant product revenues, and we may not become profitable.</w:t>
      </w:r>
    </w:p>
    <w:p>
      <w:pPr>
        <w:spacing w:after="0" w:line="15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genomic medicines, and genome editing in particular, may negatively impact regulatory approval of, or demand for, our potential products.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potential therapeutic products involve editing the human genome. The clinical and commercial success of our potential products will depend in part on public understanding and acceptance of the use of genome editing therapy for the prevention or treatment of human diseases. Public attitudes may be influenced by claims that genome editing is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develop in lieu of, or in addition to, existing treatments with which they are already familiar and for which greater clinical data may be available.</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genome editing technology is subject to public debate and heightened regulatory scrutiny due to ethical concerns relating to the application of genome editing technology to human embryos or the human germline. For example, academic scientists in several countries, including the United States, have reported on their attempts to edit the genome of human embryos as part of basic research and, in November 2018, Dr. Jiankui He, a Chinese biophysics researcher who was an associate professor in the Department of Biology of the Southern University of Science and Technology in Shenzhen, China, announced he had created the first human genetically edited babies, twin girls and helped create a second gene-edited pregnancy. The announcement was negatively received by the public, in particular by those in the scientific community. In the United States, germline editing for clinical application has been expressly prohibited since enactment of a December 2015 U.S. FDA ban on such activity. Prohibitions are also in place in the United Kingdom, across most of Europe, in China, and many other countries around the world. In the United States, the NIH has announced that it would not fund any use of genome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United Kingdom prohibit genetically modified embryos from being implanted into women, but embryos can be altered in research labs under license from the Human Fertilisation and Embryology Authority. Basic research on embryos is more tightly controlled in many other European countries.</w:t>
      </w:r>
    </w:p>
    <w:p>
      <w:pPr>
        <w:spacing w:after="0" w:line="19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such public debate about the use of genome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of our product candidates, we may not be successful in commercializing those product candidates if and when they are approved.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6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medicines on our own include:</w:t>
      </w:r>
    </w:p>
    <w:p>
      <w:pPr>
        <w:spacing w:after="0" w:line="225"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medicines;</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60" w:right="159" w:firstLine="648"/>
        <w:spacing w:after="0" w:line="270" w:lineRule="auto"/>
        <w:rPr>
          <w:sz w:val="20"/>
          <w:szCs w:val="20"/>
          <w:color w:val="auto"/>
        </w:rPr>
      </w:pPr>
      <w:r>
        <w:rPr>
          <w:rFonts w:ascii="Times New Roman" w:cs="Times New Roman" w:eastAsia="Times New Roman" w:hAnsi="Times New Roman"/>
          <w:sz w:val="17"/>
          <w:szCs w:val="17"/>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w:t>
      </w:r>
    </w:p>
    <w:p>
      <w:pPr>
        <w:spacing w:after="0" w:line="171"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our competitors may achieve regulatory approval before us or develop therapies that are safer or more advanced or effective than ours.</w:t>
      </w:r>
    </w:p>
    <w:p>
      <w:pPr>
        <w:spacing w:after="0" w:line="15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including in the gene therapy, genome editing and cell therapy fields, are characterized by rapidly advancing technologies, intense competition, and a strong emphasis on intellectual property and proprietary products. We will face competition with respect to any of our product candidates now and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platform and product focus is the development of therapies using CRISPR technology specifically for genome editing. Other companies developing CRISPR Cas9 or Cas12a technology or therapies using CRISPR Cas9 or Cas12a technology include Artisan Bio, Caribou Biosciences, CRISPR Therapeutics, EdiGene, ERS Genomics, Excision Biotherapeutics, Graphite Bio, Inscripta, Intellia Therapeutics, Sigma-Aldrich, ToolGen, and Vertex Pharmaceuticals. In addition, there have been and may continue to be discoveries of new CRISPR-based gene editing technologies. There are additional companies developing therapies using related CRISPR genome editing technologies, including other CRISPR nucleases, base editing, prime editing and gene writing. These companies include Arbor Biotechnologies, Beam Therapeutics, Chroma Medicine, Emendo Biotherapeutics, Integra Therapeutics, KSQ Therapeutics, Locus Biosciences, Mammoth Biosciences, Metagenomi, Poseida Therapeutics, Prime Medicine, Scribe Therapeutics, Tessera Therapeutics, Tome Biosciences, Tune Therapeutics, and Verve Therapeutics. There are also companies developing therapies using transcription activator-like effector nucleases, meganucleases, Mega-TALs and zinc finger nucleases. These companies include 2Seventy Bio, Allogene Therapeutics, bluebird bio, Cellectis, Precision Biosciences, and Sangamo Therapeutics. In addition to competition from other genome editing therapies, gene therapies or cell medicine therapies, any products that we may develop may also face competition from other types of therapies, such as small molecule, antibody, protein, oligonucleotide, or ribonucleic acid therapies. There are also companies developing therapies related to our development programs. For hemoglobinopathies, these companies include Acceleron Pharma, Aruvant Therapeutics, Beam Therapeutics, bluebird bio, Cellectis, CRISPR Therapeutics, EdiGene, Global Blood Therapeutics, Graphite Bio, Intellia Therapeutics, Novartis Pharmaceuticals, Sangamo Therapeutics, and Vertex Pharmaceuticals.</w:t>
      </w:r>
    </w:p>
    <w:p>
      <w:pPr>
        <w:spacing w:after="0" w:line="196"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develop against competitors.</w:t>
      </w:r>
    </w:p>
    <w:p>
      <w:pPr>
        <w:spacing w:after="0" w:line="195"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83" w:lineRule="exact"/>
        <w:rPr>
          <w:sz w:val="20"/>
          <w:szCs w:val="20"/>
          <w:color w:val="auto"/>
        </w:rPr>
      </w:pPr>
    </w:p>
    <w:p>
      <w:pPr>
        <w:ind w:left="60" w:right="4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able to commercialize any product candidates, such products may become subject to unfavorable pricing regulations, third-party reimbursement practices, or healthcare reform initiatives, which would harm our business.</w:t>
      </w:r>
    </w:p>
    <w:p>
      <w:pPr>
        <w:spacing w:after="0" w:line="13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any of our product candidates obtain marketing approval.</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ability to commercialize any medicines successfully also will depend in part on the extent to which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the Inflation Reduction Act of 2022 (the “IRA”) includes several measures intended to lower the cost of prescription drugs and related healthcare reforms, including limits on price increases and subjecting an escalating number of drugs to annual price negotiations with The Centers for Medicare &amp; Medicaid Services. We cannot be sure whether additional legislation or rulemaking related to the IRA will be issued or enacted, or what impact, if any, such changes will have on the profitability of any of our drug candidates, if approved for commercial use, in the future. Increasingly, third-party payors are requiring that drug companies provide them with predetermined discounts from list prices and are challenging the prices charged for medical products. We cannot be sure that reimbursement will be available for any medicine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9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190" w:lineRule="exact"/>
        <w:rPr>
          <w:sz w:val="20"/>
          <w:szCs w:val="20"/>
          <w:color w:val="auto"/>
        </w:rPr>
      </w:pPr>
    </w:p>
    <w:p>
      <w:pPr>
        <w:jc w:val="both"/>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novel nature of our technology and the potential for some of our product candidates to offer therapeutic benefit in a single administration or limited number of administrations, we face uncertainty related to pricing and reimbursement for these product candidates.</w:t>
      </w:r>
    </w:p>
    <w:p>
      <w:pPr>
        <w:spacing w:after="0" w:line="175"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The pricing and reimbursement of any of our product candidates,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of our product candidates, e.g., for administration of our product to patients, is also important. Inadequate reimbursement for such services may lead to physician resistance and adversely affect our ability to market or sell our products. In addition, it may be necessary for us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expect the cost of a single administration of genomic medicine products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develop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payor’s determination that use of a product is:</w:t>
      </w:r>
    </w:p>
    <w:p>
      <w:pPr>
        <w:spacing w:after="0" w:line="225"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of our product candidates. Even if coverage is provided, the approved reimbursement amount may not be adequate to realize a sufficient return on our investment. If we are unable to obtain adequate levels of reimbursement, our ability to successfully market and sell any product candidates we develop will be harmed.</w:t>
      </w:r>
    </w:p>
    <w:p>
      <w:pPr>
        <w:spacing w:after="0" w:line="188"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of our product candidates are smaller than we believe they are, our revenues may be adversely affected, and our business may suffer. If the target patient population for a product candidate we develop is small, we will need to successfully identify patients and achieve a significant market share to maintain profitability and growth.</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Some of our programs may focus on treatments for rare genetically defined diseases. Our projections of both the number of people who have these diseases, as well as the subset of people with these diseases who have the potential to benefit from treatment with our product candidates,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products, or may become increasingly difficult to identify or gain access to, all of which would adversely affect our business, financial condition, results of operations, and prospects.</w:t>
      </w:r>
    </w:p>
    <w:p>
      <w:pPr>
        <w:spacing w:after="0" w:line="18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145"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of our product candidates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80"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medicines that we may develop;</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22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if we successfully commercialize any medicine.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commercial general liability and umbrella liability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74"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6"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Genomic medicines are novel, and our product candidates can be complex and difficult to manufacture. We could experience production problems that result in delays in our development or commercialization programs, limit the supply of our products, or otherwise harm our business.</w:t>
      </w:r>
    </w:p>
    <w:p>
      <w:pPr>
        <w:spacing w:after="0" w:line="161"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Our product candidates can require processing steps that are more complex than those required for most chemical pharmaceuticals. Moreover, unlike chemical pharmaceuticals, the physical and chemical properties of a biologic such as our product candidates generally cannot be fully characterized. As a result, assays of the finished product may not be sufficient to ensure that the product will perform in the intended manner. Problems with the manufacturing process, even minor deviations from the normal process, could result in product defects or manufacturing failures that result in lot failures, product recalls, product liability claims, or insufficient inventory.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including the ongoing Phase 1/2 clinical trial for EDIT-301, or product launches, which could be costly to us and otherwise harm our business, financial condition, results of operations, and prospects.</w:t>
      </w:r>
    </w:p>
    <w:p>
      <w:pPr>
        <w:spacing w:after="0" w:line="19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7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develop could adversely impact or disrupt the commercial manufacturing or the production of clinical material, which could materially harm our development timelines and our business, financial condition, results of operations, and prospects.</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products we commercialize.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product candidates we develop or for development of certain of our research programs. If any such collaborations are not successful, we may not be able to capitalize on the market potential of those product candidates or research programs.</w:t>
      </w:r>
    </w:p>
    <w:p>
      <w:pPr>
        <w:spacing w:after="0" w:line="16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anticipate seeking third-party collaborators for the research, development, and commercialization of certain of the product candidates we develop or for development of certain of our research programs. Our likely collaborators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any product candidates we may seek to develop with them and, if applicable, whether they exercise any additional options to commercialize a product.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90" w:lineRule="exact"/>
        <w:rPr>
          <w:sz w:val="20"/>
          <w:szCs w:val="20"/>
          <w:color w:val="auto"/>
        </w:rPr>
      </w:pPr>
    </w:p>
    <w:p>
      <w:pPr>
        <w:jc w:val="both"/>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Collaborations involving our research programs or any of our product candidates and alliance arrangements we may enter into under which our research programs or product candidates may be involved pose the following risks to us:</w:t>
      </w:r>
    </w:p>
    <w:p>
      <w:pPr>
        <w:spacing w:after="0" w:line="140" w:lineRule="exact"/>
        <w:rPr>
          <w:sz w:val="20"/>
          <w:szCs w:val="20"/>
          <w:color w:val="auto"/>
        </w:rPr>
      </w:pPr>
    </w:p>
    <w:p>
      <w:pPr>
        <w:ind w:left="1040" w:right="15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we develop or may elect not to continue or renew development or commercialization programs based on clinical trial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19"/>
        <w:spacing w:after="0" w:line="282" w:lineRule="auto"/>
        <w:rPr>
          <w:sz w:val="20"/>
          <w:szCs w:val="20"/>
          <w:color w:val="auto"/>
        </w:rPr>
      </w:pPr>
      <w:r>
        <w:rPr>
          <w:rFonts w:ascii="Times New Roman" w:cs="Times New Roman" w:eastAsia="Times New Roman" w:hAnsi="Times New Roman"/>
          <w:sz w:val="18"/>
          <w:szCs w:val="18"/>
          <w:color w:val="auto"/>
        </w:rPr>
        <w:t>results, changes in the collaborator’s strategic focus or available funding or external factors such as an acquisition that diverts resources or creates competing priorities.</w:t>
      </w:r>
    </w:p>
    <w:p>
      <w:pPr>
        <w:spacing w:after="0" w:line="162" w:lineRule="exact"/>
        <w:rPr>
          <w:sz w:val="20"/>
          <w:szCs w:val="20"/>
          <w:color w:val="auto"/>
        </w:rPr>
      </w:pPr>
    </w:p>
    <w:p>
      <w:pPr>
        <w:ind w:left="1040" w:right="7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166"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medicines may not commit sufficient resources to the marketing and distribution of such medicine or medicines.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6" w:lineRule="exact"/>
        <w:rPr>
          <w:sz w:val="20"/>
          <w:szCs w:val="20"/>
          <w:color w:val="auto"/>
        </w:rPr>
      </w:pPr>
    </w:p>
    <w:p>
      <w:pPr>
        <w:ind w:left="60" w:right="159" w:firstLine="648"/>
        <w:spacing w:after="0" w:line="269" w:lineRule="auto"/>
        <w:rPr>
          <w:sz w:val="20"/>
          <w:szCs w:val="20"/>
          <w:color w:val="auto"/>
        </w:rPr>
      </w:pPr>
      <w:r>
        <w:rPr>
          <w:rFonts w:ascii="Times New Roman" w:cs="Times New Roman" w:eastAsia="Times New Roman" w:hAnsi="Times New Roman"/>
          <w:sz w:val="17"/>
          <w:szCs w:val="17"/>
          <w:color w:val="auto"/>
        </w:rPr>
        <w:t>If our collaborations do not result in the successful development and commercialization of products, or if one of our collaborators terminates its agreement with us, we may not receive any milestone or royalty payments under such collaborations.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17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15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of our product candidates will require substantial additional cash to fund expenses. For some of our product candidates and research programs, we may decide to collaborate with other pharmaceutical and biotechnology companies for the development and potential commercialization of those product candidates or programs.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or allies. For example, under our amended and restated collaboration with BMS, we may not use directly or indirectly, or license others to use, genome editing technology in connection with any research, development, manufacture, commercialization or other exploration of certain T cells, subject to certain exceptions, as more fully described in “Part I—Business—Our Collaborations and Licensing Strategy” of this Annual Report on Form 10-K. Collaborations are also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8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7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such as CROs, clinical data management organizations, medical institutions, and clinical investigators, to conduct our clinical trials. We currently rely and expect to continue to rely on third parties to conduct some aspects of our research and preclinical testing. Any of these third parties may terminate their engagements with us at any time. If we need to enter into alternative arrangements, our product development activities would be delayed.</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develop and will not be able to, or may be delayed in our efforts to, successfully commercialize our medicines.</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performance failure on the part of our distributors could delay clinical development or marketing approval of any product candidates we develop or commercialization of our medicines, producing additional losses and depriving us of potential product revenue.</w:t>
      </w:r>
    </w:p>
    <w:p>
      <w:pPr>
        <w:spacing w:after="0" w:line="17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materials for our research programs, preclinical studies and clinical trials and expect to continue to do so and for commercialization of any product candidates that we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8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 limited ability to manufacture materials for our research programs and preclinical studies and we do not operate any significant manufacturing facilities. We primarily rely on third-party contract manufacturing organizations (“CMOs”) for the manufacture of our materials for preclinical and clinical studies and expect to continue to do so and for commercial supply of any product candidates that we develop and for which we or our collaborators obtain marketing approval.</w:t>
      </w:r>
    </w:p>
    <w:p>
      <w:pPr>
        <w:spacing w:after="0" w:line="183"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Even though we have established supply agreements with third-party manufacturers, reliance on third-party manufacturers entails additional risks, including:</w:t>
      </w:r>
    </w:p>
    <w:p>
      <w:pPr>
        <w:spacing w:after="0" w:line="176"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w:t>
      </w:r>
    </w:p>
    <w:p>
      <w:pPr>
        <w:spacing w:after="0" w:line="16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There are a limited number of manufacturers that operate under cGMP regulations and that might be capable of manufacturing for us.</w:t>
      </w:r>
    </w:p>
    <w:p>
      <w:pPr>
        <w:spacing w:after="0" w:line="175"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any of our product candidates may adversely affect our future profit margins and our ability to commercialize any product candidates that receive marketing approval on a timely and competitive basis.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of our product candidates, and our technology may be adversely affected.</w:t>
      </w:r>
    </w:p>
    <w:p>
      <w:pPr>
        <w:spacing w:after="0" w:line="18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CRISPR platform technology and any proprietary product candidates and technology we develop. We seek to protect our proprietary position by in-licensing intellectual property relating to our platform technology and filing patent applications in the United States and abroad related to our technologies and product candidates that are important to our business. If we or our licensors and/or collaborators are unable to obtain or maintain patent protection with respect to our CRISPR platform technology and any proprietary products and technology we develop, our business, financial condition, results of operations, and prospects could be materially harmed.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No consistent policy regarding the scope of claims allowable in the field of genome editing, including CRISPR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9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92"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Our competitors or other third parties may be able to circumvent our patents by developing similar or alternative technologies or products in a non-infringing manner. For example, we are aware that third parties have suggested the use of the CRISPR technology in conjunction with a protein other than Cas9 or Cas12a. Our owned and in-licensed patents may not cover CRISPR technology in conjunction with a protein other than Cas9 or Cas12a. If our competitors commercialize the CRISPR technology in conjunction with a protein other than Cas9 or Cas12a, our business, financial condition, results of operations, and prospects could be materially adversely affected.</w:t>
      </w:r>
    </w:p>
    <w:p>
      <w:pPr>
        <w:spacing w:after="0" w:line="197"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may be challenged in the courts or patent offices in the United States and abroad. Our licensors are currently, and we or our licensors may in the future become, subject to a third-party pre-issuance submission of prior art to the United States Patent and Trademark Office (the “USPTO”) or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As discussed below, some of our in-licensed patents are subject to interference, opposition and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proceedings and therefore subject to these risks.</w:t>
      </w:r>
    </w:p>
    <w:p>
      <w:pPr>
        <w:spacing w:after="0" w:line="19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with third parties. If we are unable to obtain an exclusive license to</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any such third 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187"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Furthermore, our owned and in-licensed patents and patent applications may be subject to a reservation of rights by one or more third parties. For example, the research resulting in certain of our owned and in-licensed patent rights and technology was funded in part by the U.S. government. As a result, the U.S. government has certain rights to such patent rights and technology. These rights may permit the U.S. government to disclose our confidential information to third parties and to exercise march-in rights to use or allow third parties to use our licensed technology. Any exercise by the government of any of the foregoing rights could harm our competitive position, business, financial condition, results of operations, and prospects.</w:t>
      </w:r>
    </w:p>
    <w:p>
      <w:pPr>
        <w:spacing w:after="0" w:line="183" w:lineRule="exact"/>
        <w:rPr>
          <w:sz w:val="20"/>
          <w:szCs w:val="20"/>
          <w:color w:val="auto"/>
        </w:rPr>
      </w:pPr>
    </w:p>
    <w:p>
      <w:pPr>
        <w:ind w:left="60" w:right="3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are subject, in part, to the terms and conditions of licenses granted to us by others.</w:t>
      </w:r>
    </w:p>
    <w:p>
      <w:pPr>
        <w:spacing w:after="0" w:line="171" w:lineRule="exact"/>
        <w:rPr>
          <w:sz w:val="20"/>
          <w:szCs w:val="20"/>
          <w:color w:val="auto"/>
        </w:rPr>
      </w:pPr>
    </w:p>
    <w:p>
      <w:pPr>
        <w:ind w:left="60" w:right="179" w:firstLine="648"/>
        <w:spacing w:after="0" w:line="251"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from third parties that are important or necessary to the development of our genome editing technology, including our CRISPR technology, and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For example, pursuant to our license agreements with The Broad Institute, Inc. (“Broad”), and Broad and the President and Fellows of Harvard College (“Harvard”), the licensors may, under certain circumstances, grant a license to the patents that are the subject of such license agreements to a third party. Such third party would have full rights to the patent rights that are the subject of such licenses, which could impact our competitive position and enable a third party to commercialize products similar to our future product candidates and technology. The terms of these license agreements are described more fully under “Part I— Business—Our Collaborations and Licensing Strategy” in this Annual Report.</w:t>
      </w:r>
    </w:p>
    <w:p>
      <w:pPr>
        <w:spacing w:after="0" w:line="197"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covering the technology that we license from third parties. For example, pursuant to each of our intellectual property licenses with Broad and Harvard, our licensors retain control of preparation, filing, prosecution, and maintenance, and, in certain circumstances, enforcement and defense of their patents and patent applications.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adversely affected. Additionally, we are required to reimburse our licensors for all of their expenses related to the prosecution, maintenance, enforcement and defense of patents and patent applications that we in-license from them, and we anticipate that our obligation to reimburse our licensors for expenses related to these matters will continue to be substantial.</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licensors may have relied on third party consultants or collaborators or on funds from third parties such that our licensors are not the sole and exclusive owners of the patents and patent applications we in-license. For example, certain patent applications licensed to us by Broad are co-owned with NIH. Broad does not and does not purport to grant any rights in NIH’s interest in these patent applications under our agreement. If other third parties have ownership rights to our in-licensed patents and patent applications, they may be able to license such patents and patent applications to our competitors, and our competitors could market competing products and technology. This could have a material adverse effect on our competitive position, business, financial conditions, results of operations, and prospects.</w:t>
      </w:r>
    </w:p>
    <w:p>
      <w:pPr>
        <w:spacing w:after="0" w:line="183" w:lineRule="exact"/>
        <w:rPr>
          <w:sz w:val="20"/>
          <w:szCs w:val="20"/>
          <w:color w:val="auto"/>
        </w:rPr>
      </w:pPr>
    </w:p>
    <w:p>
      <w:pPr>
        <w:ind w:left="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in-licensed patents are subject to priority and validity disputes. In addition, our owned and in-licensed patents, patent applications and other intellectual property may be subject to further priority and validity disputes,</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and other similar intellectual property proceedings including inventorship disputes.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develop, which could have a material adverse impact on our business.</w:t>
      </w:r>
    </w:p>
    <w:p>
      <w:pPr>
        <w:spacing w:after="0" w:line="16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Certain U.S. patents and a U.S. patent application directed to CRISPR/Cas9 that are co-owned by the Broad Institute and the Massachusetts Institute of Technology (“MIT”), and in some cases Harvard (collectively referred to as “Broad”), and in-licensed by us were involved in a first interference with a U.S. patent application that is co-owned by the University of California, the University of Vienna, and Emmanuelle Charpentier (collectively referred to “CVC”). An interference is a proceeding in United States Patent and Trademark Office (the “USPTO”) before the Patent Trial and Appeal Board of the USPTO (“PTAB”) to determine priority of invention of the subject matter of patent claims filed by different parties. In this first interference, the PTAB made a judgment of no interference-in-fact in favor of the Broad, which was upheld on appeal. This decision was final and bars any further interference between the same parties for claims to the same invention that was considered in the interference. As a result of this decision, the U.S. patents and application that we in-license from the Broad and others were not modified or revoked.</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24, 2019, the PTAB declared a second interference between certain pending U.S. patent applications that are co-owned by CVC and certain U.S. patents and a U.S. patent application that are co-owned by Broad and in-licensed by us. Most of the Broad U.S. patents and the patent application that are involved in the second interference were also part of the first interference. The invention that was considered in the first interference related to a method involving contacting a target DNA in a eukaryotic cell with certain defined CRISPR/Cas9 components for the purpose of cleaving or editing that target DNA molecule or modulating transcription of at least one gene encoded thereon. The second interference is directed to a different invention, namely a eukaryotic cell comprising a target DNA and certain defined CRISPR/Cas9 components including a single molecule guide RNA that are capable of cleaving or editing the target DNA molecule.</w:t>
      </w:r>
    </w:p>
    <w:p>
      <w:pPr>
        <w:spacing w:after="0" w:line="17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September 10, 2020, the PTAB granted Broad’s motion for priority benefit while denying CVC priority benefit to their two earliest provisional patent applications. As a result, Broad entered the priority phase of the interference as “Senior Party” while CVC remained the “Junior Party” for purposes of determining which entity was the first to invent the inventions at issue. On February 28, 2022, the PTAB issued a decision regarding the priority phase of the interference determining that Broad was the first entity to invent the claims at issue. This decision has been appealed by CVC and the Broad has cross-appealed. It is uncertain when or in what manner the U.S. Court of Appeals for the Federal Circuit will act on these appeals.</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December 14, 2020, the PTAB, declared two new interferences involving a pending U.S. patent application that is owned by ToolGen, Inc. (the “ToolGen application”). One of the two interferences is between the ToolGen application and certain U.S. patents and U.S. patent applications that are co-owned by Broad and in-licensed by us. Most of the Broad U.S. patents and patent applications that are involved in the interference with ToolGen are also part of the second interference with CVC. The other ToolGen interference is between the same ToolGen application and the U.S. patent applications that are co-owned by CVC and involved in the second interference with Broad. The claims in ToolGen’s patent application relate to a mammalian cell with a CRISPR/Cas system comprising a codon optimized nucleic acid encoding a Cas9 polypeptide with a nuclear localization signal and a single-molecule guide RNA that, together, are capable of forming a Cas9/RNA complex that mediates double stranded cleavage of a target nucleic acid sequence. On September 28, 2022, the PTAB suspended both of these interferences until the U.S. Court of Appeals for the Federal Circuit issues a mandate in the pending appeals related to the second interference between Broad and CVC.</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June 21, 2021, the PTAB declared two new interferences involving a pending U.S. patent application owned by Sigma-Aldrich (the “Sigma-Aldrich application”). One of the two new interferences is between the Sigma-Aldrich application and certain U.S. patents and U.S. patent applications that are co-owned by Broad and in-licensed by us. The other Sigma interference is between the same Sigma-Aldrich application and the U.S. patent applications that are co-owned by CVC. Most of the Broad U.S. patents and patent applications that are involved in the interference with Sigma-Aldrich are also part of the concurrent interferences with CVC and ToolGen. The claims in Sigma-Aldrich’s application relate to a method for modifying a chromosomal sequence in a eukaryotic cell by integrating a donor sequence into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chromosomal sequence. These methods use a CRISPR/Cas9 system comprising a Cas9 polypeptide with a nuclear localization signal, a guide RNA, and a donor sequence that, together, are capable of mediating double stranded cleavage and repair of a target nucleic acid sequence leading to integration of the donor sequence into the chromosomal sequence. On December 14, 2022, the PTAB suspended both of these interferences until the U.S. Court of Appeals for the Federal Circuit issues a mandate in the pending appeals related to the second interference between Broad and CVC.</w:t>
      </w:r>
    </w:p>
    <w:p>
      <w:pPr>
        <w:spacing w:after="0" w:line="183" w:lineRule="exact"/>
        <w:rPr>
          <w:sz w:val="20"/>
          <w:szCs w:val="20"/>
          <w:color w:val="auto"/>
        </w:rPr>
      </w:pPr>
    </w:p>
    <w:p>
      <w:pPr>
        <w:ind w:left="60" w:right="199" w:firstLine="648"/>
        <w:spacing w:after="0" w:line="275" w:lineRule="auto"/>
        <w:rPr>
          <w:sz w:val="20"/>
          <w:szCs w:val="20"/>
          <w:color w:val="auto"/>
        </w:rPr>
      </w:pPr>
      <w:r>
        <w:rPr>
          <w:rFonts w:ascii="Times New Roman" w:cs="Times New Roman" w:eastAsia="Times New Roman" w:hAnsi="Times New Roman"/>
          <w:sz w:val="17"/>
          <w:szCs w:val="17"/>
          <w:color w:val="auto"/>
        </w:rPr>
        <w:t>As a result of these declarations of interference, five parallel adversarial proceedings in the USPTO before the PTAB have been initiated – the patent interferences between Broad and CVC, Broad and ToolGen, CVC and ToolGen, Broad and Sigma-Aldrich, and CVC and Sigma-Aldrich. We cannot predict with any certainty how long each interference proceeding will take. It is also possible that other third parties may seek to become a party to these interferences.</w:t>
      </w:r>
    </w:p>
    <w:p>
      <w:pPr>
        <w:spacing w:after="0" w:line="17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owned and in-licensed patents and patent applications are, or may in the future become, subject to validity disputes in the USPTO and other foreign patent offices. For example, a request for ex parte re-examination was filed with the USPTO on February 16, 2016 against a U.S. patent that we have in-licensed from Broad, which is involved in certain of the interferences. The request for ex parte re-examination was granted on May 9, 2016 thereby initiating a re-examination procedure between the USPTO and The Broad Institute, acting on behalf of itself and MIT. The PTAB has suspended the re-examination noting that it has jurisdiction over any file that involves a patent involved in an interference. It is uncertain when the PTAB will lift the suspension. If The Broad Institute is unsuccessful during the re-examination, the patent in question may be revoked or narrowed, which could have a material adverse effect on the scope of our rights under such patent.</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or our licensors may also be subject to claims that former employees, collaborators, or other third parties have an interest in our owned or in-licensed patents or patent applications, or other intellectual property rights as an inventor or co-inventor. If we are unable to obtain an exclusive license to any such third-party co-owners’ interest in such patents, patent applications or other intellectual property rights, such co-owners may be able to license their rights to other third parties, including our competitors. In addition, we may need the cooperation of any such co-owners to enforce any patents, including any patents that issue from patent applications, against third parties, and such cooperation may not be provided to us. Any of the foregoing could have a material adverse effect on the conduct of our business, financial condition, results of operations, and prospects.</w:t>
      </w:r>
    </w:p>
    <w:p>
      <w:pPr>
        <w:spacing w:after="0" w:line="19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We or our licensors are subject to and may in the future become a party to similar proceedings or priority disputes in Europe or other foreign jurisdictions. For example, certain European patents that we have in-licensed from Broad have been revoked in their entirety by the European Patent Office Opposition Division (the “Opposition Division”). Certain other European patents that we have in-licensed from Broad were maintained with amended patent claims. Certain of these decisions have been appealed by both Broad and the opposing party(s), and it is uncertain when or in what manner the Boards of Appeal will act on these appeals. The Opposition Division has also initiated opposition proceedings against certain other European patents that we have in-licensed from Broad. The European Patent Office opposition proceedings may involve issues including, but not limited to, procedural formalities related to filing the European patent application, priority, and the patentability of the involved claims. In view of certain arguments made by the third parties against the revoked patents and similar arguments made by the third parties against other in-licensed European patents under opposition, the opposition proceedings may lead to the revocation of certain additional in-licensed European patents. The loss of priority for, or the loss of, these European patents could have a material adverse effect on the conduct of our business. One or more of the third parties that have filed oppositions against these European patents or other third parties may file future oppositions against other European patents that we in-license or own. There may be other oppositions against these European patents that have not yet been filed or that have not yet been made available to the public.</w:t>
      </w:r>
    </w:p>
    <w:p>
      <w:pPr>
        <w:spacing w:after="0" w:line="17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patent related disputes, including interference proceedings, patent oppositions, re-examinations, or other priority, inventorship, or validity disputes to which we or they are subject (including any of the proceedings discussed above), we may lose valuable intellectual property rights through the loss of one or more patents owned or licensed or our owned or licensed patent claims may be narrowed, invalidated, or held unenforceable. In addition, if we or our licensors are unsuccessful in any inventorship disputes to which we or they are subject, we may lose valuable intellectual property rights, such as exclusive ownership of, or the exclusive right to use,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owned or in-licensed patents and patent applications.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may be non-exclusive or may not be available at all. If we are unable to obtain and maintain such licenses, we may need to cease the development, manufacture, and commercialization of one or more of the product candidates we develop. The loss of exclusivity or the narrowing of our owned and in-licensed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any interference proceeding or other priority, inventorship, or validity disputes, it could result in substantial costs and be a distraction to our management and other employees.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For example, certain U.S. patent applications licensed to us by Broad include The University of Tokyo (“Tokyo”) and NIH as joint applicants. Broad has only granted a license to us with respect to its interests and to Tokyo’s interests in these U.S. patent applications but not to any foreign equivalents thereof.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94"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and our intellectual property rights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97"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5"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2" w:lineRule="auto"/>
        <w:rPr>
          <w:sz w:val="20"/>
          <w:szCs w:val="20"/>
          <w:color w:val="auto"/>
        </w:rPr>
      </w:pPr>
      <w:r>
        <w:rPr>
          <w:rFonts w:ascii="Times New Roman" w:cs="Times New Roman" w:eastAsia="Times New Roman" w:hAnsi="Times New Roman"/>
          <w:sz w:val="18"/>
          <w:szCs w:val="18"/>
          <w:color w:val="auto"/>
        </w:rPr>
        <w:t>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7"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our existing licensors and others to advance our research or allow commercialization of product candidates we develop. It is possible that we may be unable to obtain any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CRISPR genome editing technology, manufacturing methods, product candidates, or future methods or products resulting in either an injunction prohibiting our manufacture or sales, or, with respect to our sales, an obligation on our part to pay royalties and/or other forms of compensation to third parties, which could be significant.</w:t>
      </w:r>
    </w:p>
    <w:p>
      <w:pPr>
        <w:spacing w:after="0" w:line="193"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each of our license agreements, and we expect in our future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Disputes may arise regarding intellectual property subject to a licensing agreement, including:</w:t>
      </w:r>
    </w:p>
    <w:p>
      <w:pPr>
        <w:spacing w:after="0" w:line="180"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including the amount, if any, that may become due and payable to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licensors in connection with sublicense income. If these events were to occur, they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9"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product candidates we develop through acquisitions and in-licenses.</w:t>
      </w:r>
    </w:p>
    <w:p>
      <w:pPr>
        <w:spacing w:after="0" w:line="145"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We currently have rights to intellectual property, through licenses from third parties, to identify and develop product candidates. Many pharmaceutical companies, biotechnology companies, and academic institutions are competing with us in the field of genome editing technology and filing patent applications potentially relevant to our business. For example, we are aware of third party patents and patent applications that may be construed to cover our CRISPR technology and product candidates. In order to avoid infringing these third party patents, or patents that issue from these third party patent applications, we may find it necessary or prudent to obtain licenses from such third party intellectual property holders. We may also require licenses from third parties for certain non-CRISPR technologies including certain delivery methods that we are evaluating for use with product candidates we develop. In addition, with respect to any patents we co-own with third parties, we may require licenses to such co-owners’ interest in such patents. However, we may be unable to secure such licenses or otherwise acquire or in-license any compositions, methods of use, processes, or other intellectual property rights from third parties that we identify as necessary for our CRISPR technology and product candidates we develop. For example, certain methods for editing cells, guide RNA modifications and delivery modes, including certain adeno-associated virus vector technologies, that we are evaluating for us for use are covered by patents held by third parties. If we are unable to successfully obtain rights to required third party intellectual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2"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technology and product candidates could be found invalid or unenforceable if challenged in court or before administrative bodies in the United States or abroad.</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If we or one of our licensors or our collaborators were to initiate legal proceedings against a third party to enforce a patent covering a product candidate we develop or our technology, including CRISPR genome editing technology, the defendant could counterclaim that such patent is invalid or unenforceable. Third parties have raised challenges to the validity of certain of our in-licensed patent claims and may in the future raise similar claims before administrative bodies in the United States or abroad, even outside the context of litigation. These and other proceedings could result in the revocation or cancellation of, or amendment to our patents in such a way that they no longer cover our technology or platform, or any product candidates that we develop. The outcome following legal assertions of invalidity and unenforceability is unpredictable. If a third party were to prevail on a legal assertion of invalidity or unenforceability, we would lose at least part, and perhaps all, of the patent protection on our technology or platform, or any product candidates that we develop. Such a loss of patent protection would have a material adverse impact on our business, financial condition, results of operations, and prospects.</w:t>
      </w:r>
    </w:p>
    <w:p>
      <w:pPr>
        <w:spacing w:after="0" w:line="189"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genome editing technology, including CRISPR, is highly dynamic, and 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field of genome editing, especially in the area of CRISPR technology, is still in its infancy, and no such products have reached the market.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7"/>
          <w:szCs w:val="17"/>
          <w:color w:val="auto"/>
        </w:rPr>
        <w:t>market, and sell any product candidates that we develop and use our proprietary technologies without infringing, misappropriating, or otherwise violating the intellectual property and proprietary rights of third parties. We are subject to and may in the future become party to, or threatened with, adversarial proceedings or litigation regarding intellectual property rights with respect to our technology and any product candidates we develop, including interference, re-examination, post-grant review, inter partes review, and derivation proceedings before the USPTO and similar proceedings in foreign jurisdictions such as oppositions before the EPO. Third parties may assert infringement claims against us based on existing patents or patents that may be granted in the future, regardless of their merit. We are aware of certain third party patents and patent applications in this landscape that may be asserted to encompass our CRISPR/Cas9 technology. In particular, we are aware of several separate families of U.S. patents and/or U.S. patent applications and foreign counterparts which relate to CRISPR/Cas9 technology, where the earliest priority dates of each family pre-date the priority dates of our in-licensed patents and patent applications, including patent families filed by Vilnius University, by the University of California, the University of Vienna, and Emmanuelle Charpentier, by ToolGen, and by Sigma-Aldrich. Each of these patent families are owned by a different third party and contain claims that may be construed to cover components and uses of CRISPR/Cas9 technology. If we are not able to obtain or maintain a license on commercially reasonable terms to any third-party patents that cover our product candidates or activities, such third parties could potentially assert infringement claims against us, which could have a material adverse effect on the conduct of our business.</w:t>
      </w:r>
    </w:p>
    <w:p>
      <w:pPr>
        <w:spacing w:after="0" w:line="39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develop and any other product candidates or technologies covered by the asserted third party patents.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191"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it could have a material adverse effect on our business.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an extension may not be granted because of, for example, failure to exercise due diligence during the testing phase or regulatory review process, failure to apply within applicable deadlines, failure to apply prior to expiration of relevant patents, or otherwise failing to satisfy applicable requirements. Further, the applicable time period or the scope of patent protection afforded could be less than we request. If we are unable to obtain patent term extension or if the term of any such extension is less than we request, we will be unable to rely on our patent position to forestall the marketing of competing products following our patent expiration, and it could have a materially adverse effect on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trade secrets of their current or former employers or claims asserting ownership of what we regard as our own intellectual property.</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and confidentiality agreements to protect our unpatented know-how, technology, and other proprietary information and to maintain our competitive position. With respect to our technology platform, we consider trade secrets and know-how to be one of our primary sources of intellectual property. Trade secrets and know-how can be difficult to protect. In particular, we anticipate that with respect to our technology platform,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90"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develop, our business may be materially harmed.</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develop, one or more of our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225" w:lineRule="exact"/>
        <w:rPr>
          <w:sz w:val="20"/>
          <w:szCs w:val="20"/>
          <w:color w:val="auto"/>
        </w:rPr>
      </w:pPr>
    </w:p>
    <w:p>
      <w:pPr>
        <w:ind w:left="60" w:right="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of our product candidates. If we are not able to obtain, or if there are delays in obtaining, required regulatory approvals, we will not be able to commercialize, or will be delayed in commercializing, our product candidates, and our ability to generate revenue will be materially impaired.</w:t>
      </w:r>
    </w:p>
    <w:p>
      <w:pPr>
        <w:spacing w:after="0" w:line="183"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Any of 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third-party CROs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and potency. Securing regulatory approval also requires the submission of information about the product manufacturing process to, and inspection of manufacturing facilities by, the relevant regulatory authority. Any of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18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of our product candidates, the commercial prospects for those product candidates may be harmed, and our ability to generate revenues will be materially impaired.</w:t>
      </w:r>
    </w:p>
    <w:p>
      <w:pPr>
        <w:spacing w:after="0" w:line="172" w:lineRule="exact"/>
        <w:rPr>
          <w:sz w:val="20"/>
          <w:szCs w:val="20"/>
          <w:color w:val="auto"/>
        </w:rPr>
      </w:pPr>
    </w:p>
    <w:p>
      <w:pPr>
        <w:ind w:left="60" w:right="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seek certain designations for our product candidates, including Breakthrough Therapy, Fast Track and Priority Review designations in the US, and PRIME Designation in the EU, but we might not receive such designations, and even if we do, such designations may not lead to a faster development or regulatory review or approval process.</w:t>
      </w:r>
    </w:p>
    <w:p>
      <w:pPr>
        <w:spacing w:after="0" w:line="143"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We may seek certain designations for one or more of our product candidates that could expedite review and approval by the FDA. A Breakthrough Therapy product is defined as a product that is intended, alone or in combination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may also seek a priority review designation for one or more of our product candidates. 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187"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19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licensed and regulated as biologics may face competition from biosimilars approved through an abbreviated regulatory pathway.</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Patient Protection and Affordable Care Act,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191"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would have a material adverse impact on our business due to increased competition and pricing pressure.</w:t>
      </w:r>
    </w:p>
    <w:p>
      <w:pPr>
        <w:spacing w:after="0" w:line="18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Under the Orphan Drug Act,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90" w:lineRule="exact"/>
        <w:rPr>
          <w:sz w:val="20"/>
          <w:szCs w:val="20"/>
          <w:color w:val="auto"/>
        </w:rPr>
      </w:pPr>
    </w:p>
    <w:p>
      <w:pPr>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sameness.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9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unambiguously requires that the FDA recognize the orphan exclusivity period regardless of a showing of clinical superiority. Further, under Omnibus legislation signed by President Trump on December 27, 2020, the requirement for a product to show clinical superiority applies to drugs and biologics that received orphan drug designation before enactment of FDARA in 2017, but have not yet been approved or licensed by the FDA.</w:t>
      </w:r>
    </w:p>
    <w:p>
      <w:pPr>
        <w:spacing w:after="0" w:line="180"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FDA announced that, in matters beyond the scope of that court order, FDA will continue to apply its existing regulations tying orphan-drug exclusivity to the uses or indications for which the orphan drug was approved.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9"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of our product candidates from being marketed in such jurisdictions, which, in turn, would materially impair our ability to generate revenue.</w:t>
      </w:r>
    </w:p>
    <w:p>
      <w:pPr>
        <w:spacing w:after="0" w:line="159"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In order to market and sell any of our product candidates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83" w:lineRule="exact"/>
        <w:rPr>
          <w:sz w:val="20"/>
          <w:szCs w:val="20"/>
          <w:color w:val="auto"/>
        </w:rPr>
      </w:pPr>
    </w:p>
    <w:p>
      <w:pPr>
        <w:jc w:val="both"/>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Additionally, the United Kingdom left the European Union on January 31, 2020, commonly referred to as Brexit, and, effective January 1, 2021, the United Kingdom ceased to be part of the European Single Market and European Union Customs Union. A co-operation agreement was signed between the United Kingdom and the European Union in December 2020, which entered into force on May 1, 2021. The agreement addresses trade, economic arrangements, law enforcement, judicial cooperation and a governance framework including procedures for dispute resolution, among other things. As both parties continue to work on the rules for implementation, significant political and economic uncertainty remains about how the precise terms of the relationship between the parties will differ from the terms before withdrawal.</w:t>
      </w:r>
    </w:p>
    <w:p>
      <w:pPr>
        <w:spacing w:after="0" w:line="175"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the consequences of Brexit and the impact the future regulatory regime that applies to products and the approval of product candidates in the United Kingdom remains unclear. As of January 1, 2021, the Medicines and Healthcare products Regulatory Agency, or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United Kingdom for our product candidates, which could significantly and materially harm our business.</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(such as the ongoing conflict between Ukraine and Russia);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83"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obtain marketing approvals for any of our product candidates,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18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19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Accordingly, assuming we, or any collaborators we may have, receive marketing approval for one or more of our product candidates,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4"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government shutdowns could impact our ability to access the public markets and obtain necessary capital in order to properly capitalize and continue our operations.</w:t>
      </w:r>
    </w:p>
    <w:p>
      <w:pPr>
        <w:spacing w:after="0" w:line="16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Separately, in response to the COVID-19 pandemic, a number of companies announced in 2020 and 2021 that they had received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thus the FDA may be unable to complete such required inspections during the review period. Regulatory authorities outside the U.S. may experience delays in their regulatory activities.</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83"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and if we do not market our medicines for their approved indications, we may be subject to enforcement action for off-label marketing by the FDA and other federal and state enforcement agencies, including the Department of Justice. Violation of the Federal Food, Product, and Cosmetic Act and other statutes, including the False Claims Act, relating to the promotion and advertising of prescription products may also lead to investigations or allegations of violations of federal and state health care fraud and abuse laws and state consumer protection laws.</w:t>
      </w:r>
    </w:p>
    <w:p>
      <w:pPr>
        <w:spacing w:after="0" w:line="19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162"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medicines, manufacturers, or manufacturing processes;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medicine;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distribution or use of a medicine;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warning or untitled letters;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medicines from the market;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medicines;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medicines;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176"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6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of our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spacing w:after="0" w:line="187" w:lineRule="exact"/>
        <w:rPr>
          <w:sz w:val="20"/>
          <w:szCs w:val="20"/>
          <w:color w:val="auto"/>
        </w:rPr>
      </w:pPr>
    </w:p>
    <w:p>
      <w:pPr>
        <w:ind w:left="1040" w:right="99" w:hanging="315"/>
        <w:spacing w:after="0" w:line="254"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7"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w:t>
      </w:r>
    </w:p>
    <w:p>
      <w:pPr>
        <w:spacing w:after="0" w:line="189" w:lineRule="exact"/>
        <w:rPr>
          <w:rFonts w:ascii="Times New Roman" w:cs="Times New Roman" w:eastAsia="Times New Roman" w:hAnsi="Times New Roman"/>
          <w:sz w:val="18"/>
          <w:szCs w:val="18"/>
          <w:color w:val="auto"/>
        </w:rPr>
      </w:pPr>
    </w:p>
    <w:p>
      <w:pPr>
        <w:ind w:left="1040" w:right="79" w:hanging="315"/>
        <w:spacing w:after="0" w:line="254"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further amended by the Health Information Technology for Economic and Clinical Health Act, which imposes certain requirements, including mandatory contractual terms, with respect to safeguarding the privacy, security, and transmission of individually identifiable health information without appropriate authorization by entities subject to the rule, such as health plans, health care clearinghouses, and health care providers;</w:t>
      </w:r>
    </w:p>
    <w:p>
      <w:pPr>
        <w:spacing w:after="0" w:line="187" w:lineRule="exact"/>
        <w:rPr>
          <w:rFonts w:ascii="Times New Roman" w:cs="Times New Roman" w:eastAsia="Times New Roman" w:hAnsi="Times New Roman"/>
          <w:sz w:val="18"/>
          <w:szCs w:val="18"/>
          <w:color w:val="auto"/>
        </w:rPr>
      </w:pPr>
    </w:p>
    <w:p>
      <w:pPr>
        <w:ind w:left="1040" w:right="399" w:hanging="315"/>
        <w:spacing w:after="0" w:line="258"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96" w:lineRule="exact"/>
        <w:rPr>
          <w:rFonts w:ascii="Times New Roman" w:cs="Times New Roman" w:eastAsia="Times New Roman" w:hAnsi="Times New Roman"/>
          <w:sz w:val="18"/>
          <w:szCs w:val="18"/>
          <w:color w:val="auto"/>
        </w:rPr>
      </w:pPr>
    </w:p>
    <w:p>
      <w:pPr>
        <w:ind w:left="1040" w:right="299" w:hanging="315"/>
        <w:spacing w:after="0" w:line="258"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federal Physician Payment Sunshine Act, which requires manufacturers of drugs, devices, biologics, and medical supplies to report to the Department of Health and Human Services information related to payments and other transfers of value to physicians,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spacing w:after="0" w:line="282" w:lineRule="auto"/>
        <w:rPr>
          <w:sz w:val="20"/>
          <w:szCs w:val="20"/>
          <w:color w:val="auto"/>
        </w:rPr>
      </w:pPr>
      <w:r>
        <w:rPr>
          <w:rFonts w:ascii="Times New Roman" w:cs="Times New Roman" w:eastAsia="Times New Roman" w:hAnsi="Times New Roman"/>
          <w:sz w:val="18"/>
          <w:szCs w:val="18"/>
          <w:color w:val="auto"/>
        </w:rPr>
        <w:t>healthcare providers and teaching hospitals, and ownership and investment interests held by physicians and their immediate family members and applicable group purchasing organizations; and</w:t>
      </w:r>
    </w:p>
    <w:p>
      <w:pPr>
        <w:spacing w:after="0" w:line="162" w:lineRule="exact"/>
        <w:rPr>
          <w:sz w:val="20"/>
          <w:szCs w:val="20"/>
          <w:color w:val="auto"/>
        </w:rPr>
      </w:pPr>
    </w:p>
    <w:p>
      <w:pPr>
        <w:ind w:left="1040" w:right="239" w:hanging="315"/>
        <w:spacing w:after="0" w:line="255"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75"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73" w:lineRule="exact"/>
        <w:rPr>
          <w:sz w:val="20"/>
          <w:szCs w:val="20"/>
          <w:color w:val="auto"/>
        </w:rPr>
      </w:pPr>
    </w:p>
    <w:p>
      <w:pPr>
        <w:jc w:val="both"/>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84" w:lineRule="exact"/>
        <w:rPr>
          <w:sz w:val="20"/>
          <w:szCs w:val="20"/>
          <w:color w:val="auto"/>
        </w:rPr>
      </w:pPr>
    </w:p>
    <w:p>
      <w:pPr>
        <w:ind w:left="6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Enacted and future legislation may increase the difficulty and cost for us and any future collaborators to obtain marketing approval of and commercialize our product candidates and affect the prices we, or they, may obtain.</w:t>
      </w:r>
    </w:p>
    <w:p>
      <w:pPr>
        <w:spacing w:after="0" w:line="12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(the “CARES Act”). Pursuant to subsequent legislation, however, these Medicare sequester reductions were suspended and reduced through the end of June 2022 ,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products or product candidates for which we may obtain regulatory approval or the frequency with which any such product is prescribed or used.</w:t>
      </w:r>
    </w:p>
    <w:p>
      <w:pPr>
        <w:spacing w:after="0" w:line="19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In June 2021, the U.S. Supreme Court dismissed this action after finding that the plaintiffs did not have standing to challenge the constitutionality of the ACA. Litigation and legislation over the ACA are likely to continue, with unpredictable and uncertain results.</w:t>
      </w:r>
    </w:p>
    <w:p>
      <w:pPr>
        <w:spacing w:after="0" w:line="190"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This Executive Order also directed the U.S. Department of Health and Human Services to create a special enrollment period for the Health Insurance Marketplace in response to the COVID-19 pandemic.</w:t>
      </w:r>
    </w:p>
    <w:p>
      <w:pPr>
        <w:spacing w:after="0" w:line="190"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prices of prescription pharmaceuticals in the United States and foreign jurisdictions is subject to considerable legislative and executive actions and could impact the prices we obtain for our products, if and when licensed.</w:t>
      </w:r>
    </w:p>
    <w:p>
      <w:pPr>
        <w:spacing w:after="0" w:line="13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incorporate value into payments for Medicare Part B pharmaceuticals and improve beneficiaries' access to evidence-based care.</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Infrastructure Investment and Jobs Act to January 1, 2026 in response to ongoing litigation. The rule also creates a new safe harbor for price reductions reflected at the point-of-sale, as well as a new safe harbor for certain fixed fee arrangements between pharmacy benefit managers and manufacturers, the implementation of which has been delayed until January 1, 2026 by the Infrastructure Investment and Jobs Act.</w:t>
      </w:r>
    </w:p>
    <w:p>
      <w:pPr>
        <w:spacing w:after="0" w:line="18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The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9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r>
    </w:p>
    <w:p>
      <w:pPr>
        <w:spacing w:after="0" w:line="19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93"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5" w:lineRule="exact"/>
        <w:rPr>
          <w:sz w:val="20"/>
          <w:szCs w:val="20"/>
          <w:color w:val="auto"/>
        </w:rPr>
      </w:pPr>
    </w:p>
    <w:p>
      <w:pPr>
        <w:ind w:left="60" w:right="5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3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75"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improper payments to government officials and have led to FCPA enforcement actions.</w:t>
      </w:r>
    </w:p>
    <w:p>
      <w:pPr>
        <w:spacing w:after="0" w:line="225"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90"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18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92"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93" w:lineRule="exact"/>
        <w:rPr>
          <w:sz w:val="20"/>
          <w:szCs w:val="20"/>
          <w:color w:val="auto"/>
        </w:rPr>
      </w:pPr>
    </w:p>
    <w:p>
      <w:pPr>
        <w:ind w:left="60" w:right="459" w:firstLine="648"/>
        <w:spacing w:after="0" w:line="281" w:lineRule="auto"/>
        <w:rPr>
          <w:sz w:val="20"/>
          <w:szCs w:val="20"/>
          <w:color w:val="auto"/>
        </w:rPr>
      </w:pPr>
      <w:r>
        <w:rPr>
          <w:rFonts w:ascii="Times New Roman" w:cs="Times New Roman" w:eastAsia="Times New Roman" w:hAnsi="Times New Roman"/>
          <w:sz w:val="17"/>
          <w:szCs w:val="17"/>
          <w:color w:val="auto"/>
        </w:rPr>
        <w:t>In 2018, California passed into law the California Consumer Privacy Act (the “CCPA”), which took effect on January 1, 2020 and imposed many requirements on businesses that process the personal information of California residents. Many of the CCPA’s requirements are similar to those found in the General Data Protection Regulation (the “GDPR”), including requiring businesses to provide notice to data subjects regarding the information collected about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0" w:lineRule="auto"/>
        <w:rPr>
          <w:sz w:val="20"/>
          <w:szCs w:val="20"/>
          <w:color w:val="auto"/>
        </w:rPr>
      </w:pPr>
      <w:r>
        <w:rPr>
          <w:rFonts w:ascii="Times New Roman" w:cs="Times New Roman" w:eastAsia="Times New Roman" w:hAnsi="Times New Roman"/>
          <w:sz w:val="18"/>
          <w:szCs w:val="18"/>
          <w:color w:val="auto"/>
        </w:rPr>
        <w:t>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In addition, other states, including Virginia, Colorado, Utah, and Connecticut already have passed state privacy laws. Virginia’s privacy law also went into effect on January 1, 2023, and the laws in the other three states will go into effect later in the year. Other states will be considering these laws in the future, and Congress has also been debating passing a federal privacy law. These laws may impact our business activities, including our identification of research subjects, relationships with business partners and ultimately the marketing and distribution of our products.</w:t>
      </w:r>
    </w:p>
    <w:p>
      <w:pPr>
        <w:spacing w:after="0" w:line="19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Similar to the laws in the U.S., there are significant privacy and data security laws that apply in Europe and other countries. The collection, use, disclosure, transfer, or other processing of personal data, including personal health data, regarding individuals who are located in the European Economic Area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8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EC to offer adequate data protection legislation, such as the U.S. There are ongoing concerns about the ability of companies to transfer personal data from the EU to other countries. In July 2020, the Court of Justice of the European Union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177"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Additionally, in October 2022, President Joe Biden signed an executive order to implement the EU-U.S. Data Privacy Framework, which would serve as a replacement to the EU-US Privacy Shield. The EC initiated the process to adopt an adequacy decision for the EU-US Data Privacy Framework in December 2022. It is unclear if and when the framework will be finalized and whether it will be challenged in court. The uncertainty around this issue may further impact our business operations in the EU.</w:t>
      </w:r>
    </w:p>
    <w:p>
      <w:pPr>
        <w:spacing w:after="0" w:line="1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Following the withdrawal of the UK from the EU, the UK Data Protection Act 2018 applies to the processing of personal data that takes place in the UK and includes parallel obligations to those set forth by GDPR. As with other issues related to Brexit, there are open questions about how personal data will be protected in the UK and whether personal information can transfer from the EU to the UK. It is still unclear whether transfer of data from the European Economic Area, or EEA, to the UK will remain lawful under GDPR. The United Kingdom government has already determined that it considers all European Union and EEA member states to be adequate for the purposes of data protection, ensuring that data flows from the United Kingdom to the European Union/EEA remain unaffected. In addition, a recent decision from the European Commission appears to deem the UK as being “essentially adequate” for purposes of data transfer from the EU to the UK, although this decision may be re-evaluated in the future.</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183"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Public Health and Information Technology</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attract and retain key executives and to attract, retain, and motivate qualified personnel.</w:t>
      </w:r>
    </w:p>
    <w:p>
      <w:pPr>
        <w:spacing w:after="0" w:line="14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the principal members of our management and scientific teams. Each of these individuals is employed “at will,” meaning we or the individual may terminate the employment relationship at any time. We do not maintain “key person” insurance for any of our executives or other employees. The loss of the services of any of these persons could impede the achievement of our research, development, and commercialization objectives. Additionally, we are actively trying to recruit a candidate for the role of Chief Scientific Officer. Any inability to fill this position in an expedient manner may have a material adverse effect on our business.</w:t>
      </w:r>
    </w:p>
    <w:p>
      <w:pPr>
        <w:spacing w:after="0" w:line="18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In addition, our ability to recruit and retain qualified personnel could be impacted by other factors, such as remote or hybrid working arrangements, which could impact employees’ productivity and morale, as well as any failure to succeed in preclinical or clinical trials. The inability to recruit or the loss of the services of any executive, key employee, consultant or advisor may impede the progress of our research, development and commercialization objectives.</w:t>
      </w:r>
    </w:p>
    <w:p>
      <w:pPr>
        <w:spacing w:after="0" w:line="189"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pandemics and other widespread outbreaks of contagious disease, including the COVID-19 pandemic, which could significantly disrupt our operations, impact our financial results or otherwise adversely impact our business.</w:t>
      </w:r>
    </w:p>
    <w:p>
      <w:pPr>
        <w:spacing w:after="0" w:line="17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Significant outbreaks of contagious diseases, and other adverse public health developments, could have a material impact on our business operations and operating results. Any public health crises, including the COVID-19 pandemic, or related healthcare staffing shortages, supply chain restrictions, or other issues, may result in disruptions that could adversely impact our operations, research and development, including preclinical studies, clinical trials and manufacturing activities,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9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clinical trials that we may be conducting, including patient screening, patient enrollment, patient dosing, clinical trial site activation, and study monitoring;</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preclinical experiments and IND- and clinical trial application-enabling studies due to restrictions related to our staff being on site;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EMA and comparable foreign regulatory agencies;</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drug substance and drug product from our CMOs or delays or disruptions in our pre-clinical experiments or clinical trials performed by CROs due to staffing shortages, production and research slowdowns or stoppages and disruptions in delivery systems or research;</w:t>
      </w:r>
    </w:p>
    <w:p>
      <w:pPr>
        <w:spacing w:after="0" w:line="175"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on our business operations by local, state, or federal authorities to address such pandemics or similar public health crises could impact our ability to conduct preclinical or clinical activities, including conducting IND- and CTA-enabling studies or our ability to select future development candidates; and</w:t>
      </w:r>
    </w:p>
    <w:p>
      <w:pPr>
        <w:spacing w:after="0" w:line="166" w:lineRule="exact"/>
        <w:rPr>
          <w:rFonts w:ascii="Times New Roman" w:cs="Times New Roman" w:eastAsia="Times New Roman" w:hAnsi="Times New Roman"/>
          <w:sz w:val="18"/>
          <w:szCs w:val="18"/>
          <w:color w:val="auto"/>
        </w:rPr>
      </w:pPr>
    </w:p>
    <w:p>
      <w:pPr>
        <w:ind w:left="1040" w:right="199" w:hanging="315"/>
        <w:spacing w:after="0" w:line="256"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or clinical trial sites and other important agencies and contractors.</w:t>
      </w:r>
    </w:p>
    <w:p>
      <w:pPr>
        <w:spacing w:after="0" w:line="17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clinical trials for EDIT-301, as well as timely completion of preclinical activities and initiation of planned clinical trials for other product candidates, is dependent upon the availability of, for example, preclinical and clinical trial sites, researchers and investigators, regulatory agency personnel, and materials, which may be adversely affected by a public health crisis and related government responses. A resurgence or other negative developments relating to the COVID-19 pandemic may require us to restrict access to our offices and laboratories for an extended period of time, or to pause or suspend preclinical research and our clinical trials; and, further, may cause delays or restrictions at healthcare facilities or disrupt our manufacturing and supply chain or those of our third-party suppliers and manufacturers. In addition, the trading prices for our common stock and other biopharmaceutical companies have been highly volatile in part as a result of the COVID-19 pandemic. As a result, we may face difficulties raising additional capital through sales of our common stock or such sales may be on unfavorable terms.</w:t>
      </w:r>
    </w:p>
    <w:p>
      <w:pPr>
        <w:spacing w:after="0" w:line="189"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47"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manufacturing, clinical, development, and regulatory capabilities, and as a result, we may encounter difficulties in managing our growth, which could disrupt our operations.</w:t>
      </w:r>
    </w:p>
    <w:p>
      <w:pPr>
        <w:spacing w:after="0" w:line="159" w:lineRule="exact"/>
        <w:rPr>
          <w:sz w:val="20"/>
          <w:szCs w:val="20"/>
          <w:color w:val="auto"/>
        </w:rPr>
      </w:pPr>
    </w:p>
    <w:p>
      <w:pPr>
        <w:ind w:left="60" w:right="259" w:firstLine="648"/>
        <w:spacing w:after="0" w:line="269" w:lineRule="auto"/>
        <w:rPr>
          <w:sz w:val="20"/>
          <w:szCs w:val="20"/>
          <w:color w:val="auto"/>
        </w:rPr>
      </w:pPr>
      <w:r>
        <w:rPr>
          <w:rFonts w:ascii="Times New Roman" w:cs="Times New Roman" w:eastAsia="Times New Roman" w:hAnsi="Times New Roman"/>
          <w:sz w:val="17"/>
          <w:szCs w:val="17"/>
          <w:color w:val="auto"/>
        </w:rPr>
        <w:t>We expect growth in the number of our employees and the scope of our operations, particularly in the areas of manufacturing, clinical development, drug development, and regulatory affairs, and, if any product candidates receive marketing approval, sales and marketing.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Security breaches and other disruptions to our information technology structure could compromise our information, disrupt our business and expose us to liability, which would cause our business and reputation to suffer.</w:t>
      </w:r>
    </w:p>
    <w:p>
      <w:pPr>
        <w:spacing w:after="0" w:line="136" w:lineRule="exact"/>
        <w:rPr>
          <w:sz w:val="20"/>
          <w:szCs w:val="20"/>
          <w:color w:val="auto"/>
        </w:rPr>
      </w:pPr>
    </w:p>
    <w:p>
      <w:pPr>
        <w:ind w:left="60" w:right="119" w:firstLine="648"/>
        <w:spacing w:after="0" w:line="249" w:lineRule="auto"/>
        <w:rPr>
          <w:sz w:val="20"/>
          <w:szCs w:val="20"/>
          <w:color w:val="auto"/>
        </w:rPr>
      </w:pPr>
      <w:r>
        <w:rPr>
          <w:rFonts w:ascii="Times New Roman" w:cs="Times New Roman" w:eastAsia="Times New Roman" w:hAnsi="Times New Roman"/>
          <w:sz w:val="18"/>
          <w:szCs w:val="18"/>
          <w:color w:val="auto"/>
        </w:rPr>
        <w:t>In the ordinary course of our business, we collect, process and store sensitive data, including intellectual property, as well as our proprietary business information and that of our suppliers and business partners, employee data, and we may collect personally identifiable information of clinical trial participants in connection with clinical trials. We also rely to a large extent on information technology systems to operate our business, including our financial systems. We have outsourced elements of our confidential information processing and information technology structure, and as a result, we are managing independent vendor relationships with third parties who may or could have access to our confidential information. Similarly, our business partners and other third-party providers possess certain elements of our sensitive data. The secure maintenance of this information is important to our operations and business strategy. Despite our security measures, our information technology infrastructure (and those of our partners, vendors and third-party providers) may be vulnerable to attacks by hackers or breached due to employee error, malfeasance or other disruptions. We, our partners, vendors, and other third-party providers could be susceptible to third party attacks on our, and their, information security systems, which attacks are of ever-increasing levels of sophistication and are made by groups and individuals with a wide range of motives and expertise, including organized criminal groups, hacktivists, nation states and others. Furthermore, we have implemented a hybrid work model, which may place our information technology infrastructure and data at increased risk as more of our employees work from home utilizing network connections outside our premises. We have invested in information technology security measures and the protection of confidential and sensitive information, but there can be no assurance that our efforts will prevent system failures, accidents or security breaches. While we believe we have not experienced any such material system failure, accident or security breach to date, any such event may substantially impair our ability to operate our business and would compromise our, and their, networks and the information stored could be accessed, publicly disclosed, lost, or stolen. In addition, if a ransomware attack or other cybersecurity incident occurs, either internally or at our vendors or third-party technology service providers, we could be prevented from accessing our data or systems, which may cause interruptions or delays in our business operations, cause us to incur remediation costs, subject us to demands to pay a ransom, or damage our reputation, regardless of whether we pay the ransom amount. Any such event, or other loss of information, could result in legal claims or proceedings, liability under laws that protect the privacy of personal information, disrupt our operations, and damage our reputation, any of which could adversely affect our business.</w:t>
      </w:r>
    </w:p>
    <w:p>
      <w:pPr>
        <w:spacing w:after="0" w:line="20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Although we have general liability and cybersecurity insurance coverage, our insurance may not cover all claims, continue to be available on reasonable terms or be sufficient in amount to compensate us fully for potential significant losses;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materially harm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our stockholders.</w:t>
      </w:r>
    </w:p>
    <w:p>
      <w:pPr>
        <w:spacing w:after="0" w:line="21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stock price has been, and is likely to remain, volatile. For example, since January 1, 2021, the trading price of our common stock on the Nasdaq Global Select Market has ranged from a low of $7.71 to a high</w:t>
      </w: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of $99.95 through January 31, 2023. Some of the factors that may cause the market price of our common stock to fluctuate include:</w:t>
      </w:r>
    </w:p>
    <w:p>
      <w:pPr>
        <w:spacing w:after="0" w:line="181" w:lineRule="exact"/>
        <w:rPr>
          <w:sz w:val="20"/>
          <w:szCs w:val="20"/>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for EDIT-301 and any preclinical studies and clinical trials of any other product candidates that we develop;</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61"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genomic medicines, including those that involve genome editing;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develop;</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4"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and trading volume could decline.</w:t>
      </w:r>
    </w:p>
    <w:p>
      <w:pPr>
        <w:spacing w:after="0" w:line="14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or fail to regularly publish reports on us, we could lose visibility in the market for our stock, which in turn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stockholders and could cause our stock price to fall.</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8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 addition, sales of a significant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76" w:lineRule="exact"/>
        <w:rPr>
          <w:sz w:val="20"/>
          <w:szCs w:val="20"/>
          <w:color w:val="auto"/>
        </w:rPr>
      </w:pPr>
    </w:p>
    <w:p>
      <w:pPr>
        <w:jc w:val="both"/>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We have registered substantially all shares of common stock that we may issue under our equity compensation plans.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as a result of operating as a public company, and our management is required to devote substantial time to compliance initiatives and corporate governance practices.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becoming, and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time-consuming and costly.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83"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Accordingly, stockholders must rely on capital appreciation, if any, for any return on their investments.</w:t>
      </w:r>
    </w:p>
    <w:p>
      <w:pPr>
        <w:spacing w:after="0" w:line="15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stockholders’ sole source of gain for the foreseeable future.</w:t>
      </w:r>
    </w:p>
    <w:p>
      <w:pPr>
        <w:spacing w:after="0" w:line="183" w:lineRule="exact"/>
        <w:rPr>
          <w:sz w:val="20"/>
          <w:szCs w:val="20"/>
          <w:color w:val="auto"/>
        </w:rPr>
      </w:pPr>
    </w:p>
    <w:p>
      <w:pPr>
        <w:ind w:left="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or Delaware law might discourage, delay, or prevent a change in control of our company or changes in our management and, therefore, depress the trading price of our common stock.</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Provisions in our restated certificate of incorporation and amended and restated bylaws or Delaware law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180" w:lineRule="exact"/>
        <w:rPr>
          <w:sz w:val="20"/>
          <w:szCs w:val="20"/>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at least 75% of the votes cast by all our stockholders approve the amendment or repeal of certain provisions of our amended and restated bylaws or restated certificate of incorporation;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amended and restated bylaws; and</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55"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87"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existence of the foregoing provisions could deter potential acquirers of our company, thereby reducing the likelihood that our stockholders could receive a premium for their shares of common stock in an acquisition.</w:t>
      </w:r>
    </w:p>
    <w:p>
      <w:pPr>
        <w:spacing w:after="0" w:line="158"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and officers.</w:t>
      </w:r>
    </w:p>
    <w:p>
      <w:pPr>
        <w:spacing w:after="0" w:line="18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our board of directors otherwise determines, the state courts in the State of Delaware or, if no state court located within the State of Delaware has jurisdiction, the federal court for the District of Delaware, will be the sole and exclusive forum for any derivative action or proceeding brought on our behalf, any action asserting a claim of breach of a fiduciary duty owed by any of our directors or officers to our company or our stockholders, any action asserting a claim against us or any of our directors or officers arising pursuant to any provision of the General Corporation Law of the State of Delaware or our restated certificate of incorporation or amended and restated bylaws, or any action asserting a claim against us or any of our directors or officers governed by the internal affairs doctrine. This exclusive forum provision may limit the ability of our stockholders to bring a claim in a judicial forum that such stockholders find favorable for disputes with us or our directors or officers, which may discourage such lawsuits against us and our directors and officers. This exclusive forum provision would not apply to suits brought to enforce a duty or liability created by the Exchange Act of 1934, which provides for exclusive jurisdiction of the federal courts. It could apply, however, to a suit that falls within one or more of the categories enumerated in the exclusive forum provision and asserts claims under the Securities Act of 1933, as amended (the “Securities Act”), inasmuch as Section 22 of the Securities Act creates concurrent jurisdiction for federal and state courts over all suits brought to enforce any duty or liability created by the Securities Act or the rules and regulations thereunder; provided, that with respect to claims under the Securities Act, our stockholders will not be deemed to have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waived our compliance with the federal securities laws and the rules and regulations thereunder.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lease 59,783 square feet of office and laboratory space in Cambridge, Massachusetts under a lease that expires in October 2028. We believe that our facilities are sufficient to meet our current needs and that suitable additional space will be available as and when needed.</w:t>
      </w:r>
    </w:p>
    <w:p>
      <w:pPr>
        <w:spacing w:after="0" w:line="179"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7"/>
          <w:szCs w:val="17"/>
          <w:color w:val="auto"/>
        </w:rPr>
        <w:t>From time to time, we may become involved in litigation or other legal proceedings relating to claims arising from the ordinary course of business. There can be no assurance that any proceedings that result from these third-party actions will be resolved in our favor. In addition, if they are not resolved in our favor, there can be no assurance that the result will not have a material adverse effect on our business, financial condition, results of operations, or prospects.</w:t>
      </w:r>
    </w:p>
    <w:p>
      <w:pPr>
        <w:spacing w:after="0" w:line="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Certain of our intellectual property rights, including ones licensed to us under our licensing agreements, are subject to, and from time to time may be subject to, priority and validity disputes. For additional information regarding these matters, see “Item 1A. Risk Factors—Risks Related to Our Intellectual Property.” Regardless of outcome, litigation or other legal proceedings can have an adverse impact on us because of defense and settlement costs, diversion of management resources, and other factors.</w:t>
      </w:r>
    </w:p>
    <w:p>
      <w:pPr>
        <w:spacing w:after="0" w:line="183"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“EDIT.”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February 17, 2023, we had approximately 18 holders of record of our common stock. This number does not include beneficial owners whose shares were held in street name.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future earnings to fund the development and growth of our business. We do not expect to pay any cash dividends in the foreseeable future. In addition, the terms of any future debt agreements that we may enter into may preclude us from paying dividends without the lenders’ consent or at all.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1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 for purposes of Section 18 of the Securities Exchange Act of 1934, as amended (the “Exchange Act”), or otherwise subject to the liabilities under that Section, nor shall such information be incorporated by reference into any future filing under the Exchange Act or the Securities Act of 1933, as amended (the “Securities Act”), except to the extent that we specifically incorporate it by reference into such filing.</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to The Nasdaq Composite Index and to The Nasdaq Biotechnology Index from December 31, 2017 through December 31, 2022. The comparison assumes $100 was invested after the market closed on December 31, 2017 in our common stock and in each of the foregoing indices, and it assumes reinvestment of dividends, if any.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694690</wp:posOffset>
            </wp:positionV>
            <wp:extent cx="5546090" cy="30518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4609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Affiliates Purchasers</w:t>
      </w:r>
    </w:p>
    <w:p>
      <w:pPr>
        <w:spacing w:after="0" w:line="229"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or anyone acting on behalf of us or an affiliated purchaser made any purchases of shares of our common stock during the fourth quarter of 2022.</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9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consolidated financial statements and related notes appearing elsewhere in this Annual Report on Form 10-K.</w:t>
      </w:r>
    </w:p>
    <w:p>
      <w:pPr>
        <w:spacing w:after="0" w:line="13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i w:val="1"/>
          <w:iCs w:val="1"/>
          <w:color w:val="auto"/>
        </w:rPr>
        <w:t>Some of the information contained in this discussion and analysis or set forth elsewhere in this Annual Report on Form 10-K contains forward-looking statements that involve substantial risks and uncertainties.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entitled “Risk Factors” in Part I, Item 1A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81" w:lineRule="exact"/>
        <w:rPr>
          <w:sz w:val="20"/>
          <w:szCs w:val="20"/>
          <w:color w:val="auto"/>
        </w:rPr>
      </w:pPr>
    </w:p>
    <w:p>
      <w:pPr>
        <w:jc w:val="both"/>
        <w:ind w:left="6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10-K,and we do not assume any obligation to update any forward-looking statements, whether as a result of new information, future events or otherwise, except as required by applicable law.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 xml:space="preserve">We are a clinical stage genome editing company dedicated to developing potentially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advancing gene editing medicines to treat hemoglobinopathies, beginning with the continued development of our current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EDIT-301 program and leveraging the insights gained from this program to pursue next generation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targeting hematopoietic stem cells (“HSCs”). In parallel, we are pursuing the development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for other organs and tissues that we believe will significantly differentiate our genome editing approach from the current standards of care for serious diseases. As part of these efforts, we are using existing strategic partnerships and collaborations and pursuing further opportunities to extend the reach of our intellectual property portfolio and access complementary technologies to expedite our drug discovery and clinical execution objectives.</w:t>
      </w:r>
    </w:p>
    <w:p>
      <w:pPr>
        <w:spacing w:after="0" w:line="192"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 xml:space="preserve">Our lead program, EDIT-301, is an experimental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gene-edited medicine to treat sickle cell disease (“SCD”), a severe inherited blood disease that causes premature death, and transfusion-dependent beta thalassemia (“TDT”), the most severe form of beta-thalassemia, another inherited blood disorder characterized by severe anemia. In the second quarter of 2022, we dosed the first patient in our Phase 1/2 clinical trial of EDIT-301, which we refer to as our RUBY trial, for the treatment of severe SCD, and in December 2022, announced initial clinical data from the first two patients treated in the RUBY trial. This clinical data supports human proof of concept by showing that EDIT-301 could safely increase expression of fetal hemoglobin to clinically meaningful levels and correct anemia in SCD patients. For additional information regarding these clinical data, please see “Business—Our Gene Editing Medicine Programs— Hemoglobinopathies.” After completing sequential dosing of the first two patients, we have commenced parallel patient dosing in this trial and are on track to dose 20 total patients by the end of 2023. We expect to provide clinical updates from the RUBY trial in mid-2023 and end of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December 2021, the FDA cleared our Investigational New Drug (“IND”) application for a Phase 1/2 clinical trial of EDIT-301 for the treatment of TDT. This trial, referred to as our EDITHAL trial, is designed to assess the safety, tolerability, and preliminary efficacy of EDIT-301 for the treatment of TDT. We are on track to dose the first patient in this trial in the first quarter of 2023. We expect to provide data on this patient by the end of 2023.</w:t>
      </w:r>
    </w:p>
    <w:p>
      <w:pPr>
        <w:spacing w:after="0" w:line="178"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also pursuing the development of next generation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administered gene editing medicines, in which the medicine is injected or infused into the patient to edit the cells inside their body. We are initially focused on editing HSCs through targeted delivery of our AsCas12a enzyme to our clinically validated HBG1 and HBG2 promotor site. We are also in the discovery stage in developing in vivo gene editing medicines for other organs and tissues.</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previously achieved human proof of concept for our most advanced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 for inherited retinal diseases, EDIT-101 to treat Leber congenital amaurosis. In November 2022 we announced updated clinical data from our Phase 1/2 BRILLIANCE trial of EDIT-101. This data demonstrated a favorable safety profile and provided proof of concept. However, we were not able to identify any baseline characteristics of the treatment responder patients that could pre-select a responder patient population other than zygosity. The identified responder patient population was determined to be too small to progress the program independently. We have since paused patient enrollment in this program.</w:t>
      </w:r>
    </w:p>
    <w:p>
      <w:pPr>
        <w:spacing w:after="0" w:line="18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are pursuing the right combination of gene editing and targeted delivery tools through internal development and the in-licensing of complementary technologies, while also leveraging our intellectual property portfolio to drive potential out-licensing and partnership discussions that can accelerate the achievement of our goal of delivering lifesaving medicines to patients with previously untreatable or under-treated diseases. In cellular therapy medicines, we are leveraging new and existing partnerships to progress engineered cell medicines to treat various cancers. We are advancing alpha-beta T-cell experimental medicines for the treatment of solid and liquid tumors in collaboration with Bristol Myers Squibb Company (“BMS”) through its wholly owned subsidiary, Juno Therapeutics, Inc. (“Juno Therapeutics”). This collaboration, which leverages our Cas9 and AsCas12a platform technologies, has resulted in 11 programs. We have also entered into a non-exclusive collaboration and licensing agreement with Immatics N.V. to combine gamma-delta T cell adoptive cell therapies and gene editing to develop medicines for the treatment of cancer.</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January 2023, we announced the sale of our wholly owned oncology assets to Shoreline Biosciences, Inc. (“Shoreline”). Under the agreement, Shoreline acquired EDIT-202, our preclinical multiplexed edited induced human pluripotent stem cell (“iPSC”)-derived natural killer (“iNK”) cell medicine for the treatment of solid tumors, as well as an additional iNK program under development and certain related manufacturing technologies. We also exclusively licensed to Shoreline our rights to a proprietary knock-in gene editing technology referred to as SLEEK (SeLection by Essential-gene Exon Knock-in) for use in Shoreline’s iNK platform and for oncology in Shoreline’s iPSC-derived macrophage platform, as well as a non-exclusively licensed our AsCas12a gene editing technology. We believe that this transaction will enable this oncology program to more rapidly move towards clinical applications.</w:t>
      </w:r>
    </w:p>
    <w:p>
      <w:pPr>
        <w:spacing w:after="0" w:line="192"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Since our inception in September 2013, our operations have focused on organizing and staffing our company, business planning, raising capital, establishing our intellectual property portfolio, assembling our core capabilities in gene editing, seeking to identify potential product candidates, and undertaking preclinical studies. Except for EDIT-301, all of our ongoing research programs are still in the preclinical or research stage of development and the risk of failure of all of our research programs is high. We have not generated any revenue from product sales. We have primarily financed our operations through various equity financings and payments received under our research collaboration with BMS and our former strategic alliance with Allergan Pharmaceuticals International Limited (together with its affiliates, “Allergan”), which was terminated in August 2020.</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$220.4 million, $192.5 million, and $116.0 million for the years ended December 31, 2022, 2021 and 2020 respectively. As of December 31, 2022, we had an accumulated deficit of $1.1 billion. We expect to continue to incur significant expenses and operating losses for the foreseeable future. Our net losses may fluctuate significantly from quarter to quarter and from year to year. We anticipate that our expenses will increase substantially as we continue our current research programs and our preclinical development activities; progress the clinical development of EDIT-301; seek to identify additional research programs and additional product candidates; initiate preclinical testing and clinical trials for other product candidates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identify and develop; maintain, expand, and protect our intellectual property portfolio, including reimbursing our licensors for such expenses related to the intellectual property that we in-license from such licensors; further develop our genome editing platform; hire additional clinical, quality control, and scientific personnel; and incur additional costs associated with operating as a public company. We do not expect to be profitable for the year ending December 31, 2023 or the foreseeable future.</w:t>
      </w:r>
    </w:p>
    <w:p>
      <w:pPr>
        <w:spacing w:after="0" w:line="183"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We did not experience any significant impact on our financial condition, results of operations or liquidity due to the COVID-19 pandemic during the year ended December 31, 2022. At its height, the COVID-19 pandemic had a significant negative effect on the global economy, supply chains and labor force participation, and created significant volatility in financial markets. The extent of the future impact of the COVID-19 pandemic on our operational and financial performance, including our ability to timely advance our clinical trials and preclinical actvtivies, will depend on future developments, including the duration, spread and severity of the pandemic, any evolution of the virus, government restrictions imposed in response, and the availability and effectiveness of vaccines and treatment options, all of which are uncertain and cannot be predicted. We will continue to monitor and respond to the changing conditions created by the pandemic, with focus on prioritizing the health and safety of our employees and maintaining safe and reliable operations of our facilities.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date, we have not generated any revenue from product sales and we do not expect to generate any revenue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product sales for the foreseeable future. In connection with our collaboration with BMS, we have received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of $130.0 million in payments, which have primarily consisted of the initial upfront and amendment payments,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development milestone payments and research funding support. We no longer receive research funding support. During the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ended December 31, 2022, we recognized $18.8 million of revenue related to our collaboration with BMS of which</w:t>
      </w:r>
    </w:p>
    <w:p>
      <w:pPr>
        <w:ind w:left="60"/>
        <w:spacing w:after="0"/>
        <w:rPr>
          <w:sz w:val="20"/>
          <w:szCs w:val="20"/>
          <w:color w:val="auto"/>
        </w:rPr>
      </w:pPr>
      <w:r>
        <w:rPr>
          <w:rFonts w:ascii="Times New Roman" w:cs="Times New Roman" w:eastAsia="Times New Roman" w:hAnsi="Times New Roman"/>
          <w:sz w:val="17"/>
          <w:szCs w:val="17"/>
          <w:color w:val="auto"/>
        </w:rPr>
        <w:t>$11.3 million was previously deferred revenue. As of December 31, 2022, we had $56.7 million of deferred revenue related</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BMS, of which $56.7 million is classified as long-term on our consolidated balance sheet. Under this collaboration, we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will recognize revenue upon delivery of option packages to BMS or when milestones are achieved. As such, we expect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revenue will fluctuate from quarter-to-quarter and year-to-year as a result of the timing of when these events occur.</w:t>
      </w:r>
    </w:p>
    <w:p>
      <w:pPr>
        <w:spacing w:after="0" w:line="20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our former strategic alliance with Allergan, we received an aggregate of $130.0 million in payments, which consisted of the initial upfront payment, an option exercise payment and a milestone payment. Prior to the termination of our agreements with Allergan, certain of these payments were deferred and were being recognized over the remaining contract term using the proportional performance method. During the third quarter of 2020, as a result of the termination of our agreements with Allergan, we recognized $63.2 million of revenue that consisted of previously deferred revenue net of a payment made to Allergan in connection with the termination.</w:t>
      </w:r>
    </w:p>
    <w:p>
      <w:pPr>
        <w:spacing w:after="0" w:line="18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related to the BMS collaboration or the Allergan strategic alliance, see “—Critical Accounting Policies and Estimates—Revenue Recognition” included in this Annual Report on Form 10-K.</w:t>
      </w:r>
    </w:p>
    <w:p>
      <w:pPr>
        <w:spacing w:after="0" w:line="17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substantially all of our revenue will be generated from our collaboration with BMS, and any other collaborations or agreements we may enter into.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preclinical development, process and scale-up development, manufacture and clinical development of our product candidates,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performance of development activities under our collaboration agreements. These costs are expensed as incurred and include:</w:t>
      </w:r>
    </w:p>
    <w:p>
      <w:pPr>
        <w:spacing w:after="0" w:line="162" w:lineRule="exact"/>
        <w:rPr>
          <w:sz w:val="20"/>
          <w:szCs w:val="20"/>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clinical trial agreements with investigative sites;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conducting our preclinical, process and scale-up development, manufacturing, clinical and regulatory activities, including fees paid to third-party professional consultants, service providers and suppliers;</w:t>
      </w:r>
    </w:p>
    <w:p>
      <w:pPr>
        <w:spacing w:after="0" w:line="175" w:lineRule="exact"/>
        <w:rPr>
          <w:rFonts w:ascii="Times New Roman" w:cs="Times New Roman" w:eastAsia="Times New Roman" w:hAnsi="Times New Roman"/>
          <w:sz w:val="18"/>
          <w:szCs w:val="18"/>
          <w:color w:val="auto"/>
        </w:rPr>
      </w:pPr>
    </w:p>
    <w:p>
      <w:pPr>
        <w:ind w:left="1040" w:right="87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non-capital equipment used in our preclinical activities and in manufacturing preclinical and clinical study materials;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the research and development activities under our collaboration agreements;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including rent, depreciation, and maintenance expenses; and</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acquiring and maintaining licenses under our third-party licensing agreements, including any sublicensing or success payments made to our licensors.</w:t>
      </w:r>
    </w:p>
    <w:p>
      <w:pPr>
        <w:spacing w:after="0" w:line="16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176" w:lineRule="exact"/>
        <w:rPr>
          <w:sz w:val="20"/>
          <w:szCs w:val="20"/>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IND-enabling studies and natural history studies;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w:t>
      </w:r>
    </w:p>
    <w:p>
      <w:pPr>
        <w:spacing w:after="0" w:line="225"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a product,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product, if and when approved,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medicinal properties for the intended indications.</w:t>
      </w:r>
    </w:p>
    <w:p>
      <w:pPr>
        <w:spacing w:after="0" w:line="225"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product candidates we develop would significantly change the costs, timing, and viability associated with the development of that product candidate.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research and development costs to increase significantly for the foreseeable future as our development programs progress, including as we continue to progress our clinical trials as well as support preclinical studies for our other research programs.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executive, finance, investor relations, business development, legal, corporate affairs, information technology, facilities and human resource functions. Other significant costs include corporate facility costs not otherwise included in research and development expenses, legal fees related to intellectual property and corporate matters, and fees for accounting and consulting services.</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continued research and development activities and potential commercialization of any product candidates we identify and develop. These increases will include increased costs related to the hiring of additional personnel and fees to outside consultants. We also anticipate increased expenses related to reimbursement of third-party patent-related expenses and expenses associated with operating as a public company, including costs for audit, legal, regulatory, and tax-related services, director and officer insurance premiums, and investor relations costs. With respect to reimbursement of third-party intellectual property-related expenses specifically, given the ongoing nature of the opposition and interference proceedings involving the patents licensed to us under our license agreement with The Broad Institute, Inc. (“Broad”) and the President and Fellows of Harvard College (“Harvard”), we anticipate general and administrative expenses will continue to be significant.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other income (expense), net consisted primarily of changes in interest income and accretion of discounts associated with other marketable securities.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United States generally accepted accounting principles. The preparation of our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0"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on Form 10-K, we believe the following accounting policy used in the preparation of our consolidated financial statements requires the most significant judgments and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Accordingly, we recognize revenue following the five step model prescribed under Accounting Standards Updates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assess the goods or services promised within each contract and determine those that are performance obligations, and whether each promised good or service is distinct. We then recognize as revenue the amount of the transaction price that is allocated to the respective performance obligation when (or as) the performance obligation is satisfied. As part of the accounting for these arrangements, we must develop assumptions that require judgment to determine the standalone selling price for each performance obligation identified in the contract. A significant portion of revenue recognized from our strategic alliance with Allergan, prior to termination, was related to research services performed for each clinical development program whereby revenue was recognized as the underlying services were performed using a proportional performance model. Prior to the termination of the arrangement with Allergan, we measured proportional performance based on full time employee hours incurred relative to projected full time employee hours to complete the research services for each clinical development program. We evaluated the measure of progress each reporting period and, if necessary, adjusted the measure of performance and related revenue recognition.</w:t>
      </w:r>
    </w:p>
    <w:p>
      <w:pPr>
        <w:spacing w:after="0" w:line="188"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our consolidated balance sheets.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16" w:lineRule="exact"/>
        <w:rPr>
          <w:sz w:val="20"/>
          <w:szCs w:val="20"/>
          <w:color w:val="auto"/>
        </w:rPr>
      </w:pPr>
    </w:p>
    <w:p>
      <w:pPr>
        <w:ind w:left="60" w:right="99" w:firstLine="500"/>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clinical research organizations, to investigative sites in connection with clinical trials, to sponsored research organizations, to service providers in connection with preclinical development activities and to service providers related to product manufacturing, development and distribution of clinical supplies.</w:t>
      </w:r>
    </w:p>
    <w:p>
      <w:pPr>
        <w:spacing w:after="0" w:line="81" w:lineRule="exact"/>
        <w:rPr>
          <w:sz w:val="20"/>
          <w:szCs w:val="20"/>
          <w:color w:val="auto"/>
        </w:rPr>
      </w:pPr>
    </w:p>
    <w:p>
      <w:pPr>
        <w:ind w:left="60" w:right="119" w:firstLine="500"/>
        <w:spacing w:after="0" w:line="252" w:lineRule="auto"/>
        <w:rPr>
          <w:sz w:val="20"/>
          <w:szCs w:val="20"/>
          <w:color w:val="auto"/>
        </w:rPr>
      </w:pPr>
      <w:r>
        <w:rPr>
          <w:rFonts w:ascii="Times New Roman" w:cs="Times New Roman" w:eastAsia="Times New Roman" w:hAnsi="Times New Roman"/>
          <w:sz w:val="18"/>
          <w:szCs w:val="18"/>
          <w:color w:val="auto"/>
        </w:rPr>
        <w:t>We base our accrued expenses related to clinical trials on our estimates of the services performed and efforts expended pursuant to our contractual arrangements, including those with clinical research organizations. The financial terms of these agreements are sometimes subject to negotiation, vary from contract to contract and may result in uneven payment flows. There may be instances in which payments made to our service providers will exceed the level of services performed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83" w:lineRule="exact"/>
        <w:rPr>
          <w:sz w:val="20"/>
          <w:szCs w:val="20"/>
          <w:color w:val="auto"/>
        </w:rPr>
      </w:pPr>
    </w:p>
    <w:p>
      <w:pPr>
        <w:ind w:left="60" w:right="139" w:firstLine="500"/>
        <w:spacing w:after="0" w:line="255"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expenses actually incurred, if 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amounts actually incurred.</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 together with the changes in those items in dollars (in thousands) and the respective percentages of change: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Collaboration and other research and development</w:t>
            </w: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19,712</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(5,479)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245,662</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(220,432)</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(192,502)</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 our results of operations, we have included the respective percentage of changes, unless greater than 100% or less than (100)%, in which case we have denoted such changes as not meaningful (n/m).</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Other Research and Development Revenues</w:t>
      </w:r>
    </w:p>
    <w:p>
      <w:pPr>
        <w:spacing w:after="0" w:line="227"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Collaboration and other research and development revenues decreased by $5.8 million, to $19.7 million for the year ended December 31, 2022, from $25.5 million for the year ended December 31, 2021. The decrease was primarily attributable to fewer programs licensed under our collaboration with BMS in 2022 than in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$32.5 million, to $175.0 million for the year ended December 31, 2022 from $142.5 million for the year ended December 31, 2021. The following table summarizes our research and development expenses for the years ended December 31, 2022 and December 31, 2021, together with the changes in those items in dollars (in thousands) and the respective percentages of change:</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(4,128)</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Sublicense and license fees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(6,290)</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year ended December 31, 2022 compared to the year ended December 31, 2021 was primarily attributable to:</w:t>
      </w:r>
    </w:p>
    <w:p>
      <w:pPr>
        <w:spacing w:after="0" w:line="162" w:lineRule="exact"/>
        <w:rPr>
          <w:sz w:val="20"/>
          <w:szCs w:val="20"/>
          <w:color w:val="auto"/>
        </w:rPr>
      </w:pPr>
    </w:p>
    <w:p>
      <w:pPr>
        <w:ind w:left="1040" w:right="179" w:hanging="315"/>
        <w:spacing w:after="0" w:line="266"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$25.9 million in increased external research and development expenses primarily attributable to the clinical and manufacturing development of EDIT-301 as well as expenses related to the pause in internal investments in EDIT-101;</w:t>
      </w:r>
    </w:p>
    <w:p>
      <w:pPr>
        <w:spacing w:after="0" w:line="17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$6.8 million in increased employee related expenses primarily due to an increase in the size of our workforce, including a new Chief Medical Officer, to support clinical programs;</w:t>
      </w:r>
    </w:p>
    <w:p>
      <w:pPr>
        <w:spacing w:after="0" w:line="161" w:lineRule="exact"/>
        <w:rPr>
          <w:rFonts w:ascii="Times New Roman" w:cs="Times New Roman" w:eastAsia="Times New Roman" w:hAnsi="Times New Roman"/>
          <w:sz w:val="18"/>
          <w:szCs w:val="18"/>
          <w:color w:val="auto"/>
        </w:rPr>
      </w:pPr>
    </w:p>
    <w:p>
      <w:pPr>
        <w:jc w:val="both"/>
        <w:ind w:left="1040" w:right="139" w:hanging="315"/>
        <w:spacing w:after="0" w:line="266"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$5.6 million in increased other expenses related primarily to a COVID-19 employee retention tax credit recognized in the third quarter of 2021, which reduced research and development expenses and did not repeat in 2022, and increased consulting expenses in 2022; and</w:t>
      </w:r>
    </w:p>
    <w:p>
      <w:pPr>
        <w:spacing w:after="0" w:line="17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$4.6 million in increased facility related expenses primarily related to increased lab and manufacturing space.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increases were partially offset by the following decreases in research and development expenses:</w:t>
      </w:r>
    </w:p>
    <w:p>
      <w:pPr>
        <w:spacing w:after="0" w:line="225" w:lineRule="exact"/>
        <w:rPr>
          <w:sz w:val="20"/>
          <w:szCs w:val="20"/>
          <w:color w:val="auto"/>
        </w:rPr>
      </w:pPr>
    </w:p>
    <w:p>
      <w:pPr>
        <w:ind w:left="1040" w:right="199" w:hanging="315"/>
        <w:spacing w:after="0" w:line="254"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$6.3 million in decreased sublicense and license fees primarily related to the triggering of success payments under certain of our license agreements upon the achievement of market capitalization-based milestones in the first quarter of 2021 for which there were no similar fees in 2022, partially offset by license fees owed to certain of our licensors in 2022 in connection with receiving milestone and other payments from our licensees; and</w:t>
      </w:r>
    </w:p>
    <w:p>
      <w:pPr>
        <w:spacing w:after="0" w:line="187"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$4.1 million in decreased stock-based compensation expenses primarily due to equity awards granted in 2021, for which there were no similar awards in 2022, as well as decreased stock-based compensation expense recognized related to the performance-based awards that were granted to certain employees in 2021.</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by approximately $5.5 million, to $70.7 million for the year ended December 31, 2022 from $76.2 million for the year ended December 31, 2021. The following table summarizes our general and administrative expenses for the years ended December 31, 2022 and December 31, 2021, together with the changes in those items in dollars (in thousands) and the respective percentages of change: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(9,977)</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patent related fees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(1,758)</w:t>
            </w:r>
          </w:p>
        </w:tc>
        <w:tc>
          <w:tcPr>
            <w:tcW w:w="9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 expenses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70,704</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0" w:type="dxa"/>
            <w:vAlign w:val="bottom"/>
            <w:tcBorders>
              <w:bottom w:val="single" w:sz="8" w:color="auto"/>
            </w:tcBorders>
          </w:tcPr>
          <w:p>
            <w:pPr>
              <w:spacing w:after="0"/>
              <w:rPr>
                <w:sz w:val="18"/>
                <w:szCs w:val="18"/>
                <w:color w:val="auto"/>
              </w:rPr>
            </w:pP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decrease in general and administrative expenses for the year ended December 31, 2022 compared to the year ended December 31, 2021 was primarily attributable to:</w:t>
      </w:r>
    </w:p>
    <w:p>
      <w:pPr>
        <w:spacing w:after="0" w:line="162" w:lineRule="exact"/>
        <w:rPr>
          <w:sz w:val="20"/>
          <w:szCs w:val="20"/>
          <w:color w:val="auto"/>
        </w:rPr>
      </w:pPr>
    </w:p>
    <w:p>
      <w:pPr>
        <w:ind w:left="1040" w:right="259" w:hanging="315"/>
        <w:spacing w:after="0" w:line="255"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million in decreased stock-based compensation expenses related to the acceleration of vesting of certain equity awards held by our former Chief Executive Officer in connection with her separation from our company in February 2021, as well as stock-based compensation expense recognized related to the performance-based awards that were granted to our succeeding Chief Executive Officer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spacing w:after="0" w:line="282" w:lineRule="auto"/>
        <w:rPr>
          <w:sz w:val="20"/>
          <w:szCs w:val="20"/>
          <w:color w:val="auto"/>
        </w:rPr>
      </w:pPr>
      <w:r>
        <w:rPr>
          <w:rFonts w:ascii="Times New Roman" w:cs="Times New Roman" w:eastAsia="Times New Roman" w:hAnsi="Times New Roman"/>
          <w:sz w:val="18"/>
          <w:szCs w:val="18"/>
          <w:color w:val="auto"/>
        </w:rPr>
        <w:t>other employees in 2021, under which a single performance obligation was achieved in 2021, for which there were no similar expenses recognized in 2022; and</w:t>
      </w:r>
    </w:p>
    <w:p>
      <w:pPr>
        <w:spacing w:after="0" w:line="162" w:lineRule="exact"/>
        <w:rPr>
          <w:sz w:val="20"/>
          <w:szCs w:val="20"/>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 million in decreased intellectual property and patent related fees.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decreases were partially offset by the following increases in general and administrative expenses:</w:t>
      </w:r>
    </w:p>
    <w:p>
      <w:pPr>
        <w:spacing w:after="0" w:line="225" w:lineRule="exact"/>
        <w:rPr>
          <w:sz w:val="20"/>
          <w:szCs w:val="20"/>
          <w:color w:val="auto"/>
        </w:rPr>
      </w:pPr>
    </w:p>
    <w:p>
      <w:pPr>
        <w:ind w:left="1040" w:right="83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$3.9 million in increased professional service expenses to support infrastructure and expanding operations;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$1.9 million in increased facility and other expenses.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Other Income, Net</w:t>
      </w:r>
    </w:p>
    <w:p>
      <w:pPr>
        <w:spacing w:after="0" w:line="227"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total other income, net was $5.5 million and $0.6 million, respectively, which was primarily attributable to interest income and accretion of discounts associated with marketable securities.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2021 and 2020</w:t>
      </w:r>
    </w:p>
    <w:p>
      <w:pPr>
        <w:spacing w:after="0" w:line="21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2021 as compared to the year ended December 31, 2020, see Item 7, Management's Discussion and Analysis of Financial Condition and Results of Operations in our annual report on Form 10-K for the year ended December 31, 2021, which was filed with the SEC on February 24,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right="51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have raised an aggregate of $898.0 million in net proceeds through the sale of shares of our common stock in public offerings and at-the-market offerings. We also have funded our business from payments received under our research collaboration with BMS and our former strategic alliance with Allergan. As of December 31, 2022, we had cash, cash equivalents and marketable securities of $437.4 million.</w:t>
      </w:r>
    </w:p>
    <w:p>
      <w:pPr>
        <w:spacing w:after="0" w:line="16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May 2021, we entered into a common stock sales agreement with Cowen and Company, LLC (“Cowen”) under which we from time to time can issue and sell shares of our common stock through Cowen in at-the-market offerings for aggregate gross sale proceeds of up to $300.0 million (the “ATM Facility”). We have not sold any shares of our common stock under this ATM Facility as of the date of this Annual Report on Form 10-K.</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cash equivalents and marketable securities, we are eligible to earn milestone and other payments under our collaboration agreement with BMS. Our ability to earn the milestone payments and the timing of earning these amounts are dependent upon the timing and outcome of our development, regulatory and commercial activities and, as such, are uncertain at this time. As of December 31, 2022, our right to contingent payments under our collaboration agreement with BMS is our only significant committed potential external source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2022 and 2021, respectively (in thousands):</w:t>
      </w:r>
    </w:p>
    <w:tbl>
      <w:tblPr>
        <w:tblLayout w:type="fixed"/>
        <w:tblInd w:w="40" w:type="dxa"/>
        <w:tblCellMar>
          <w:top w:w="0" w:type="dxa"/>
          <w:left w:w="0" w:type="dxa"/>
          <w:bottom w:w="0" w:type="dxa"/>
          <w:right w:w="0" w:type="dxa"/>
        </w:tblCellMar>
      </w:tblPr>
      <w:tr>
        <w:trPr>
          <w:trHeight w:val="164"/>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r>
      <w:tr>
        <w:trPr>
          <w:trHeight w:val="175"/>
        </w:trPr>
        <w:tc>
          <w:tcPr>
            <w:tcW w:w="6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r>
      <w:tr>
        <w:trPr>
          <w:trHeight w:val="195"/>
        </w:trPr>
        <w:tc>
          <w:tcPr>
            <w:tcW w:w="6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(177,349)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(163,803)</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(54,466)</w:t>
            </w: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282,106</w:t>
            </w: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63,837</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losses adjusted for non-cash charges and changes in components of working capital.</w:t>
      </w:r>
    </w:p>
    <w:p>
      <w:pPr>
        <w:spacing w:after="0" w:line="148"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$177.3 million for the year ended December 31, 2022, which primarily consisted of operating expenses that relate to our on-going preclinical and clinical activities, sublicense and license fees, and increased personnel costs to support our expanding operations.</w:t>
      </w:r>
    </w:p>
    <w:p>
      <w:pPr>
        <w:spacing w:after="0" w:line="1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$163.8 million for the year ended December 31, 2021, which primarily consisted of operating expenses that relate to our on-going preclinical and clinical activities, a success payment that was settled in cash during the year, patent costs and license fees, rent expenses and increased costs as a result of staffing needs due to our expanding operations. These expenses were partially offset by cash inflows from license fees received in the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$114.1 million for the year ended December 31, 2022, primarily related to proceeds from maturities of marketable securities of $433.4 million, partially offset by costs used to acquire marketable securities of $315.2 million and purchases of property and equipment of $4.1 million.</w:t>
      </w:r>
    </w:p>
    <w:p>
      <w:pPr>
        <w:spacing w:after="0" w:line="176"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approximately $54.5 million for the year ended December 31, 2021, primarily related to costs to acquire marketable securities of $409.0 million and purchases of property and equipment of $8.0 million, partially offset by proceeds from maturities of marketable securities of $362.4 million.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$1.3 million for the year ended December 31, 2022 primarily related to proceeds received from issuance of common stock under our employee stock purchase plan and exercises of options for our common stock.</w:t>
      </w:r>
    </w:p>
    <w:p>
      <w:pPr>
        <w:spacing w:after="0" w:line="17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$282.1 million for the year ended December 31, 2021 and consisted of $249.5 million in net proceeds received from the offering of our common stock in the first quarter 2021 and $31.5 million in proceeds received from exercises of options for our common stock.</w:t>
      </w:r>
    </w:p>
    <w:p>
      <w:pPr>
        <w:spacing w:after="0" w:line="183"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cash flows for the year ended December 31, 2020, see Item 7, Management's Discussion and Analysis of Financial Condition and Results of Operations in our annual report on Form 10-K for the year ended December 31, 2021, which was filed with the SEC on February 24, 2022.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60" w:right="139" w:firstLine="972"/>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progress the clinical development of EDIT-301; further advance our research programs and our preclinical development activities; seek to identify product candidates and additional research programs; initiate preclinical testing and clinical trials for other product candidates we identify and develop; maintain, expand, and protect our intellectual property portfolio, including reimbursing our licensors for expenses related to the intellectual property that we in-license from such licensors; hire additional clinical, quality control, and scientific personnel; and incur costs associated with operating as a public company. In addition, 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a collaborator. We do not expect to generate significant recurring revenue unless and until we obtain regulatory approval for and commercialize a product candidate. Furthermore, since 2016 we have incurred, and in future years we expect to continue to incur, significant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94" w:lineRule="exact"/>
        <w:rPr>
          <w:sz w:val="20"/>
          <w:szCs w:val="20"/>
          <w:color w:val="auto"/>
        </w:rPr>
      </w:pPr>
    </w:p>
    <w:p>
      <w:pPr>
        <w:ind w:left="60" w:right="99" w:firstLine="972"/>
        <w:spacing w:after="0" w:line="255"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at December 31, 2022 will fund our operating expenses and capital expenditure requirements into 2025. Our forecast of the period of time through which our existing cash and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175" w:lineRule="exact"/>
        <w:rPr>
          <w:sz w:val="20"/>
          <w:szCs w:val="20"/>
          <w:color w:val="auto"/>
        </w:rPr>
      </w:pPr>
    </w:p>
    <w:p>
      <w:pPr>
        <w:ind w:left="1040" w:right="45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or natural history study trials for the product candidates we develop;</w:t>
      </w:r>
    </w:p>
    <w:p>
      <w:pPr>
        <w:spacing w:after="0" w:line="161"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progressing the clinical development of EDIT-301 to treat sickle cell disease and to treat transfusion-dependent beta-thalassemia;</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develop;</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regulatory approval;</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BMS;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BMS exercises any of its options to extend the research program term and/or to additional research programs under our collaboration;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technologies;</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reimbursing our licensors for the prosecution and maintenance of the patent rights in-licensed by us;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any product candidate that we identify and develop, if approved, may not achieve commercial success. Our commercial revenues, if any, will be derived from sales of genomic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our stockholders’ ownership interests will be diluted, and the terms of these securities may include liquidation or other preferences that adversely affect the rights of our stockholders. Debt financing, if available, may involve agreements that include covenants limiting or restricting our ability to take specific actions, such as incurring additional debt, making capital expenditures, or declaring dividends.</w:t>
      </w:r>
    </w:p>
    <w:p>
      <w:pPr>
        <w:spacing w:after="0" w:line="175"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we had non-cancelable operating leases with total future minimum lease payments of $54.0 million, of which $14.5 million will be payable in 2023. These minimum lease payments exclude our share of the facility operating expenses, real-estate taxes and other costs that are reimbursable to the landlord under the leases.</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agreements with certain institutions to license intellectual property include potential milestone and success fees, sublicense fees, royalty fees, licensing maintenance fees, and reimbursement of patent maintenance costs that we may be required to pay.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“Business—Our Collaborations and Licensing Strategy.”</w:t>
      </w:r>
    </w:p>
    <w:p>
      <w:pPr>
        <w:spacing w:after="0" w:line="19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also enter into contracts in the normal course of business with contract research organizations, contract manufacturing organizations and other vendors to assist in the performance of our research and development activities and other services and products for operating purposes. These contracts generally provide for termination at any time upon prior notice.</w:t>
      </w:r>
    </w:p>
    <w:p>
      <w:pPr>
        <w:spacing w:after="0" w:line="399"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2022, we had cash and cash equivalents of $141.5 million, primarily held in money market mutual funds consisting of U.S. government-backed securities, and marketable securities of $295.8 million, primarily consisting of U.S. government-backed securities, commercial paper and corporate debt securities.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invested in U.S. Treasury and U.S. government agency obligations. Due to the short-term maturities and low risk profiles of our investments, an immediate 100 basis point change in interest rates would not have a material effect on the fair market value of our investments.</w:t>
      </w:r>
    </w:p>
    <w:p>
      <w:pPr>
        <w:spacing w:after="0" w:line="1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While we contract with certain vendors and institutions internationally, substantially all of our total liabilities as of December 31, 2022 were denominated in the United States dollar and we believe that we do not have any material exposure to foreign currency exchange rate risk.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 and Other Supplementary Information.</w:t>
            </w:r>
          </w:p>
        </w:tc>
        <w:tc>
          <w:tcPr>
            <w:tcW w:w="15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3"/>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EDITAS MEDICINE, INC.</w:t>
            </w:r>
          </w:p>
        </w:tc>
        <w:tc>
          <w:tcPr>
            <w:tcW w:w="1560" w:type="dxa"/>
            <w:vAlign w:val="bottom"/>
          </w:tcPr>
          <w:p>
            <w:pPr>
              <w:spacing w:after="0"/>
              <w:rPr>
                <w:sz w:val="24"/>
                <w:szCs w:val="24"/>
                <w:color w:val="auto"/>
              </w:rPr>
            </w:pPr>
          </w:p>
        </w:tc>
      </w:tr>
      <w:tr>
        <w:trPr>
          <w:trHeight w:val="432"/>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560" w:type="dxa"/>
            <w:vAlign w:val="bottom"/>
          </w:tcPr>
          <w:p>
            <w:pPr>
              <w:spacing w:after="0"/>
              <w:rPr>
                <w:sz w:val="24"/>
                <w:szCs w:val="24"/>
                <w:color w:val="auto"/>
              </w:rPr>
            </w:pPr>
          </w:p>
        </w:tc>
      </w:tr>
      <w:tr>
        <w:trPr>
          <w:trHeight w:val="405"/>
        </w:trPr>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b w:val="1"/>
                <w:bCs w:val="1"/>
                <w:color w:val="000000"/>
              </w:rPr>
              <w:t>(PCAOB ID 42)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196"/>
        </w:trPr>
        <w:tc>
          <w:tcPr>
            <w:tcW w:w="4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12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7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w:t>
            </w:r>
          </w:p>
        </w:tc>
        <w:tc>
          <w:tcPr>
            <w:tcW w:w="3800" w:type="dxa"/>
            <w:vAlign w:val="bottom"/>
            <w:gridSpan w:val="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7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800" w:type="dxa"/>
            <w:vAlign w:val="bottom"/>
            <w:gridSpan w:val="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7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Stockholders and the Board of Directors of Editas Medicine,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Editas Medicine, Inc.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7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22, 2023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59" w:firstLine="648"/>
        <w:spacing w:after="0" w:line="27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Accrued Research and Development Expense</w:t>
      </w:r>
    </w:p>
    <w:p>
      <w:pPr>
        <w:spacing w:after="0" w:line="227" w:lineRule="exact"/>
        <w:rPr>
          <w:sz w:val="20"/>
          <w:szCs w:val="20"/>
          <w:color w:val="auto"/>
        </w:rPr>
      </w:pPr>
    </w:p>
    <w:p>
      <w:pPr>
        <w:ind w:left="6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The Company’s accrual for research and development expenses totaled $15.3 million at</w:t>
      </w:r>
    </w:p>
    <w:p>
      <w:pPr>
        <w:spacing w:after="0" w:line="29" w:lineRule="exact"/>
        <w:rPr>
          <w:sz w:val="20"/>
          <w:szCs w:val="20"/>
          <w:color w:val="auto"/>
        </w:rPr>
      </w:pPr>
    </w:p>
    <w:p>
      <w:pPr>
        <w:ind w:left="6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December 31, 2022. As discussed in Note 2 to the consolidated financial statements, the</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Company expenses research and development costs as incurred. The Company’s</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determination of costs incurred to conduct research and development on the Company’s</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product candidates, as well as the related accrued expenses at each reporting period</w:t>
      </w:r>
    </w:p>
    <w:p>
      <w:pPr>
        <w:ind w:left="1940" w:right="659"/>
        <w:spacing w:after="0" w:line="288" w:lineRule="auto"/>
        <w:rPr>
          <w:sz w:val="20"/>
          <w:szCs w:val="20"/>
          <w:color w:val="auto"/>
        </w:rPr>
      </w:pPr>
      <w:r>
        <w:rPr>
          <w:rFonts w:ascii="Times New Roman" w:cs="Times New Roman" w:eastAsia="Times New Roman" w:hAnsi="Times New Roman"/>
          <w:sz w:val="17"/>
          <w:szCs w:val="17"/>
          <w:color w:val="auto"/>
        </w:rPr>
        <w:t>incorporates judgment and utilizes various assumptions, including an evaluation of the information provided to the Company by third parties on actual costs incurred but not yet</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40" w:right="559"/>
        <w:spacing w:after="0" w:line="266" w:lineRule="auto"/>
        <w:rPr>
          <w:sz w:val="20"/>
          <w:szCs w:val="20"/>
          <w:color w:val="auto"/>
        </w:rPr>
      </w:pPr>
      <w:r>
        <w:rPr>
          <w:rFonts w:ascii="Times New Roman" w:cs="Times New Roman" w:eastAsia="Times New Roman" w:hAnsi="Times New Roman"/>
          <w:sz w:val="18"/>
          <w:szCs w:val="18"/>
          <w:color w:val="auto"/>
        </w:rPr>
        <w:t>billed, estimated project timelines and patient enrollment. Payments for these activities are based on the terms of the individual arrangements, which often differ from the pattern of costs incurred.</w:t>
      </w:r>
    </w:p>
    <w:p>
      <w:pPr>
        <w:spacing w:after="0" w:line="176" w:lineRule="exact"/>
        <w:rPr>
          <w:sz w:val="20"/>
          <w:szCs w:val="20"/>
          <w:color w:val="auto"/>
        </w:rPr>
      </w:pPr>
    </w:p>
    <w:p>
      <w:pPr>
        <w:ind w:left="1940" w:right="399"/>
        <w:spacing w:after="0" w:line="253" w:lineRule="auto"/>
        <w:rPr>
          <w:sz w:val="20"/>
          <w:szCs w:val="20"/>
          <w:color w:val="auto"/>
        </w:rPr>
      </w:pPr>
      <w:r>
        <w:rPr>
          <w:rFonts w:ascii="Times New Roman" w:cs="Times New Roman" w:eastAsia="Times New Roman" w:hAnsi="Times New Roman"/>
          <w:sz w:val="18"/>
          <w:szCs w:val="18"/>
          <w:color w:val="auto"/>
        </w:rPr>
        <w:t>Auditing the Company’s research and development accruals is especially complex due to the judgments and estimations of the research and development expenses. The Company uses judgment and estimation to estimate costs incurred and not yet billed at each reporting period as a result of the volume of pre-clinical and clinical trials and the related manufacturing activities, as well as the extent of third-party vendors utilized. Additionally, due to the timing of invoices received from third parties, actual amounts incurred are not always known as of the audit report date.</w:t>
      </w:r>
    </w:p>
    <w:p>
      <w:pPr>
        <w:spacing w:after="0" w:line="187" w:lineRule="exact"/>
        <w:rPr>
          <w:sz w:val="20"/>
          <w:szCs w:val="20"/>
          <w:color w:val="auto"/>
        </w:rPr>
      </w:pPr>
    </w:p>
    <w:p>
      <w:pPr>
        <w:ind w:left="1940" w:right="659"/>
        <w:spacing w:after="0" w:line="257" w:lineRule="auto"/>
        <w:rPr>
          <w:sz w:val="20"/>
          <w:szCs w:val="20"/>
          <w:color w:val="auto"/>
        </w:rPr>
      </w:pPr>
      <w:r>
        <w:rPr>
          <w:rFonts w:ascii="Times New Roman" w:cs="Times New Roman" w:eastAsia="Times New Roman" w:hAnsi="Times New Roman"/>
          <w:sz w:val="18"/>
          <w:szCs w:val="18"/>
          <w:color w:val="auto"/>
        </w:rPr>
        <w:t>We obtained an understanding of the Company’s process, evaluated and tested the design and operating effectiveness of internal controls that address the risks related to the completeness and valuation of accrued research and development expenses.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We Addressed the</w:t>
      </w:r>
    </w:p>
    <w:p>
      <w:pPr>
        <w:spacing w:after="0" w:line="9" w:lineRule="exact"/>
        <w:rPr>
          <w:sz w:val="20"/>
          <w:szCs w:val="20"/>
          <w:color w:val="auto"/>
        </w:rPr>
      </w:pPr>
    </w:p>
    <w:p>
      <w:pPr>
        <w:ind w:left="1940" w:right="399" w:hanging="1889"/>
        <w:spacing w:after="0" w:line="248"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To test the research and development accrual, our audit procedures included, among others, testing the accuracy and completeness of the underlying data used in the estimates and evaluating and testing the significant assumptions that are used by management to estimate the accruals. To test the significant assumptions, we inspected the contracts and any amendments to the contracts with third-party service providers, corroborated the progress of pre-clinical and clinical trials and other research and development projects with the Company’s research and development personnel that oversee the clinical trials and the related manufacturing activities, and obtained information received from third parties, which included the third parties’ estimate of costs incurred to date. We also tested subsequent invoicing received from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Ernst &amp; Young LLP</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141,522</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203,519</w:t>
            </w: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202,752</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296,326</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3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7,198</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356,754</w:t>
            </w:r>
          </w:p>
        </w:tc>
        <w:tc>
          <w:tcPr>
            <w:tcW w:w="3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507,310</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4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93,097</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120,071</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43,648</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26,173</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and other non-current assets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w:t>
            </w:r>
          </w:p>
        </w:tc>
        <w:tc>
          <w:tcPr>
            <w:tcW w:w="3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514,321</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677,483</w:t>
            </w:r>
          </w:p>
        </w:tc>
        <w:tc>
          <w:tcPr>
            <w:tcW w:w="0" w:type="dxa"/>
            <w:vAlign w:val="bottom"/>
          </w:tcPr>
          <w:p>
            <w:pPr>
              <w:spacing w:after="0"/>
              <w:rPr>
                <w:sz w:val="1"/>
                <w:szCs w:val="1"/>
                <w:color w:val="auto"/>
              </w:rPr>
            </w:pPr>
          </w:p>
        </w:tc>
      </w:tr>
      <w:tr>
        <w:trPr>
          <w:trHeight w:val="169"/>
        </w:trPr>
        <w:tc>
          <w:tcPr>
            <w:tcW w:w="56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31,296</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20,192</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 current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11,082</w:t>
            </w:r>
          </w:p>
        </w:tc>
        <w:tc>
          <w:tcPr>
            <w:tcW w:w="3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60,110</w:t>
            </w: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46,884</w:t>
            </w: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32,864</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16,069</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60,667</w:t>
            </w:r>
          </w:p>
        </w:tc>
        <w:tc>
          <w:tcPr>
            <w:tcW w:w="3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60,888</w:t>
            </w:r>
          </w:p>
        </w:tc>
        <w:tc>
          <w:tcPr>
            <w:tcW w:w="0" w:type="dxa"/>
            <w:vAlign w:val="bottom"/>
          </w:tcPr>
          <w:p>
            <w:pPr>
              <w:spacing w:after="0"/>
              <w:rPr>
                <w:sz w:val="1"/>
                <w:szCs w:val="1"/>
                <w:color w:val="auto"/>
              </w:rPr>
            </w:pPr>
          </w:p>
        </w:tc>
      </w:tr>
      <w:tr>
        <w:trPr>
          <w:trHeight w:val="183"/>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153,641</w:t>
            </w:r>
          </w:p>
        </w:tc>
        <w:tc>
          <w:tcPr>
            <w:tcW w:w="3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123,841</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Preferred stock, $0.0001 par value per share: 5,000,000 shares authorized; no shares</w:t>
            </w:r>
          </w:p>
        </w:tc>
        <w:tc>
          <w:tcPr>
            <w:tcW w:w="340" w:type="dxa"/>
            <w:vAlign w:val="bottom"/>
          </w:tcPr>
          <w:p>
            <w:pPr>
              <w:spacing w:after="0"/>
              <w:rPr>
                <w:sz w:val="13"/>
                <w:szCs w:val="13"/>
                <w:color w:val="auto"/>
              </w:rPr>
            </w:pPr>
          </w:p>
        </w:tc>
        <w:tc>
          <w:tcPr>
            <w:tcW w:w="14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issued or outstanding</w:t>
            </w:r>
          </w:p>
        </w:tc>
        <w:tc>
          <w:tcPr>
            <w:tcW w:w="3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Common stock, $0.0001 par value per share: 195,000,000 shares authorized; 68,847,382</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68,489,257 shares issued, and 68,847,382 and 68,435,257 shares outstanding at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December 31, 2022 and December 31, 2021, respectively</w:t>
            </w: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1,442,405</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1,411,827</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(3,601)</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Pr>
          <w:p>
            <w:pPr>
              <w:spacing w:after="0"/>
              <w:rPr>
                <w:sz w:val="16"/>
                <w:szCs w:val="16"/>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(1,078,131)</w:t>
            </w: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(857,699)</w:t>
            </w: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360,680</w:t>
            </w:r>
          </w:p>
        </w:tc>
        <w:tc>
          <w:tcPr>
            <w:tcW w:w="3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553,642</w:t>
            </w:r>
          </w:p>
        </w:tc>
        <w:tc>
          <w:tcPr>
            <w:tcW w:w="0" w:type="dxa"/>
            <w:vAlign w:val="bottom"/>
          </w:tcPr>
          <w:p>
            <w:pPr>
              <w:spacing w:after="0"/>
              <w:rPr>
                <w:sz w:val="1"/>
                <w:szCs w:val="1"/>
                <w:color w:val="auto"/>
              </w:rPr>
            </w:pPr>
          </w:p>
        </w:tc>
      </w:tr>
      <w:tr>
        <w:trPr>
          <w:trHeight w:val="196"/>
        </w:trPr>
        <w:tc>
          <w:tcPr>
            <w:tcW w:w="5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514,321</w:t>
            </w:r>
          </w:p>
        </w:tc>
        <w:tc>
          <w:tcPr>
            <w:tcW w:w="30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677,483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and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research and development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70,704</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(220,432)</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Reconciliation of net loss to net loss attributable to common</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(220,432)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(192,502)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68,664,822</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67,619,388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58,609,389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74"/>
        </w:trPr>
        <w:tc>
          <w:tcPr>
            <w:tcW w:w="5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(115,976)</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(223,540)</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(192,949)</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(116,129)</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4"/>
        </w:trPr>
        <w:tc>
          <w:tcPr>
            <w:tcW w:w="4880" w:type="dxa"/>
            <w:vAlign w:val="bottom"/>
          </w:tcPr>
          <w:p>
            <w:pPr>
              <w:spacing w:after="0"/>
              <w:rPr>
                <w:sz w:val="16"/>
                <w:szCs w:val="16"/>
                <w:color w:val="auto"/>
              </w:rPr>
            </w:pPr>
          </w:p>
        </w:tc>
        <w:tc>
          <w:tcPr>
            <w:tcW w:w="11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AccumulatedComprehensive</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r>
      <w:tr>
        <w:trPr>
          <w:trHeight w:val="176"/>
        </w:trPr>
        <w:tc>
          <w:tcPr>
            <w:tcW w:w="488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6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54,355,798</w:t>
            </w: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811,546</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(549,221)$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262,437</w:t>
            </w:r>
          </w:p>
        </w:tc>
        <w:tc>
          <w:tcPr>
            <w:tcW w:w="20" w:type="dxa"/>
            <w:vAlign w:val="bottom"/>
          </w:tcPr>
          <w:p>
            <w:pPr>
              <w:spacing w:after="0"/>
              <w:rPr>
                <w:sz w:val="14"/>
                <w:szCs w:val="14"/>
                <w:color w:val="auto"/>
              </w:rPr>
            </w:pPr>
          </w:p>
        </w:tc>
      </w:tr>
      <w:tr>
        <w:trPr>
          <w:trHeight w:val="169"/>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from public offering, net of issuance costs of $0.3 million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203,726</w:t>
            </w:r>
          </w:p>
        </w:tc>
        <w:tc>
          <w:tcPr>
            <w:tcW w:w="20" w:type="dxa"/>
            <w:vAlign w:val="bottom"/>
          </w:tcPr>
          <w:p>
            <w:pPr>
              <w:spacing w:after="0"/>
              <w:rPr>
                <w:sz w:val="14"/>
                <w:szCs w:val="14"/>
                <w:color w:val="auto"/>
              </w:rPr>
            </w:pPr>
          </w:p>
        </w:tc>
      </w:tr>
      <w:tr>
        <w:trPr>
          <w:trHeight w:val="17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964,412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20" w:type="dxa"/>
            <w:vAlign w:val="bottom"/>
          </w:tcPr>
          <w:p>
            <w:pPr>
              <w:spacing w:after="0"/>
              <w:rPr>
                <w:sz w:val="15"/>
                <w:szCs w:val="15"/>
                <w:color w:val="auto"/>
              </w:rPr>
            </w:pPr>
          </w:p>
        </w:tc>
      </w:tr>
      <w:tr>
        <w:trPr>
          <w:trHeight w:val="176"/>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23,156</w:t>
            </w:r>
          </w:p>
        </w:tc>
        <w:tc>
          <w:tcPr>
            <w:tcW w:w="20" w:type="dxa"/>
            <w:vAlign w:val="bottom"/>
          </w:tcPr>
          <w:p>
            <w:pPr>
              <w:spacing w:after="0"/>
              <w:rPr>
                <w:sz w:val="15"/>
                <w:szCs w:val="15"/>
                <w:color w:val="auto"/>
              </w:rPr>
            </w:pPr>
          </w:p>
        </w:tc>
      </w:tr>
      <w:tr>
        <w:trPr>
          <w:trHeight w:val="17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common stock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304,638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6"/>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Purchase of common stock under benefits plans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0" w:type="dxa"/>
            <w:vAlign w:val="bottom"/>
          </w:tcPr>
          <w:p>
            <w:pPr>
              <w:spacing w:after="0"/>
              <w:rPr>
                <w:sz w:val="15"/>
                <w:szCs w:val="15"/>
                <w:color w:val="auto"/>
              </w:rPr>
            </w:pPr>
          </w:p>
        </w:tc>
      </w:tr>
      <w:tr>
        <w:trPr>
          <w:trHeight w:val="17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marketable debt securities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Pr>
          <w:p>
            <w:pPr>
              <w:spacing w:after="0"/>
              <w:rPr>
                <w:sz w:val="15"/>
                <w:szCs w:val="15"/>
                <w:color w:val="auto"/>
              </w:rPr>
            </w:pPr>
          </w:p>
        </w:tc>
      </w:tr>
      <w:tr>
        <w:trPr>
          <w:trHeight w:val="176"/>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(115,976)</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(115,976)</w:t>
            </w:r>
          </w:p>
        </w:tc>
        <w:tc>
          <w:tcPr>
            <w:tcW w:w="20" w:type="dxa"/>
            <w:vAlign w:val="bottom"/>
          </w:tcPr>
          <w:p>
            <w:pPr>
              <w:spacing w:after="0"/>
              <w:rPr>
                <w:sz w:val="15"/>
                <w:szCs w:val="15"/>
                <w:color w:val="auto"/>
              </w:rPr>
            </w:pPr>
          </w:p>
        </w:tc>
      </w:tr>
      <w:tr>
        <w:trPr>
          <w:trHeight w:val="16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62,563,457</w:t>
            </w: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1,058,823</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(665,197)$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393,586</w:t>
            </w:r>
          </w:p>
        </w:tc>
        <w:tc>
          <w:tcPr>
            <w:tcW w:w="20" w:type="dxa"/>
            <w:vAlign w:val="bottom"/>
          </w:tcPr>
          <w:p>
            <w:pPr>
              <w:spacing w:after="0"/>
              <w:rPr>
                <w:sz w:val="14"/>
                <w:szCs w:val="14"/>
                <w:color w:val="auto"/>
              </w:rPr>
            </w:pPr>
          </w:p>
        </w:tc>
      </w:tr>
      <w:tr>
        <w:trPr>
          <w:trHeight w:val="169"/>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from public offering, net of issuance costs of $0.3 million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4,025,000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249,458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249,459</w:t>
            </w:r>
          </w:p>
        </w:tc>
        <w:tc>
          <w:tcPr>
            <w:tcW w:w="20" w:type="dxa"/>
            <w:vAlign w:val="bottom"/>
          </w:tcPr>
          <w:p>
            <w:pPr>
              <w:spacing w:after="0"/>
              <w:rPr>
                <w:sz w:val="14"/>
                <w:szCs w:val="14"/>
                <w:color w:val="auto"/>
              </w:rPr>
            </w:pPr>
          </w:p>
        </w:tc>
      </w:tr>
      <w:tr>
        <w:trPr>
          <w:trHeight w:val="17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for repayment of notes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303,599</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20" w:type="dxa"/>
            <w:vAlign w:val="bottom"/>
          </w:tcPr>
          <w:p>
            <w:pPr>
              <w:spacing w:after="0"/>
              <w:rPr>
                <w:sz w:val="15"/>
                <w:szCs w:val="15"/>
                <w:color w:val="auto"/>
              </w:rPr>
            </w:pPr>
          </w:p>
        </w:tc>
      </w:tr>
      <w:tr>
        <w:trPr>
          <w:trHeight w:val="176"/>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1,233,958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31,495</w:t>
            </w:r>
          </w:p>
        </w:tc>
        <w:tc>
          <w:tcPr>
            <w:tcW w:w="20" w:type="dxa"/>
            <w:vAlign w:val="bottom"/>
          </w:tcPr>
          <w:p>
            <w:pPr>
              <w:spacing w:after="0"/>
              <w:rPr>
                <w:sz w:val="15"/>
                <w:szCs w:val="15"/>
                <w:color w:val="auto"/>
              </w:rPr>
            </w:pPr>
          </w:p>
        </w:tc>
      </w:tr>
      <w:tr>
        <w:trPr>
          <w:trHeight w:val="17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43,399</w:t>
            </w:r>
          </w:p>
        </w:tc>
        <w:tc>
          <w:tcPr>
            <w:tcW w:w="20" w:type="dxa"/>
            <w:vAlign w:val="bottom"/>
          </w:tcPr>
          <w:p>
            <w:pPr>
              <w:spacing w:after="0"/>
              <w:rPr>
                <w:sz w:val="15"/>
                <w:szCs w:val="15"/>
                <w:color w:val="auto"/>
              </w:rPr>
            </w:pPr>
          </w:p>
        </w:tc>
      </w:tr>
      <w:tr>
        <w:trPr>
          <w:trHeight w:val="176"/>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common stock awards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267,268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common stock under benefit plan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41,975</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20" w:type="dxa"/>
            <w:vAlign w:val="bottom"/>
          </w:tcPr>
          <w:p>
            <w:pPr>
              <w:spacing w:after="0"/>
              <w:rPr>
                <w:sz w:val="15"/>
                <w:szCs w:val="15"/>
                <w:color w:val="auto"/>
              </w:rPr>
            </w:pPr>
          </w:p>
        </w:tc>
      </w:tr>
      <w:tr>
        <w:trPr>
          <w:trHeight w:val="175"/>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debt securities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(447)</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0" w:type="dxa"/>
            <w:vAlign w:val="bottom"/>
          </w:tcPr>
          <w:p>
            <w:pPr>
              <w:spacing w:after="0"/>
              <w:rPr>
                <w:sz w:val="15"/>
                <w:szCs w:val="15"/>
                <w:color w:val="auto"/>
              </w:rPr>
            </w:pPr>
          </w:p>
        </w:tc>
      </w:tr>
      <w:tr>
        <w:trPr>
          <w:trHeight w:val="17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(192,502)</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(192,502)</w:t>
            </w:r>
          </w:p>
        </w:tc>
        <w:tc>
          <w:tcPr>
            <w:tcW w:w="20" w:type="dxa"/>
            <w:vAlign w:val="bottom"/>
          </w:tcPr>
          <w:p>
            <w:pPr>
              <w:spacing w:after="0"/>
              <w:rPr>
                <w:sz w:val="15"/>
                <w:szCs w:val="15"/>
                <w:color w:val="auto"/>
              </w:rPr>
            </w:pPr>
          </w:p>
        </w:tc>
      </w:tr>
      <w:tr>
        <w:trPr>
          <w:trHeight w:val="169"/>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68,435,257</w:t>
            </w:r>
          </w:p>
        </w:tc>
        <w:tc>
          <w:tcPr>
            <w:tcW w:w="1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1,411,827</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(857,699)$</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553,642</w:t>
            </w:r>
          </w:p>
        </w:tc>
        <w:tc>
          <w:tcPr>
            <w:tcW w:w="20" w:type="dxa"/>
            <w:vAlign w:val="bottom"/>
          </w:tcPr>
          <w:p>
            <w:pPr>
              <w:spacing w:after="0"/>
              <w:rPr>
                <w:sz w:val="14"/>
                <w:szCs w:val="14"/>
                <w:color w:val="auto"/>
              </w:rPr>
            </w:pPr>
          </w:p>
        </w:tc>
      </w:tr>
      <w:tr>
        <w:trPr>
          <w:trHeight w:val="16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 w:type="dxa"/>
            <w:vAlign w:val="bottom"/>
          </w:tcPr>
          <w:p>
            <w:pPr>
              <w:spacing w:after="0"/>
              <w:rPr>
                <w:sz w:val="14"/>
                <w:szCs w:val="14"/>
                <w:color w:val="auto"/>
              </w:rPr>
            </w:pPr>
          </w:p>
        </w:tc>
      </w:tr>
      <w:tr>
        <w:trPr>
          <w:trHeight w:val="176"/>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29,294</w:t>
            </w:r>
          </w:p>
        </w:tc>
        <w:tc>
          <w:tcPr>
            <w:tcW w:w="20" w:type="dxa"/>
            <w:vAlign w:val="bottom"/>
          </w:tcPr>
          <w:p>
            <w:pPr>
              <w:spacing w:after="0"/>
              <w:rPr>
                <w:sz w:val="15"/>
                <w:szCs w:val="15"/>
                <w:color w:val="auto"/>
              </w:rPr>
            </w:pPr>
          </w:p>
        </w:tc>
      </w:tr>
      <w:tr>
        <w:trPr>
          <w:trHeight w:val="17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common stock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286,642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5"/>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Purchase of common stock under benefit plans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105,714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20" w:type="dxa"/>
            <w:vAlign w:val="bottom"/>
          </w:tcPr>
          <w:p>
            <w:pPr>
              <w:spacing w:after="0"/>
              <w:rPr>
                <w:sz w:val="15"/>
                <w:szCs w:val="15"/>
                <w:color w:val="auto"/>
              </w:rPr>
            </w:pPr>
          </w:p>
        </w:tc>
      </w:tr>
      <w:tr>
        <w:trPr>
          <w:trHeight w:val="17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marketable debt securities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(3,108)</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20" w:type="dxa"/>
            <w:vAlign w:val="bottom"/>
          </w:tcPr>
          <w:p>
            <w:pPr>
              <w:spacing w:after="0"/>
              <w:rPr>
                <w:sz w:val="15"/>
                <w:szCs w:val="15"/>
                <w:color w:val="auto"/>
              </w:rPr>
            </w:pPr>
          </w:p>
        </w:tc>
      </w:tr>
      <w:tr>
        <w:trPr>
          <w:trHeight w:val="175"/>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(220,432)</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(220,432)</w:t>
            </w:r>
          </w:p>
        </w:tc>
        <w:tc>
          <w:tcPr>
            <w:tcW w:w="20" w:type="dxa"/>
            <w:vAlign w:val="bottom"/>
          </w:tcPr>
          <w:p>
            <w:pPr>
              <w:spacing w:after="0"/>
              <w:rPr>
                <w:sz w:val="15"/>
                <w:szCs w:val="15"/>
                <w:color w:val="auto"/>
              </w:rPr>
            </w:pPr>
          </w:p>
        </w:tc>
      </w:tr>
      <w:tr>
        <w:trPr>
          <w:trHeight w:val="169"/>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68,847,382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1,442,405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(1,078,131)$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360,680</w:t>
            </w:r>
          </w:p>
        </w:tc>
        <w:tc>
          <w:tcPr>
            <w:tcW w:w="20" w:type="dxa"/>
            <w:vAlign w:val="bottom"/>
          </w:tcPr>
          <w:p>
            <w:pPr>
              <w:spacing w:after="0"/>
              <w:rPr>
                <w:sz w:val="14"/>
                <w:szCs w:val="14"/>
                <w:color w:val="auto"/>
              </w:rPr>
            </w:pPr>
          </w:p>
        </w:tc>
      </w:tr>
      <w:tr>
        <w:trPr>
          <w:trHeight w:val="20"/>
        </w:trPr>
        <w:tc>
          <w:tcPr>
            <w:tcW w:w="4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0007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10000"/>
          </w:cols>
          <w:pgMar w:left="1220" w:top="513" w:right="6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4"/>
        </w:trPr>
        <w:tc>
          <w:tcPr>
            <w:tcW w:w="62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23,156</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gain on corporate equity securities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research and development expenses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items, net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(91,794)</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10"/>
        </w:trPr>
        <w:tc>
          <w:tcPr>
            <w:tcW w:w="62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(179,843)</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equipment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(458,404)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corporate equity securities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w:t>
            </w:r>
          </w:p>
        </w:tc>
      </w:tr>
      <w:tr>
        <w:trPr>
          <w:trHeight w:val="210"/>
        </w:trPr>
        <w:tc>
          <w:tcPr>
            <w:tcW w:w="6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114,068</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(140,522)</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offering of common stock, net of issuance costs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w:t>
            </w: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Issuance of common stock under benefit plans</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9"/>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224,122</w:t>
            </w: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207,396</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239,802</w:t>
            </w:r>
          </w:p>
        </w:tc>
      </w:tr>
      <w:tr>
        <w:trPr>
          <w:trHeight w:val="24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8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145,399</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207,396</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143,559</w:t>
            </w:r>
          </w:p>
        </w:tc>
      </w:tr>
      <w:tr>
        <w:trPr>
          <w:trHeight w:val="197"/>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and non-cash activities: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Fixed asset additions included in accounts payable and accrued expenses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in connection with operating lease liabilities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of operating lease obligations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settlement of success payments (see Note 8)</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Editas Medicine, Inc. (the “Company”) is a clinical stage genome editing company dedicated to developing potentially transformative genomic medicines to treat a broad range of serious diseases. The Company was incorporated in the state of Delaware in September 2013. Its principal offices are in Cambridge, Massachusetts.</w:t>
      </w:r>
    </w:p>
    <w:p>
      <w:pPr>
        <w:spacing w:after="0" w:line="183" w:lineRule="exact"/>
        <w:rPr>
          <w:sz w:val="20"/>
          <w:szCs w:val="20"/>
          <w:color w:val="auto"/>
        </w:rPr>
      </w:pPr>
    </w:p>
    <w:p>
      <w:pPr>
        <w:ind w:left="40" w:right="59" w:firstLine="648"/>
        <w:spacing w:after="0" w:line="277" w:lineRule="auto"/>
        <w:rPr>
          <w:sz w:val="20"/>
          <w:szCs w:val="20"/>
          <w:color w:val="auto"/>
        </w:rPr>
      </w:pPr>
      <w:r>
        <w:rPr>
          <w:rFonts w:ascii="Times New Roman" w:cs="Times New Roman" w:eastAsia="Times New Roman" w:hAnsi="Times New Roman"/>
          <w:sz w:val="17"/>
          <w:szCs w:val="17"/>
          <w:color w:val="auto"/>
        </w:rPr>
        <w:t xml:space="preserve">Since its inception, the Company has devoted substantially all of its efforts to business planning, research and development, recruiting management and technical staff, and raising capital. The Company has primarily financed its operations through various equity financings, payments received under a research collaboration with Juno Therapeutics, a wholly-owned subsidiary of the Bristol-Myers Squibb Company (“BMS”), and payments received under a strategic alliance and option agreement with Allergan Pharmaceuticals International Limited </w:t>
      </w:r>
      <w:r>
        <w:rPr>
          <w:rFonts w:ascii="Times New Roman" w:cs="Times New Roman" w:eastAsia="Times New Roman" w:hAnsi="Times New Roman"/>
          <w:sz w:val="17"/>
          <w:szCs w:val="17"/>
          <w:color w:val="212529"/>
        </w:rPr>
        <w:t>(together with its affiliates, “Allergan”).</w:t>
      </w:r>
    </w:p>
    <w:p>
      <w:pPr>
        <w:spacing w:after="0" w:line="154"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16" w:lineRule="exact"/>
        <w:rPr>
          <w:sz w:val="20"/>
          <w:szCs w:val="20"/>
          <w:color w:val="auto"/>
        </w:rPr>
      </w:pPr>
    </w:p>
    <w:p>
      <w:pPr>
        <w:ind w:left="40" w:right="53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have raised an aggregate of $898.0 million in net proceeds through the sale of shares of our common stock in public offerings and at-the-market offerings. We also have funded our business from payments received under our research collaboration with BMS and our former strategic alliance with Allergan. As of December 31, 2022, we had cash, cash equivalents and marketable securities of $437.4 million.</w:t>
      </w:r>
    </w:p>
    <w:p>
      <w:pPr>
        <w:spacing w:after="0" w:line="180"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In May 2021, the Company entered into a common stock sales agreement with Cowen and Company, LLC (“Cowen”), under which the Company from time to time can issue and sell shares of its common stock through Cowen in at-the-market offerings for aggregate gross sale proceeds of up to $300.0 million (the “ATM Facility”). As of December 31, 2022 the Company has not sold any shares of its common stock under the ATM Facility.</w:t>
      </w:r>
    </w:p>
    <w:p>
      <w:pPr>
        <w:spacing w:after="0" w:line="187" w:lineRule="exact"/>
        <w:rPr>
          <w:sz w:val="20"/>
          <w:szCs w:val="20"/>
          <w:color w:val="auto"/>
        </w:rPr>
      </w:pPr>
    </w:p>
    <w:p>
      <w:pPr>
        <w:ind w:left="40" w:right="79" w:firstLine="648"/>
        <w:spacing w:after="0" w:line="257" w:lineRule="auto"/>
        <w:rPr>
          <w:sz w:val="20"/>
          <w:szCs w:val="20"/>
          <w:color w:val="auto"/>
        </w:rPr>
      </w:pPr>
      <w:r>
        <w:rPr>
          <w:rFonts w:ascii="Times New Roman" w:cs="Times New Roman" w:eastAsia="Times New Roman" w:hAnsi="Times New Roman"/>
          <w:sz w:val="18"/>
          <w:szCs w:val="18"/>
          <w:color w:val="auto"/>
        </w:rPr>
        <w:t>The Company has incurred annual net operating losses in every year since its inception. The Company has an accumulated deficit of $1.1 billion at December 31, 2022. The Company expects that its existing cash, cash equivalents and marketable securities on December 31, 2022 fund its operating expenses and capital expenditure requirements into</w:t>
      </w:r>
    </w:p>
    <w:p>
      <w:pPr>
        <w:spacing w:after="0" w:line="1"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2025.The Company will require substantial additional capital to fund its operations. The Company has never generated any product revenue. There can be no assurance that the Company will be able to obtain additional debt or equity financing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Editas Medicine, Inc. and its wholly owned subsidiary, Editas Securities Corporation, which is a Delaware subsidiary created to buy, sell and hold securities. All intercompany transactions and balances have been eliminated.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23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stock-based compensation expense, the accrual for research and development expenses, valuations of in-process research and development assets and deferred tax valuation allowances. The Company bases its estimates on historical experience and other market-specific or relevant assumptions that it believes to be reasonable under the circumstances. Actual results may differ from those estimates or assumptions.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6"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ASC 820 identifies fair value as the exchange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64" w:lineRule="exact"/>
        <w:rPr>
          <w:sz w:val="20"/>
          <w:szCs w:val="20"/>
          <w:color w:val="auto"/>
        </w:rPr>
      </w:pPr>
    </w:p>
    <w:p>
      <w:pPr>
        <w:ind w:left="1040" w:hanging="321"/>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040" w:right="439" w:hanging="321"/>
        <w:spacing w:after="0" w:line="284"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inputs that are either directly or indirectly observable, such as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interest rates, and yield curves.</w:t>
      </w:r>
    </w:p>
    <w:p>
      <w:pPr>
        <w:spacing w:after="0" w:line="158" w:lineRule="exact"/>
        <w:rPr>
          <w:rFonts w:ascii="Times New Roman" w:cs="Times New Roman" w:eastAsia="Times New Roman" w:hAnsi="Times New Roman"/>
          <w:sz w:val="18"/>
          <w:szCs w:val="18"/>
          <w:color w:val="auto"/>
        </w:rPr>
      </w:pPr>
    </w:p>
    <w:p>
      <w:pPr>
        <w:ind w:left="1040" w:right="179" w:hanging="321"/>
        <w:spacing w:after="0" w:line="284"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developed using estimates of assumptions developed by the Company,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those that a market participant would use.</w:t>
      </w:r>
    </w:p>
    <w:p>
      <w:pPr>
        <w:spacing w:after="0" w:line="160"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and cash equivalents, restricted cash, marketable securities, accounts receivable, prepaid expenses and other current assets, accounts payable, accrued expenses, and other current liabilities approximate their fair values, due to their short-term nature.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has restricted cash of $3.9 million held as collateral for the Company’s office and lab facilities and credit card program. The restricted funds are maintained in a traditional bank account.</w:t>
      </w:r>
    </w:p>
    <w:p>
      <w:pPr>
        <w:spacing w:after="0" w:line="162"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cash equivalents, and restricted cash as reported on the consolidated balance sheets that equal the total amounts on the consolidated statements of cash flows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5"/>
                <w:szCs w:val="15"/>
                <w:color w:val="auto"/>
              </w:rPr>
            </w:pPr>
          </w:p>
        </w:tc>
      </w:tr>
      <w:tr>
        <w:trPr>
          <w:trHeight w:val="195"/>
        </w:trPr>
        <w:tc>
          <w:tcPr>
            <w:tcW w:w="6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74"/>
        </w:trPr>
        <w:tc>
          <w:tcPr>
            <w:tcW w:w="6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203,519</w:t>
            </w:r>
          </w:p>
        </w:tc>
      </w:tr>
      <w:tr>
        <w:trPr>
          <w:trHeight w:val="216"/>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"Restricted cash and other non-current assets"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10"/>
        </w:trPr>
        <w:tc>
          <w:tcPr>
            <w:tcW w:w="6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145,399</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207,396</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left="40" w:right="199" w:firstLine="648"/>
        <w:spacing w:after="0" w:line="254"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when purchased of greater than three months and less than one year from the balance sheet date as current. Marketable securities are classified as long-term assets on the consolidated balance sheets if the contractual maturity exceeds one year and the Company does not intend to utilize the marketable securities to fund current operations. For the years ended December 31, 2022 and 2021, the Company’s marketable securities consisted of investments in available-for-sale debt securities.</w:t>
      </w:r>
    </w:p>
    <w:p>
      <w:pPr>
        <w:spacing w:after="0" w:line="187"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Available-for-sale debt securities are carried at fair value with the unrealized gains and losses included in other comprehensive loss as a component of stockholders’ equity until realized. Any premium or discount arising at purchase is amortized and/or accreted to interest income and/or expense over the life of the of the underlying security. Realized gains and losses are included in other income (expense).</w:t>
      </w:r>
    </w:p>
    <w:p>
      <w:pPr>
        <w:spacing w:after="0" w:line="180" w:lineRule="exact"/>
        <w:rPr>
          <w:sz w:val="20"/>
          <w:szCs w:val="20"/>
          <w:color w:val="auto"/>
        </w:rPr>
      </w:pPr>
    </w:p>
    <w:p>
      <w:pPr>
        <w:ind w:left="40" w:right="79" w:firstLine="648"/>
        <w:spacing w:after="0" w:line="250" w:lineRule="auto"/>
        <w:rPr>
          <w:sz w:val="20"/>
          <w:szCs w:val="20"/>
          <w:color w:val="auto"/>
        </w:rPr>
      </w:pPr>
      <w:r>
        <w:rPr>
          <w:rFonts w:ascii="Times New Roman" w:cs="Times New Roman" w:eastAsia="Times New Roman" w:hAnsi="Times New Roman"/>
          <w:sz w:val="18"/>
          <w:szCs w:val="18"/>
          <w:color w:val="auto"/>
        </w:rPr>
        <w:t>At each reporting date, the Company records an allowance for credit losses and reports it as credit loss expense which is included in “Other income (expense), net” in the Company’s consolidated statement of operations. The estimate for credit losses includes a measure of the expected risk of credit loss even if the risk is remote. When assessing financial assets for credit losses, the Company pools financial assets with similar risk characteristics and performs a collective evaluation. A credit loss on an available-for-sale debt security is limited to the difference in fair value and the amortized cost. A previously recognized credit loss may be increased or decreased in subsequent periods if the Company’s estimate of fair value changes. To determine whether to record a credit loss, the Company considers issuer or vendor specific credit ratings and historical losses as well as current economic conditions and its expectations for future economic conditions. To date, the Company has not had any credit losses, and the Company did not have an allowance for credit losses as of December 31, 2022 and 2021.</w:t>
      </w:r>
    </w:p>
    <w:p>
      <w:pPr>
        <w:spacing w:after="0" w:line="193" w:lineRule="exact"/>
        <w:rPr>
          <w:sz w:val="20"/>
          <w:szCs w:val="20"/>
          <w:color w:val="auto"/>
        </w:rPr>
      </w:pPr>
    </w:p>
    <w:p>
      <w:pPr>
        <w:ind w:left="40" w:right="339" w:firstLine="648"/>
        <w:spacing w:after="0" w:line="252" w:lineRule="auto"/>
        <w:rPr>
          <w:sz w:val="20"/>
          <w:szCs w:val="20"/>
          <w:color w:val="auto"/>
        </w:rPr>
      </w:pPr>
      <w:r>
        <w:rPr>
          <w:rFonts w:ascii="Times New Roman" w:cs="Times New Roman" w:eastAsia="Times New Roman" w:hAnsi="Times New Roman"/>
          <w:sz w:val="18"/>
          <w:szCs w:val="18"/>
          <w:color w:val="auto"/>
        </w:rPr>
        <w:t>During 2021, the Company’s marketable securities also included corporate equity securities. The Company classified investments in equity securities that had a readily determinable fair value as marketable securities in the Company’s consolidated balance sheets. The fair value of these securities were based on a quoted price for an identical equity security. If the equity security had a restriction that was determined to be an attribute of the security that would transfer to a market participant, the fair value of the security was measured based on the quoted price for an otherwise identical unrestricted equity security, adjusted for the effect of the restriction. The adjustment reflects the discount that a market participant would demand for the risk relating to the inability to dispose of the security for a specified period of time. The Company recorded changes in the fair value of its equity securities in “Other income (expense), net” in the Company’s consolidated statement of operations.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left="40" w:right="219" w:firstLine="648"/>
        <w:spacing w:after="0" w:line="254" w:lineRule="auto"/>
        <w:rPr>
          <w:sz w:val="20"/>
          <w:szCs w:val="20"/>
          <w:color w:val="auto"/>
        </w:rPr>
      </w:pPr>
      <w:r>
        <w:rPr>
          <w:rFonts w:ascii="Times New Roman" w:cs="Times New Roman" w:eastAsia="Times New Roman" w:hAnsi="Times New Roman"/>
          <w:sz w:val="18"/>
          <w:szCs w:val="18"/>
          <w:color w:val="auto"/>
        </w:rPr>
        <w:t>The Company makes judgments as to its ability to collect outstanding receivables and provides an allowance for receivables when collection becomes doubtful. The Company's receivables primarily relate to amounts reimbursed under its collaboration agreements. The Company believes that credit risk associated with its collaborations partners is not significant. To date, the Company has not had any write-offs of bad debt, and the Company did not have an allowance for doubtful accounts as of December 31, 2022 and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229" w:lineRule="exact"/>
        <w:rPr>
          <w:sz w:val="20"/>
          <w:szCs w:val="20"/>
          <w:color w:val="auto"/>
        </w:rPr>
      </w:pPr>
    </w:p>
    <w:p>
      <w:pPr>
        <w:ind w:left="40" w:right="179" w:firstLine="648"/>
        <w:spacing w:after="0" w:line="253" w:lineRule="auto"/>
        <w:rPr>
          <w:sz w:val="20"/>
          <w:szCs w:val="20"/>
          <w:color w:val="auto"/>
        </w:rPr>
      </w:pPr>
      <w:r>
        <w:rPr>
          <w:rFonts w:ascii="Times New Roman" w:cs="Times New Roman" w:eastAsia="Times New Roman" w:hAnsi="Times New Roman"/>
          <w:sz w:val="18"/>
          <w:szCs w:val="18"/>
          <w:color w:val="auto"/>
        </w:rPr>
        <w:t>The Company has no financial instruments with off-balance sheet risk such as foreign exchange contracts, option contracts, or other foreign hedging arrangements. Financial instruments that potentially subject the Company to a concentration of credit risk are cash, cash equivalents, marketable securities and receivables owed to the Company from collaboration partners. The Company’s cash, cash equivalents and marketable securities are held in accounts at a financial institution that may exceed federally insured limits. The Company has not experienced any credit losses in such accounts and does not believe it is exposed to any significant credit risk on these funds.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40" w:right="219" w:firstLine="648"/>
        <w:spacing w:after="0" w:line="253" w:lineRule="auto"/>
        <w:rPr>
          <w:sz w:val="20"/>
          <w:szCs w:val="20"/>
          <w:color w:val="auto"/>
        </w:rPr>
      </w:pPr>
      <w:r>
        <w:rPr>
          <w:rFonts w:ascii="Times New Roman" w:cs="Times New Roman" w:eastAsia="Times New Roman" w:hAnsi="Times New Roman"/>
          <w:sz w:val="18"/>
          <w:szCs w:val="18"/>
          <w:color w:val="auto"/>
        </w:rPr>
        <w:t>Property and equipment consists of computers,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straight-line method. The Company capitalizes laboratory equipment used for research and development if it has alternative future use in research and development or otherwise.</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6"/>
                <w:szCs w:val="16"/>
                <w:color w:val="auto"/>
              </w:rPr>
            </w:pPr>
          </w:p>
        </w:tc>
        <w:tc>
          <w:tcPr>
            <w:tcW w:w="332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5"/>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Shorter of useful life or remaining lease term</w:t>
            </w: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December 31, 2022.</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Profit-Sharing Arrangements</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considers the nature and contractual terms of the arrangements and assesses whether such arrangements involve a joint operating activity pursuant to which the Company is an active participant and is exposed to significant risks and rewards with respect to such arrangement. If the Company is an active participant and is exposed to significant risks and rewards with respect to such arrangement, the Company accounts for such arrangement as a collaboration under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ASC 808 describes arrangements within its scope and considerations surrounding presentation and disclosure, with recognition matters subjected to other authoritative guidance, in certain cases by analogy.</w:t>
      </w:r>
    </w:p>
    <w:p>
      <w:pPr>
        <w:spacing w:after="0" w:line="187"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Payments received from a collaboration partner to which this policy applies are recorded as contra-expense in the applicable period and may include development costs or patent expense reimbursements. The Company classifies payments made under the cost sharing provisions of such arrangements as a component of research and development expenses to reflect the joint risk sharing nature of such profit-sharing arrangements. The Company classifies payments owed or receivables recorded as other current liabilities or prepaid expenses and other current assets, respectively, in the Company’s consolidated balance sheets. The Company had one agreement that was accounted for in accordance with ASC 808 prior to the termination of the arrangement during the year ended 2020. The arrangements and payments are described more fully in Note 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enters into collaboration agreements and certain other agreements that are within the scope of ASC 606, under which the Company licenses, may license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189"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1" w:lineRule="exact"/>
        <w:rPr>
          <w:sz w:val="20"/>
          <w:szCs w:val="20"/>
          <w:color w:val="auto"/>
        </w:rPr>
      </w:pPr>
    </w:p>
    <w:p>
      <w:pPr>
        <w:ind w:left="40" w:right="379" w:firstLine="4"/>
        <w:spacing w:after="0" w:line="253"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75"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The promised goods or services in the Company’s arrangements typically consist of a license, or option to license, rights to the Company’s intellectual property or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89"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92"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Company’s contracts often include development and regulatory milestone payments that are as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collaboration and other research and development revenues in the period of adjustment.</w:t>
      </w:r>
    </w:p>
    <w:p>
      <w:pPr>
        <w:spacing w:after="0" w:line="187"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has been allocated has been satisfied (or partially satisfied). To date, the Company has not recognized any royalty revenue resulting from any of the Company’s collaboration or strategic alliance arrangements.</w:t>
      </w:r>
    </w:p>
    <w:p>
      <w:pPr>
        <w:spacing w:after="0" w:line="162"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87" w:lineRule="exact"/>
        <w:rPr>
          <w:sz w:val="20"/>
          <w:szCs w:val="20"/>
          <w:color w:val="auto"/>
        </w:rPr>
      </w:pPr>
    </w:p>
    <w:p>
      <w:pPr>
        <w:ind w:left="40" w:right="219" w:firstLine="648"/>
        <w:spacing w:after="0" w:line="253" w:lineRule="auto"/>
        <w:rPr>
          <w:sz w:val="20"/>
          <w:szCs w:val="20"/>
          <w:color w:val="auto"/>
        </w:rPr>
      </w:pPr>
      <w:r>
        <w:rPr>
          <w:rFonts w:ascii="Times New Roman" w:cs="Times New Roman" w:eastAsia="Times New Roman" w:hAnsi="Times New Roman"/>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left="40" w:right="219" w:firstLine="648"/>
        <w:spacing w:after="0" w:line="255"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40" w:right="59"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are charged to expense as incurred in performing research and development activities. The costs include employee-related expenses including salaries, benefits, and stock-based compensation expense, costs of funding research performed by third parties that conduct research and development and preclinical and clinical activities on the Company’s behalf, the cost of purchasing lab supplies and non-capital equipment used in preclinical and clinical activities and in manufacturing preclinical and clinical study materials, consultant fees, facility costs including rent, depreciation, and maintenance expenses, and fees for acquiring and maintaining licenses under third party licensing agreements which are typically expensed when incurred if the technology licensed has no alternate future uses, including any sublicensing or success payments made to the Company’s licensors. In accruing service fees, the Company estimates the time period over which services will be performed and the level of effort to be expended in each period. If the actual timing of the performance of services or the level of effort varies from the Company’s estimate, the accrual or prepaid is adjusted accordingly. The Company defers and capitalizes non-refundable advance payments made by the Company for research and development activities until the related goods are received or the related services are performed. In circumstances where amounts have been paid in excess of costs incurred, the Company records a prepaid expense.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 Assets</w:t>
      </w:r>
    </w:p>
    <w:p>
      <w:pPr>
        <w:spacing w:after="0" w:line="229"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assets that are acquired in a transaction that does not qualify as a business combination under GAAP and that do not have an alternative future use are expensed in the period in which the assets are acquired.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expenses patent and patent application costs and related legal costs for the prosecution and maintenance of such patents and patent applications, including patents and patent applications the Company in-licenses, as incurred, and classifies such costs as general and administrative expenses in the accompanying consolidated statements of operations.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At the inception of an arrangement the Company determines whether the arrangement contains a lease. If a lease is identified in an arrangement, the Company recognizes a right-of-use asset and liability on its balance sheet and determines whether the lease should be classified as a finance or operating lease. The Company does not recognize assets or liabilities for leases with lease terms of less than 12 months. Lease payments for short-term leases are recorded to operating expense on a straight-line basis over the lease term and variable lease payments are recorded in the period in which the obligation for those payments is incurred.</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and (v) the nature of the leased asset is specialized to the point that it is expected to provide the lessor no alternative use at the end of the lease term. All other leases are recorded as operating leases.</w:t>
      </w:r>
    </w:p>
    <w:p>
      <w:pPr>
        <w:spacing w:after="0" w:line="174"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rate is not readily determinable, the Company utilizes its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192" w:lineRule="exact"/>
        <w:rPr>
          <w:sz w:val="20"/>
          <w:szCs w:val="20"/>
          <w:color w:val="auto"/>
        </w:rPr>
      </w:pPr>
    </w:p>
    <w:p>
      <w:pPr>
        <w:jc w:val="both"/>
        <w:ind w:left="40" w:right="439"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separate lease and non-lease components when determining which lease payments to include in the calculation of its lease assets and liabilities. Variable lease payments are expensed as incurred. If a lease includes an option to extend or terminate the lease, the Company reflects the option in the lease term if it is reasonably certain it will exercise the option.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awards granted to employees and non-employees as stock-based compensation expense at fair value in accordance with FASB ASC Topic 718 Compensation—Stock Compensation (“ASC 718”). The Company estimates the grant date fair value of restricted stock based on the market value of the Company’s common stock on the date of the grant. The Company estimates the grant date fair value of each option award using the Black-Scholes option-pricing model.</w:t>
      </w:r>
    </w:p>
    <w:p>
      <w:pPr>
        <w:spacing w:after="0" w:line="187"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The Black-Scholes option pricing model requires the input of certain subjective assumptions, including (1) the expected stock price volatility, (2) the calculation of expected term of the award, (3) the risk-free interest rate, and (4) the expected dividend yield. Because there had been no public market for the Company’s common stock prior to its initial public offering, there was a lack of company-specific historical and implied volatility data. Accordingly, the Company based its estimates of expected volatility on the historical volatility of a group of similar companies that are publicly traded. The Company calculates historical volatility based on a period of time commensurate with the expected term. The Company computes expected volatility based on the historical volatility of a representative group of companies with similar characteristics to the Company, including their stages of product development and focus on the life science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industry. The Company uses the simplified method as prescribed by the Securities and Exchange Commission’s Staff Accounting Bulletin No. 107, Share-Based Payment, to calculate the expected term for options granted to employees as the Company does not have sufficient historical exercise data to provide a reasonable basis upon which to estimate the expected term. For options granted to non-employees, the Company utilizes the contractual term of the arrangement as the basis for the expected term. The Company determines the risk-free interest rate based on a treasury instrument whose term is consistent with the expected term of the stock options. The Company uses an assumed dividend yield of zero as the Company has never paid dividends and does not have current plans to pay any dividends on its common stock.</w:t>
      </w:r>
    </w:p>
    <w:p>
      <w:pPr>
        <w:spacing w:after="0" w:line="187"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Restricted stock awards (“RSAs”) are subject to repurchase rights. Accordingly, the Company has recorded the proceeds from the issuance of RSAs as a liability in the consolidated balance sheets. The restricted stock liability is reclassified into stockholders’ equity as the restricted stock vests.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Service-Based Awards</w:t>
      </w:r>
    </w:p>
    <w:p>
      <w:pPr>
        <w:spacing w:after="0" w:line="214"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For stock-based awards issued to employees, non-employee service providers and members of the Company’s board of directors (the “Board”), the Company recognizes the grant date fair value of the service-based options, RSAs or restricted stock unit awards (“RSUs”) on a straight-line basis over the requisite service period, which is generally the vesting period of the respective award. If an employee or non-employee service requirement is concluded to be non-substantive, the stock-based compensation expense would be expensed immediately.</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227"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For market-based awards, the Company recognizes the grant date fair value of the market-based options over the earlier of the derived service period, pursuant to a Monte-Carlo simulation model, or when the market-based vesting conditions are met. The Company estimates an award's derived service period based on the best estimate of the period over which an award's vesting condition(s) will be achieved. If the market-based vesting conditions are met ahead of the derived service period, the expense will be accelerated. If the market-based vesting conditions are not met and the market-based award is cancelled, the expense will not be reversed unless the market-based award is forfeited.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227"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For performance-based awards, the Company recognizes the grant date fair value of the performance-based options or RSUs over the requisite service period using the accelerated attribution method to the extent achievement of the performance condition is probable. Certain awards are subject to both performance and continued service conditions.</w:t>
      </w:r>
    </w:p>
    <w:p>
      <w:pPr>
        <w:spacing w:after="0" w:line="183"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 of operations and comprehensive loss in the same manner in which the award recipient’s salary or service payments are classified. Forfeitures are recorded as they occur. If factors change or different assumptions are used, the Company’s stock-based compensation expense could be materially different in the future.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Success Payments, Research Funding Payments and Notes Payables</w:t>
      </w:r>
    </w:p>
    <w:p>
      <w:pPr>
        <w:spacing w:after="0" w:line="216"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Certain arrangements require the Company to make payments, if and when, the Company’s market capitalization reaches specified thresholds for a specific period of time or upon a sale of the Company for consideration in excess of those thresholds or above a specific amount. The payments are accounted for under the provisions of ASC 718, whereby the Company recognizes the expense and liability when it becomes probable that the amounts will become due. The Company records this expense as a research and development expense in its consolidated statements of operations. The arrangements and payments are described more fully in Note 8.</w:t>
      </w:r>
    </w:p>
    <w:p>
      <w:pPr>
        <w:spacing w:after="0" w:line="18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The payments are payable in either cash, common stock or promissory notes payable, depending upon the licensor and the Company’s election. If the Company elects to issue a promissory note relating to contractual obligations, the promissory note bears interest at 4.8% per annum. Outstanding principal and accrued interest on the promissory notes are typically payable on the earlier of five months or a specified period of time following a Company sale or change of control event, subject to certain exceptions.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86"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66"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assesses the impact of various tax reform proposals and modifications to existing tax treaties in all jurisdictions where they have operations to determine the potential effect on the Company’s business and any assumptions they have made about their future taxable income. The Company cannot predict whether any specific proposals will be enacted, the terms of any such proposals or what effect, if any, such proposals would have on the Company if they were to be enacted.</w:t>
      </w:r>
    </w:p>
    <w:p>
      <w:pPr>
        <w:spacing w:after="0" w:line="183" w:lineRule="exact"/>
        <w:rPr>
          <w:sz w:val="20"/>
          <w:szCs w:val="20"/>
          <w:color w:val="auto"/>
        </w:rPr>
      </w:pPr>
    </w:p>
    <w:p>
      <w:pPr>
        <w:ind w:left="40" w:right="199" w:firstLine="648"/>
        <w:spacing w:after="0" w:line="255" w:lineRule="auto"/>
        <w:rPr>
          <w:sz w:val="20"/>
          <w:szCs w:val="20"/>
          <w:color w:val="auto"/>
        </w:rPr>
      </w:pPr>
      <w:r>
        <w:rPr>
          <w:rFonts w:ascii="Times New Roman" w:cs="Times New Roman" w:eastAsia="Times New Roman" w:hAnsi="Times New Roman"/>
          <w:sz w:val="18"/>
          <w:szCs w:val="18"/>
          <w:color w:val="auto"/>
        </w:rPr>
        <w:t>Beginning in 2022, the Tax Cut and Jobs Act of 2017 eliminates the currently available option to deduct research and development expenditures and requires taxpayers to amortize them over five years. The U.S. Congress is considering legislation that would defer the amortization requirement to future periods, however, the Company has no assurance that the provision will be repealed or otherwise modified.</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left="40" w:right="599" w:firstLine="648"/>
        <w:spacing w:after="0" w:line="282" w:lineRule="auto"/>
        <w:rPr>
          <w:sz w:val="20"/>
          <w:szCs w:val="20"/>
          <w:color w:val="auto"/>
        </w:rPr>
      </w:pPr>
      <w:r>
        <w:rPr>
          <w:rFonts w:ascii="Times New Roman" w:cs="Times New Roman" w:eastAsia="Times New Roman" w:hAnsi="Times New Roman"/>
          <w:sz w:val="18"/>
          <w:szCs w:val="18"/>
          <w:color w:val="auto"/>
        </w:rPr>
        <w:t>Comprehensive loss currently consists of net loss and changes in unrealized gains and losses on marketable securities.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40" w:right="239" w:firstLine="648"/>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the Company’s business as a single operating segment, which is the business of developing and commercializing genome editing technology.</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Cash Equivalents and Marketable Securities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at December 31, 2022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2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marketable securities: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159,357</w:t>
            </w:r>
          </w:p>
        </w:tc>
      </w:tr>
      <w:tr>
        <w:trPr>
          <w:trHeight w:val="216"/>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141,522</w:t>
            </w: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notes/bonds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56,883</w:t>
            </w: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49,793</w:t>
            </w:r>
          </w:p>
        </w:tc>
      </w:tr>
      <w:tr>
        <w:trPr>
          <w:trHeight w:val="229"/>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w:t>
            </w:r>
          </w:p>
        </w:tc>
      </w:tr>
      <w:tr>
        <w:trPr>
          <w:trHeight w:val="210"/>
        </w:trPr>
        <w:tc>
          <w:tcPr>
            <w:tcW w:w="3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437,371</w:t>
            </w: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at December 31,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marketable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203,519</w:t>
            </w:r>
          </w:p>
        </w:tc>
      </w:tr>
      <w:tr>
        <w:trPr>
          <w:trHeight w:val="230"/>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123,933</w:t>
            </w:r>
          </w:p>
        </w:tc>
      </w:tr>
      <w:tr>
        <w:trPr>
          <w:trHeight w:val="22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126,699</w:t>
            </w:r>
          </w:p>
        </w:tc>
      </w:tr>
      <w:tr>
        <w:trPr>
          <w:trHeight w:val="22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89,687</w:t>
            </w:r>
          </w:p>
        </w:tc>
      </w:tr>
      <w:tr>
        <w:trPr>
          <w:trHeight w:val="230"/>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notes/bonds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76,078</w:t>
            </w:r>
          </w:p>
        </w:tc>
      </w:tr>
      <w:tr>
        <w:trPr>
          <w:trHeight w:val="209"/>
        </w:trPr>
        <w:tc>
          <w:tcPr>
            <w:tcW w:w="3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619,916</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did not hold any marketable securities that had been in an unrealized loss position for more than twelve months. Furthermore, the Company has determined that there were no material changes in the credit risk of the debt securities. As of December 31, 2022, the Company holds 32 securities with an aggregate fair value of $93.1 million that had remaining maturities between one and two years.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2022 were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6"/>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5"/>
        </w:trPr>
        <w:tc>
          <w:tcPr>
            <w:tcW w:w="4780" w:type="dxa"/>
            <w:vAlign w:val="bottom"/>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other non-current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441,248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246,056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2021 were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6"/>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5"/>
        </w:trPr>
        <w:tc>
          <w:tcPr>
            <w:tcW w:w="4780" w:type="dxa"/>
            <w:vAlign w:val="bottom"/>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other non-current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623,793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331,329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2020, the Company held an investment in Beam Therapeutics Inc. (“Beam Therapeutics”) consisting of shares of Beam Therapeutics’ common stock. Prior to Beam Therapeutics’ initial public offering in February 2020, the Company valued such investment based on the cost of the equity securities adjusted for any observable market transactions. Following the initial public offering, the equity securities had a readily determinable fair value, and were included in marketable securities on the consolidated balance sheet. The Company sold this investment in October 2020, resulting in a realized gain of $16.4 million recorded in other income (expense), net on the consolidated statements of operations.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1"/>
        </w:trPr>
        <w:tc>
          <w:tcPr>
            <w:tcW w:w="3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2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95"/>
        </w:trPr>
        <w:tc>
          <w:tcPr>
            <w:tcW w:w="36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r>
      <w:tr>
        <w:trPr>
          <w:trHeight w:val="21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1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tcPr>
          <w:p>
            <w:pPr>
              <w:spacing w:after="0"/>
              <w:rPr>
                <w:sz w:val="18"/>
                <w:szCs w:val="18"/>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(21,526)</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(15,507)</w:t>
            </w:r>
          </w:p>
        </w:tc>
      </w:tr>
      <w:tr>
        <w:trPr>
          <w:trHeight w:val="210"/>
        </w:trPr>
        <w:tc>
          <w:tcPr>
            <w:tcW w:w="3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1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$6.3 million, $5.1 million, and $4.0 million in depreciation expense during the years ended December 31, 2022, 2021 and 2020, respectively.</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5"/>
                <w:szCs w:val="15"/>
                <w:color w:val="auto"/>
              </w:rPr>
            </w:pPr>
          </w:p>
        </w:tc>
      </w:tr>
      <w:tr>
        <w:trPr>
          <w:trHeight w:val="195"/>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74"/>
        </w:trPr>
        <w:tc>
          <w:tcPr>
            <w:tcW w:w="6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and patent related fees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expenses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w:t>
            </w:r>
          </w:p>
        </w:tc>
      </w:tr>
      <w:tr>
        <w:trPr>
          <w:trHeight w:val="20"/>
        </w:trPr>
        <w:tc>
          <w:tcPr>
            <w:tcW w:w="6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 has multiple lease agreements for office, laboratory and manufacturing space with varying contractual terms set to expire between 2023 and 2028. Typically, base rent payments commence at the beginning of each lease term and continue through the term of the respective lease. The Company’s lease agreements have escalating rent clauses, which require higher rent payments in future years. The Company has two significant leases for office and laboratory space located in Cambridge, Massachusetts that are summarized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leases are included on its consolidated balance sheet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80" w:type="dxa"/>
            <w:vAlign w:val="bottom"/>
            <w:tcBorders>
              <w:bottom w:val="single" w:sz="8" w:color="auto"/>
            </w:tcBorders>
          </w:tcPr>
          <w:p>
            <w:pPr>
              <w:spacing w:after="0"/>
              <w:rPr>
                <w:sz w:val="16"/>
                <w:szCs w:val="16"/>
                <w:color w:val="auto"/>
              </w:rPr>
            </w:pPr>
          </w:p>
        </w:tc>
      </w:tr>
      <w:tr>
        <w:trPr>
          <w:trHeight w:val="190"/>
        </w:trPr>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40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r>
    </w:tbl>
    <w:p>
      <w:pPr>
        <w:spacing w:after="0" w:line="198" w:lineRule="exact"/>
        <w:rPr>
          <w:sz w:val="20"/>
          <w:szCs w:val="20"/>
          <w:color w:val="auto"/>
        </w:rPr>
      </w:pPr>
    </w:p>
    <w:p>
      <w:pPr>
        <w:jc w:val="both"/>
        <w:ind w:left="40" w:right="239"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$13.6 million, $10.9 million and $10.5 million related to operating lease costs and $3.0 million, $2.1 million and $1.1 million related to variable costs associated with the Company’s operating leases.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the Company’s lease liabilities as of December 31, 2022 were as follows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67"/>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5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09"/>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 at December 31, 2022</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43,946</w:t>
            </w:r>
          </w:p>
        </w:tc>
      </w:tr>
      <w:tr>
        <w:trPr>
          <w:trHeight w:val="20"/>
        </w:trPr>
        <w:tc>
          <w:tcPr>
            <w:tcW w:w="5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weighted-average remaining lease term is 4.1 years and the weighted-average discount rate is 9.0%.</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Hurley Street</w:t>
      </w:r>
    </w:p>
    <w:p>
      <w:pPr>
        <w:spacing w:after="0" w:line="229" w:lineRule="exact"/>
        <w:rPr>
          <w:sz w:val="20"/>
          <w:szCs w:val="20"/>
          <w:color w:val="auto"/>
        </w:rPr>
      </w:pPr>
    </w:p>
    <w:p>
      <w:pPr>
        <w:jc w:val="both"/>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In 2016, the Company entered into a lease agreement for 59,783 square feet of office and laboratory space located on Hurley Street in Cambridge, Massachusetts. The term of the lease began on October 1, 2016 and continues until October 2028.</w:t>
      </w:r>
    </w:p>
    <w:p>
      <w:pPr>
        <w:spacing w:after="0" w:line="176"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In November 2022, the Company entered into an amendment to the lease agreement to extend the term of its existing facility space to October 31, 2028 under the same terms as its existing agreement except for the terms of payment. As a result of this amendment, the Company recognized an additional right-of-use asset and corresponding lease liability of $24.6 million.</w:t>
      </w:r>
    </w:p>
    <w:p>
      <w:pPr>
        <w:spacing w:after="0" w:line="187"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lease and as a security deposit, the Company holds, with the landlord, a letter of credit in the amount of approximately $1.6 million. Subject to the terms of the lease and certain reduction requirements specified therein, the $1.6 million security deposit may decrease over time. The letter of credit, which is collateralized by the Company, is recorded in restricted cash and other non-current assets in the accompanying consolidated balance sheets as of December 31, 2022 and December 31, 2021.</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One Main Street</w:t>
      </w:r>
    </w:p>
    <w:p>
      <w:pPr>
        <w:spacing w:after="0" w:line="22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In 2019, the Company entered into a lease agreement for 31,571 square feet of office space located on One Main Street in Cambridge, Massachusetts. The term of the lease began on January 15, 2020 and continues until January 2025. In connection with the lease and as a security deposit, the Company issued a letter of credit in the amount of approximately $0.8 million.</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the option to extend the lease for an additional five-year term at market-based rates. The base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rent payments commenced in January 2020 and continue through the term of the lease and are subject to increases over the term of the lease.</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is a party to a number of license agreements under which the Company licenses patents, patent applications and other intellectual property from third parties. As such, the Company is obligated to reimburse licensors for various costs including upfront licenses fees, annual license fees, certain licensor expense reimbursements, success payments, research funding payments, and milestones triggerable upon certain development, regulatory, and commercial events as well as royalties on future products. These contracts are generally cancellable, with notice, at the Company’s option and do not have significant cancellation penalties.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Broad Sponsored Research Agreement</w:t>
      </w:r>
    </w:p>
    <w:p>
      <w:pPr>
        <w:spacing w:after="0" w:line="22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2018, the Company entered into a sponsored research agreement (the “Sponsored Research Agreement”) with The Broad Institute, Inc. (“Broad”). The Sponsored Research Agreement provides for Broad to conduct research useful or relevant to genome editing in the field of genomic medicines for the prevention or treatment of human disease with funding from the Company. Under the Sponsored Research Agreement, Broad granted to the Company an exclusive right of first negotiation for licenses from Broad with respect to patentable inventions developed by Broad in the course of the sponsored research, subject to certain limitations and retained rights (“Sponsored Invention Licenses”).</w:t>
      </w:r>
    </w:p>
    <w:p>
      <w:pPr>
        <w:spacing w:after="0" w:line="174" w:lineRule="exact"/>
        <w:rPr>
          <w:sz w:val="20"/>
          <w:szCs w:val="20"/>
          <w:color w:val="auto"/>
        </w:rPr>
      </w:pPr>
    </w:p>
    <w:p>
      <w:pPr>
        <w:ind w:left="40" w:right="159" w:firstLine="713"/>
        <w:spacing w:after="0" w:line="252" w:lineRule="auto"/>
        <w:rPr>
          <w:sz w:val="20"/>
          <w:szCs w:val="20"/>
          <w:color w:val="auto"/>
        </w:rPr>
      </w:pPr>
      <w:r>
        <w:rPr>
          <w:rFonts w:ascii="Times New Roman" w:cs="Times New Roman" w:eastAsia="Times New Roman" w:hAnsi="Times New Roman"/>
          <w:sz w:val="18"/>
          <w:szCs w:val="18"/>
          <w:color w:val="auto"/>
        </w:rPr>
        <w:t>Under the Sponsored Research Agreement, the Company is obligated to make payments (“Market Cap Research Funding”) in the event the Company’s market capitalization reaches certain amounts for a specified period of time. Unless the Company has undergone a change in control, Market Cap Research Funding is payable by the Company in cash, in shares of common stock, or in the form of promissory notes, which may be settled in shares of common stock at the election of the Company. In aggregate, the Company has triggered $25.0 million in Market Cap Research Funding and has primarily settled these amounts through the issuance of shares of its common stock. The remaining $100.0 million in Market Cap Research Funding may be triggered when the Company’s market capitalization reaches various low-ten to eleven dollar amounts or in the event of a Company sale. The Company is not required to make additional Market Cap Research Funding payments if the Company, whether directly or through its affiliates or sublicensees, is not researching, developing, or commercializing products based on or incorporating inventions exclusively licensed to the Company from Broad subject to certain exclusions.</w:t>
      </w:r>
    </w:p>
    <w:p>
      <w:pPr>
        <w:spacing w:after="0" w:line="188" w:lineRule="exact"/>
        <w:rPr>
          <w:sz w:val="20"/>
          <w:szCs w:val="20"/>
          <w:color w:val="auto"/>
        </w:rPr>
      </w:pPr>
    </w:p>
    <w:p>
      <w:pPr>
        <w:ind w:left="40" w:right="159" w:firstLine="713"/>
        <w:spacing w:after="0" w:line="255" w:lineRule="auto"/>
        <w:rPr>
          <w:sz w:val="20"/>
          <w:szCs w:val="20"/>
          <w:color w:val="auto"/>
        </w:rPr>
      </w:pPr>
      <w:r>
        <w:rPr>
          <w:rFonts w:ascii="Times New Roman" w:cs="Times New Roman" w:eastAsia="Times New Roman" w:hAnsi="Times New Roman"/>
          <w:sz w:val="18"/>
          <w:szCs w:val="18"/>
          <w:color w:val="auto"/>
        </w:rPr>
        <w:t>The Sponsored Research Agreement is terminable by each party upon the occurrence of specified bankruptcy events of the other party and otherwise will continue in effect until the remaining Market Cap Research Funding payments are received by Broad and such time as the Company has no further rights of first negotiation for Sponsored Invention Licenses, unless otherwise mutually agreed between the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Broad &amp; Harvard License Agreements</w:t>
      </w:r>
    </w:p>
    <w:p>
      <w:pPr>
        <w:spacing w:after="0" w:line="229" w:lineRule="exact"/>
        <w:rPr>
          <w:sz w:val="20"/>
          <w:szCs w:val="20"/>
          <w:color w:val="auto"/>
        </w:rPr>
      </w:pPr>
    </w:p>
    <w:p>
      <w:pPr>
        <w:ind w:left="40" w:right="79" w:firstLine="648"/>
        <w:spacing w:after="0" w:line="249" w:lineRule="auto"/>
        <w:rPr>
          <w:sz w:val="20"/>
          <w:szCs w:val="20"/>
          <w:color w:val="auto"/>
        </w:rPr>
      </w:pPr>
      <w:r>
        <w:rPr>
          <w:rFonts w:ascii="Times New Roman" w:cs="Times New Roman" w:eastAsia="Times New Roman" w:hAnsi="Times New Roman"/>
          <w:sz w:val="18"/>
          <w:szCs w:val="18"/>
          <w:color w:val="auto"/>
        </w:rPr>
        <w:t>The Company has entered into agreements with Broad and the President and Fellows of Harvard College (“Harvard”) to license certain patent rights owned or co-owned by the institutions. The foundational patent rights that were in-licensed by the Company include Cas9-I (“Cas9-I License Agreement”), Cas12a (formerly known as Cpf1) (“Cpf1 License Agreement”), and Cas9-II (“Cas9-II License Agreement”) (collectively referred to herein as the “License Agreements”). The Company received exclusive, worldwide, royalty-bearing, sublicensable licenses to certain patent rights to develop and commercialize licensed product and a non-exclusive, worldwide, royalty-bearing sublicensable license under the same patent rights for all other purposes, subject to certain limitations and retained rights. The Company is obligated to use commercially reasonable efforts to research, develop, and commercialize licensed products. The Company is also required to achieve certain development milestones within specified time periods for products covered by the License Agreements, with Broad or Harvard, as applicable, having the right to terminate the License Agreements, on a license agreement-by-license agreement basis, if the Company fails to achieve these milestones within the required time periods. Broad or Harvard may grant licenses under specified circumstances to third parties that wish to develop and commercialize products that target a particular gene that otherwise would fall within the scope of the exclusive licenses granted to the Company, provided that the Company is not, directly or through any of its affiliates, sublicensees, or collaborators, researching, developing, or commercializing a product directed toward the same gene target, or can demonstrate to Broad’s and/or Harvard’s, as applicable, reasonable satisfaction that the Company is interested in researching, developing, and commercializing a product directed toward the same gene target, that the Company has a commercially reasonable research, development, and commercialization plan to do so, and the Company commences and continues reasonable commercial efforts under such plan. The Company has the right to terminate each of the License Agreements at will with four months written notice to Broad. Unless terminated earlier, the term of each of the License Agreements will expire on a country-by-country basis, upon the expiration of the last to expire valid claim of the licensed patent rights in such country.</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Milestones</w:t>
      </w:r>
    </w:p>
    <w:p>
      <w:pPr>
        <w:spacing w:after="0" w:line="227" w:lineRule="exact"/>
        <w:rPr>
          <w:sz w:val="20"/>
          <w:szCs w:val="20"/>
          <w:color w:val="auto"/>
        </w:rPr>
      </w:pPr>
    </w:p>
    <w:p>
      <w:pPr>
        <w:ind w:left="40" w:right="99" w:firstLine="648"/>
        <w:spacing w:after="0" w:line="250" w:lineRule="auto"/>
        <w:rPr>
          <w:sz w:val="20"/>
          <w:szCs w:val="20"/>
          <w:color w:val="auto"/>
        </w:rPr>
      </w:pPr>
      <w:r>
        <w:rPr>
          <w:rFonts w:ascii="Times New Roman" w:cs="Times New Roman" w:eastAsia="Times New Roman" w:hAnsi="Times New Roman"/>
          <w:sz w:val="18"/>
          <w:szCs w:val="18"/>
          <w:color w:val="auto"/>
        </w:rPr>
        <w:t>In aggregate, the Company may pay up to $14.8 million, $20.0 million, and $3.7 million in clinical and regulatory milestones under the Cas9-I License Agreement, Cpf1 License Agreement, and Cas9-II License Agreement, respectively. In addition, the Company owes aggregate sales milestones totaling $54.0 million, $54.0 million, and $13.5 million under the Cas9-I License Agreement, Cpf1 License Agreement, and Cas9-II License Agreement, respectively. If the licensed product or service prevents or treats a human disease that afflicts fewer than a specified number of patients in the aggregate in the United States (“U.S.”) or a specified number of patients per year in the U.S., the clinical and regulatory milestones reduce to $4.1 million, $5.5 million, and $1.1 million under the Cas9-I License Agreement, Cpf1 License Agreement, and Cas9-II License Agreement, respectively. In addition, the aggregated sales milestones reduce to $36.0 million, $36.0 million, and $9.0 million under the Cas9-I License Agreement, Cpf1 License Agreement, and Cas9-II License Agreement, respectively. Certain clinical and regulatory milestones are subject to a multiplier payout equivalent to a double-digit percentage in the event of a change of control.</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is required to pay on a product-by-product and country-by-country basis, a mid single-digit percentage royalty on net sales of licensed products made by the Company, its affiliates, or its sublicensees. The royalty percentage depends on the product and service, and whether such licensed product or licensed service is covered by a valid claim. If the Company is legally required to pay royalties to a third party on net sales of the Company’s products because such third party holds patent rights that cover such licensed product, then the Company can credit up to a specified percentage of the amount paid to such third party against the royalties due to the institutions. Such credit may not exceed 50% of the applicable royalties paid by the Company to the applicable third party. The Company’s obligation to pay royalties will expire on a product-by-product and country-by-country basis upon the later of the expiration of the last to expire valid claim of the patent rights that covers each licensed product or service in each country or the tenth anniversary of the date of the first commercial sale of the licensed product or licensed service.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Licensor Expense Reimbursements</w:t>
      </w:r>
    </w:p>
    <w:p>
      <w:pPr>
        <w:spacing w:after="0" w:line="227" w:lineRule="exact"/>
        <w:rPr>
          <w:sz w:val="20"/>
          <w:szCs w:val="20"/>
          <w:color w:val="auto"/>
        </w:rPr>
      </w:pPr>
    </w:p>
    <w:p>
      <w:pPr>
        <w:ind w:left="40" w:right="179" w:firstLine="648"/>
        <w:spacing w:after="0" w:line="252" w:lineRule="auto"/>
        <w:rPr>
          <w:sz w:val="20"/>
          <w:szCs w:val="20"/>
          <w:color w:val="auto"/>
        </w:rPr>
      </w:pPr>
      <w:r>
        <w:rPr>
          <w:rFonts w:ascii="Times New Roman" w:cs="Times New Roman" w:eastAsia="Times New Roman" w:hAnsi="Times New Roman"/>
          <w:sz w:val="18"/>
          <w:szCs w:val="18"/>
          <w:color w:val="auto"/>
        </w:rPr>
        <w:t>The Company is obligated to reimburse to Broad and Harvard for expenses incurred by each of them associated with the prosecution and maintenance of the patent rights that the Company licenses from them pursuant to the license agreement by and among the Company, Broad and Harvard, including the interference and opposition proceedings involving patents licensed to the Company under the license agreement, and other license agreements between the Company and Broad. As such, the Company anticipates that it has a substantial commitment in connection with these proceedings until such time as these proceedings have been resolved, but the amount of such commitment is not determinable. The Company incurred an aggregate of $8.8 million, $10.6 million, and $13.1 million in expense during the years ended December 31, 2022, 2021 and 2020, respectively, for such reimbursement.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Success Payments</w:t>
      </w:r>
    </w:p>
    <w:p>
      <w:pPr>
        <w:spacing w:after="0" w:line="227" w:lineRule="exact"/>
        <w:rPr>
          <w:sz w:val="20"/>
          <w:szCs w:val="20"/>
          <w:color w:val="auto"/>
        </w:rPr>
      </w:pPr>
    </w:p>
    <w:p>
      <w:pPr>
        <w:ind w:left="40" w:right="99" w:firstLine="648"/>
        <w:spacing w:after="0" w:line="250" w:lineRule="auto"/>
        <w:rPr>
          <w:sz w:val="20"/>
          <w:szCs w:val="20"/>
          <w:color w:val="auto"/>
        </w:rPr>
      </w:pPr>
      <w:r>
        <w:rPr>
          <w:rFonts w:ascii="Times New Roman" w:cs="Times New Roman" w:eastAsia="Times New Roman" w:hAnsi="Times New Roman"/>
          <w:sz w:val="18"/>
          <w:szCs w:val="18"/>
          <w:color w:val="auto"/>
        </w:rPr>
        <w:t>Under the Cpf1 License Agreement and Cas9-II License Agreement, the Company is obligated to make payments (“Success Payments”) in the event the Company’s market capitalization reaches certain thresholds for a specified period of time, or in the event of a change in control of the Company, if the consideration is in excess of those thresholds. Unless the Company has undergone a change in control, Success Payments are payable by the Company in cash or in the form of promissory notes, which may be settled in shares of common stock at the election of the Company. In the event of a change in control of the Company, the Success Payments are required to be paid in cash. The Success Payments under the Cpf1 License Agreement are triggered when the Company’s market capitalization reaches certain amounts ranging from $750.0 million to $10.0 billion for a specified period of time. The Success Payments under the Cas9-II License Agreement are triggered when the Company’s market capitalization reaches certain amounts ranging from $1.0 billion to $9.0 billion for a specified period of time. In aggregate, the Company has triggered $25.0 million and $7.5 million of Success Payments under the Cpf1 License Agreement and Cas9-II License Agreement, respectively. The Company has primarily settled these amounts through the issuance of shares of its common stock.</w:t>
      </w:r>
    </w:p>
    <w:p>
      <w:pPr>
        <w:spacing w:after="0" w:line="194" w:lineRule="exact"/>
        <w:rPr>
          <w:sz w:val="20"/>
          <w:szCs w:val="20"/>
          <w:color w:val="auto"/>
        </w:rPr>
      </w:pPr>
    </w:p>
    <w:p>
      <w:pPr>
        <w:ind w:left="40" w:right="199" w:firstLine="648"/>
        <w:spacing w:after="0" w:line="255" w:lineRule="auto"/>
        <w:rPr>
          <w:sz w:val="20"/>
          <w:szCs w:val="20"/>
          <w:color w:val="auto"/>
        </w:rPr>
      </w:pPr>
      <w:r>
        <w:rPr>
          <w:rFonts w:ascii="Times New Roman" w:cs="Times New Roman" w:eastAsia="Times New Roman" w:hAnsi="Times New Roman"/>
          <w:sz w:val="18"/>
          <w:szCs w:val="18"/>
          <w:color w:val="auto"/>
        </w:rPr>
        <w:t>The remaining $100.0 million and $22.5 million in Success Payments under the Cpf1 License Agreement and Cas9-II License Agreement, respectively are only payable if the market capitalization threshold are met and the Company or any affiliate or sublicensee has at least one product candidate covered by a claim of a patent right licensed to the Company that is or was subject of a clinical trial.</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Payments</w:t>
      </w:r>
    </w:p>
    <w:p>
      <w:pPr>
        <w:spacing w:after="0" w:line="227"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pays nominal annual license fees to the institutions. If the Company sublicenses any of the patent rights to a third party, the institutions have the right to receive sublicense income, which may be offset by the licensor expense reimbursement payments that the Company has made to the institution subject to certain limitations.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litigation and did not have contingency reserves established for any litigation liabilities as of December 31, 2022 or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Collaboration Agreements</w:t>
      </w:r>
    </w:p>
    <w:p>
      <w:pPr>
        <w:spacing w:after="0" w:line="229"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multiple collaborations, out-licenses and strategic alliances with third parties that typically involve payments to or from the Company, including up-front payments, payments for research and development services, option payments, milestone payments and royalty payments to or from the Company.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left="40" w:right="7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Company’s contract liabilities were primarily related to the Company’s collaboration with BMS. The following table presents changes in the Company’s accounts receivable and contract liabilities for the year ended December 31, 2022 (in thousands):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5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7"/>
        </w:trPr>
        <w:tc>
          <w:tcPr>
            <w:tcW w:w="35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919" w:firstLine="648"/>
        <w:spacing w:after="0" w:line="262" w:lineRule="auto"/>
        <w:rPr>
          <w:sz w:val="20"/>
          <w:szCs w:val="20"/>
          <w:color w:val="auto"/>
        </w:rPr>
      </w:pPr>
      <w:r>
        <w:rPr>
          <w:rFonts w:ascii="Times New Roman" w:cs="Times New Roman" w:eastAsia="Times New Roman" w:hAnsi="Times New Roman"/>
          <w:sz w:val="18"/>
          <w:szCs w:val="18"/>
          <w:color w:val="auto"/>
        </w:rPr>
        <w:t>During the three and twelve months ended December 31, 2022, the Company recognized the following collaboration revenue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37"/>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w w:val="79"/>
              </w:rPr>
              <w:t>December</w:t>
            </w:r>
          </w:p>
        </w:tc>
        <w:tc>
          <w:tcPr>
            <w:tcW w:w="18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0" w:type="dxa"/>
            <w:vAlign w:val="bottom"/>
          </w:tcPr>
          <w:p>
            <w:pPr>
              <w:spacing w:after="0"/>
              <w:rPr>
                <w:sz w:val="1"/>
                <w:szCs w:val="1"/>
                <w:color w:val="auto"/>
              </w:rPr>
            </w:pPr>
          </w:p>
        </w:tc>
      </w:tr>
      <w:tr>
        <w:trPr>
          <w:trHeight w:val="234"/>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BMS Collaboration Agreement</w:t>
      </w:r>
    </w:p>
    <w:p>
      <w:pPr>
        <w:spacing w:after="0" w:line="229" w:lineRule="exact"/>
        <w:rPr>
          <w:sz w:val="20"/>
          <w:szCs w:val="20"/>
          <w:color w:val="auto"/>
        </w:rPr>
      </w:pPr>
    </w:p>
    <w:p>
      <w:pPr>
        <w:ind w:left="40" w:right="79" w:firstLine="648"/>
        <w:spacing w:after="0" w:line="250" w:lineRule="auto"/>
        <w:rPr>
          <w:sz w:val="20"/>
          <w:szCs w:val="20"/>
          <w:color w:val="auto"/>
        </w:rPr>
      </w:pPr>
      <w:r>
        <w:rPr>
          <w:rFonts w:ascii="Times New Roman" w:cs="Times New Roman" w:eastAsia="Times New Roman" w:hAnsi="Times New Roman"/>
          <w:sz w:val="18"/>
          <w:szCs w:val="18"/>
          <w:color w:val="auto"/>
        </w:rPr>
        <w:t>In 2019, the Company entered into an amended and restated collaboration agreement (“BMS Collaboration Agreement”) and license agreement (“BMS License Agreement”) with BMS to focus on the research, development, and commercialization of autologous and allogenic alpha-beta T cell medicines for the treatment of all diseases, subject to certain exceptions. The Company and BMS started their collaboration in 2015 and have amended the agreement twice. The Company received a $70.0 million up-front, non-refundable, non-creditable cash payment (“Amendment Fee”) in connection with the execution of the 2019 amendment. The Company may develop genome editing tools, specific to a gene target and enzyme combination (or a “Program”) that, following the exercise of its option and the Company’s grant of a license, BMS may use in its development of gene edited alpha-beta T-cell therapies and certain other T-cell derived from pluripotent stem cells or any other precursor cell for the treatment of all diseases, subject to certain exceptions (the “BMS Field”). To assess the Programs prior to opt-in, the Company granted BMS a non-exclusive perpetual research license in the BMS Field. If BMS exercises their option to the Program, they receive an exclusive, worldwide, development and commercialization license in the BMS Field for a nominal option exercise fee. The BMS License Agreement provided that the Company would manufacture clinical grade materials through a Phase 1 clinical trial if requested by BMS at an incremental cost to be negotiated by the parties. However, BMS has sole responsibility, at its own cost, for the worldwide research, development, manufacturing, and commercialization of its products. They must use commercially reasonable efforts and meet certain regulatory and commercial diligence requirements. The first development and commercialization license was delivered to BMS at the onset of the amended arrangement for which the Company received $0.5 million in consideration for the license (the “First Development and Commercialization License).</w:t>
      </w:r>
    </w:p>
    <w:p>
      <w:pPr>
        <w:spacing w:after="0" w:line="183"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On a product-by-product basis, the Company is eligible to receive up to $27.5 million in development milestones and $107.5 million in regulatory milestones. The Company is also eligible to receive up to an aggregate of $60.0 million for the first two licensed products to reach certain sales milestones. The Company is entitled to a high-single digit to low double-digit percentage of royalties on net sales of licensed products, subject to reductions in certain circumstances, through the later of the expiration of the patent(s) related to the licensed products or six years post-first commercial sale of such licensed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The amended term of the BMS Collaboration Agreement is five years, which is subject to two one-year extension periods. During the term, including the extension periods, the Company may not alone, or with a third party, research, develop, manufacture, or commercialize a product in the BMS Field. BMS has the right to terminate the BMS Collaboration Agreement at any time upon no less than six months prior written notice. Per the termination provisions of the BMS License Agreement, BMS has the right to terminate the License Agreement either on a licensed product-by-product basis or in its entirety for any reason at any time upon ninety days prior written notice. If BMS terminates the license agreement without cause, the exclusive licenses granted to BMS automatically revert back to the Company.</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Accounting Assessment</w:t>
      </w:r>
    </w:p>
    <w:p>
      <w:pPr>
        <w:spacing w:after="0" w:line="214"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concluded that the BMS Collaboration Agreement and the BMS License Agreement qualify as a contract with a customer under ASC 606 as one combined arrangement. The contract modification was accounted for on a prospective basis as if it were a termination of the existing contract and the creation of a new contract since the promised goods and services were distinct from the goods and services that were transferred on or before the effective date of the amendment.</w:t>
      </w:r>
    </w:p>
    <w:p>
      <w:pPr>
        <w:spacing w:after="0" w:line="183"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(i) First Development and Commercialization License and (ii) seventeen material rights for additional development and commercialization licenses for other Programs. The Company also evaluated the (i) the research license, (ii) contract term extensions, (iii) clinical supply arrangement, (iv) participation by employees on the oversight committee, alliance and technology transfer teams and (v) certain intellectual property rights and concluded that none of these met the definition of a performance obligation as a result of the promise being quantitively and qualitatively immaterial in the context of the arrangement or the promise did not convey a material right to BMS. The Company also concluded that there was not an implicit promise to perform research and development services.</w:t>
      </w:r>
    </w:p>
    <w:p>
      <w:pPr>
        <w:spacing w:after="0" w:line="178"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2022 the total transaction price was approximately $117.5 million comprised of the following: (i) $70.0 million Amendment Fee, (ii) $32.0 million in remaining deferred revenue balance that was not recognized pursuant the 2018 amendment agreement (iii) $5.5 million related to option exercise fees for delivered licenses and (iv) $10.0 million related to development milestone payments that were received by the Company. The outstanding milestone payments and extension term fees were fully constrained as of December 31, 2022, as a result of the uncertainty of whether any of the milestones will be achieved or the term would be extended. The assessment of the constraint utilizing the most likely amount method considers the stage of development and the risks associated with the remaining development required to achieve the milestones, as well as whether the achievement of the milestone is outside the control of the Company or BMS. The Company has determined that any commercial milestones and sales-based royalties will be recognized when the related sales occur. The Company reevaluates the transaction price at the end of each reporting period and as uncertain events are resolved or other changes in circumstances occur.</w:t>
      </w:r>
    </w:p>
    <w:p>
      <w:pPr>
        <w:spacing w:after="0" w:line="188"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concluded that rights and attributes of each of the development and commercialization licenses are identical for both the license granted at inception and the licenses that may be issued in the future upon exercise of the associated option. The Company has considered the early stage of the science and the uncertainty of success and concluded that the probability of scientific success and opt-in is equal amongst all Programs. In addition, each Program is multi-functional, and a combination of Programs can be utilized in the development of a product candidate. As such, the Company concluded that the standalone selling price of each material right is the same. The Company will recognize the transaction price allocated to each material right when the material right is exercised, lapsed or expired.</w:t>
      </w:r>
    </w:p>
    <w:p>
      <w:pPr>
        <w:spacing w:after="0" w:line="187"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recognized $18.8 million, $24.7 million and $11.3 million of revenue related to BMS. As of December 31, 2022, the Company recorded $56.7 million of deferred revenue, of which $56.7 million is classified as long-term on our consolidated balance sheet. As of December 31, 2021, the $56.7 million was classified as long-term in the accompanying consolidated balance sheets. There were no material sublicense fees paid to licensors in connection with the consideration received pursuant to the BMS Collaboration Agreement for the years ended December 31, 2022 and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Allergan Pharmaceuticals Strategic Alliance and Profit-Sharing Agreement</w:t>
      </w:r>
    </w:p>
    <w:p>
      <w:pPr>
        <w:spacing w:after="0" w:line="229" w:lineRule="exact"/>
        <w:rPr>
          <w:sz w:val="20"/>
          <w:szCs w:val="20"/>
          <w:color w:val="auto"/>
        </w:rPr>
      </w:pPr>
    </w:p>
    <w:p>
      <w:pPr>
        <w:ind w:left="40" w:right="79" w:firstLine="648"/>
        <w:spacing w:after="0" w:line="250" w:lineRule="auto"/>
        <w:rPr>
          <w:sz w:val="20"/>
          <w:szCs w:val="20"/>
          <w:color w:val="auto"/>
        </w:rPr>
      </w:pPr>
      <w:r>
        <w:rPr>
          <w:rFonts w:ascii="Times New Roman" w:cs="Times New Roman" w:eastAsia="Times New Roman" w:hAnsi="Times New Roman"/>
          <w:sz w:val="18"/>
          <w:szCs w:val="18"/>
          <w:color w:val="auto"/>
        </w:rPr>
        <w:t>In March 2017, the Company entered into a Strategic Alliance and Option Agreement with Allergan to discover, develop, and commercialize new gene editing medicines for a range of ocular disorders (the “Allergan Agreement”). Under the terms of the Allergan Agreement, the Company received a $90.0 million up-front, non-refundable, non-creditable cash payment to primarily fund the Company’s ocular research and development efforts to provide Allergan with the option to exclusively exercise the worldwide development and commercialization rights to five ocular development programs meeting certain criteria. Subsequently Allergan and the Company entered into an agreement (the “Profit-Sharing Agreement”) to equally split U.S. profit and losses of EDIT-101, an experimental medicine or leber congenital amaurosis 10 or LCA10 that was the only program licensed to Allergan under the Allergan Agreement. In August 2020, the Company and Allergan agreed to terminate the Allergan Agreement and the Profit-Sharing Agreement (together with the Allergan Agreement, the “Initial Agreements”). In connection with the termination, the Company entered into a transition services agreement with Allergan (together with the termination agreement, the ‘Termination Agreements”), primarily to facilitate the transfer of EDIT-101 back to the Company.</w:t>
      </w:r>
    </w:p>
    <w:p>
      <w:pPr>
        <w:spacing w:after="0" w:line="234" w:lineRule="exact"/>
        <w:rPr>
          <w:sz w:val="20"/>
          <w:szCs w:val="20"/>
          <w:color w:val="auto"/>
        </w:rPr>
      </w:pPr>
    </w:p>
    <w:p>
      <w:pPr>
        <w:ind w:left="4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Termination Agreements, the Company regained full global rights to research, develop, manufacture, and commercialize its ocular medicines, including EDIT-101. Allergan has no further obligations pursuant to the Initial Agreements, all unexercised options and contingent payments contemplated under the Initial Agreements have terminated, which includes Allergan’s worldwide developmental and commercialization rights to EDIT-101. Under the Termination Agreements, Allergan granted the Company a non-exclusive license to certain know-how that is necessary to develop, manufacture and commercialize EDIT-101 and transferred to the Company certain materials produced under the Initial Agreements. The Company is obligated to use commercially reasonable efforts to develop and commercialize products directed at four collaboration targets, one of which is LCA10.</w:t>
      </w:r>
    </w:p>
    <w:p>
      <w:pPr>
        <w:spacing w:after="0" w:line="219"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Termination Agreements, the Company agreed to make a $20.0 million payment to Allergan, which was fully paid as of December 31, 2021. In addition, the Company will make certain payments on achievements of clinical and regulatory milestones up to $20.0 million for each target program and aggregated sales milestones for all products covered by the Termination Agreement up to $90.0 million. Allergan is also entitled to royalties in a low-single digit percentage, subject to reduction under specified circumstances, on net sales of specified products. The Company’s obligation to pay royalties will expire on a country-by-country and product-by-product basis upon the later of the expiration of regulatory-based exclusivity with respect to such product in such country and the tenth anniversary of the first commercial sale of such product. </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Accounting Assessment</w:t>
      </w:r>
    </w:p>
    <w:p>
      <w:pPr>
        <w:spacing w:after="0" w:line="254" w:lineRule="exact"/>
        <w:rPr>
          <w:sz w:val="20"/>
          <w:szCs w:val="20"/>
          <w:color w:val="auto"/>
        </w:rPr>
      </w:pPr>
    </w:p>
    <w:p>
      <w:pPr>
        <w:ind w:left="40" w:right="59" w:firstLine="690"/>
        <w:spacing w:after="0" w:line="252" w:lineRule="auto"/>
        <w:rPr>
          <w:sz w:val="20"/>
          <w:szCs w:val="20"/>
          <w:color w:val="auto"/>
        </w:rPr>
      </w:pPr>
      <w:r>
        <w:rPr>
          <w:rFonts w:ascii="Times New Roman" w:cs="Times New Roman" w:eastAsia="Times New Roman" w:hAnsi="Times New Roman"/>
          <w:sz w:val="18"/>
          <w:szCs w:val="18"/>
          <w:color w:val="auto"/>
        </w:rPr>
        <w:t>The Company evaluated the Termination Agreements in accordance with the provisions ASC 606 and concluded that they resulted in a modification followed by a termination of the Initial Agreements. Upon execution of the Termination Agreements, the Company is no longer obligated to transfer control of any goods or services to Allergan, and therefore there are no remaining performance obligations. As part of this assessment, the Company considered that Allergan relinquished its right to the remaining exclusive license options under the Allergan Agreement and the Company reacquired the development and commercialization rights to EDIT-101. Allergan no longer has any involvement in the development activities of the collaboration targets. Since there are no remaining performance obligations, the Company accounted for the modification as part of the existing contract with a cumulative catch-up adjustment.</w:t>
      </w:r>
    </w:p>
    <w:p>
      <w:pPr>
        <w:spacing w:after="0" w:line="232"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concluded that $5.0 million of the $20.0 million payment that was paid to Allergan was for re-acquired rights to EDIT-101 that had no alternative future use, and as such the Company recorded it as in-process research and development expenses as of December 31, 2020. The remainder of the $20.0 million payment was recorded as a reduction to the contract liability and partially offset the recognition of $77.1 million in previously deferred revenue that was received under the Initial Agreements that was recognized on the termination date.</w:t>
      </w:r>
    </w:p>
    <w:p>
      <w:pPr>
        <w:spacing w:after="0" w:line="228"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contingent payments associated with the collaboration targets not previously licensed by Allergan under the Allergan Agreement did not impact the amount of deferred revenue recognized upon termination because it is not</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79"/>
        <w:spacing w:after="0" w:line="266" w:lineRule="auto"/>
        <w:rPr>
          <w:sz w:val="20"/>
          <w:szCs w:val="20"/>
          <w:color w:val="auto"/>
        </w:rPr>
      </w:pPr>
      <w:r>
        <w:rPr>
          <w:rFonts w:ascii="Times New Roman" w:cs="Times New Roman" w:eastAsia="Times New Roman" w:hAnsi="Times New Roman"/>
          <w:sz w:val="18"/>
          <w:szCs w:val="18"/>
          <w:color w:val="auto"/>
        </w:rPr>
        <w:t>probable that a significant reversal of revenue will occur. The contingent milestone and royalty payments associated with EDIT-101 qualify for scope exceptions from derivative accounting, and therefore there is no accounting for the contingent payments upon termination.</w:t>
      </w:r>
    </w:p>
    <w:p>
      <w:pPr>
        <w:spacing w:after="0" w:line="203" w:lineRule="exact"/>
        <w:rPr>
          <w:sz w:val="20"/>
          <w:szCs w:val="20"/>
          <w:color w:val="auto"/>
        </w:rPr>
      </w:pPr>
    </w:p>
    <w:p>
      <w:pPr>
        <w:ind w:left="40" w:right="99" w:firstLine="648"/>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2020, the Company recognized revenue related to Allergan of approximately $70.6 million. There was no revenue recognized related to Allergan for the years ended December 31, 2021 and 2022.</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Beam Therapeutics License Agreement</w:t>
      </w:r>
    </w:p>
    <w:p>
      <w:pPr>
        <w:spacing w:after="0" w:line="256" w:lineRule="exact"/>
        <w:rPr>
          <w:sz w:val="20"/>
          <w:szCs w:val="20"/>
          <w:color w:val="auto"/>
        </w:rPr>
      </w:pPr>
    </w:p>
    <w:p>
      <w:pPr>
        <w:ind w:left="40" w:right="139" w:firstLine="648"/>
        <w:spacing w:after="0" w:line="252" w:lineRule="auto"/>
        <w:rPr>
          <w:sz w:val="20"/>
          <w:szCs w:val="20"/>
          <w:color w:val="auto"/>
        </w:rPr>
      </w:pPr>
      <w:r>
        <w:rPr>
          <w:rFonts w:ascii="Times New Roman" w:cs="Times New Roman" w:eastAsia="Times New Roman" w:hAnsi="Times New Roman"/>
          <w:sz w:val="18"/>
          <w:szCs w:val="18"/>
          <w:color w:val="auto"/>
        </w:rPr>
        <w:t>In 2018, the Company entered into a license agreement with Beam Therapeutics Inc. (“Beam,” and such agreement, the “Beam License Agreement”). Pursuant to the Beam License Agreement, the Company granted to Beam a worldwide, exclusive (subject to certain exceptions), sublicensable (subject to certain conditions), development and commercialization license under certain intellectual property controlled by the Company for the use of base editing therapies for the treatment of any field of human diseases and conditions, such to certain exceptions. Additionally, the Company granted Beam a non-exclusive research license. Lastly, the Company provided to Beam with an exclusive option to obtain three development and commercialization licenses to additional groups of intellectual property owned or controlled by the Company, on a group-by-group basis, during the specified option period, subject to certain exceptions.</w:t>
      </w:r>
    </w:p>
    <w:p>
      <w:pPr>
        <w:spacing w:after="0" w:line="232"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preferred stock valued at $3.6 million and received a nominal upfront cash payment. The Company subsequently sold its equity investment in Beam following Beam’s initial public offering in 2021. The Company is also eligible to receive additional consideration if Beam exercises its option to obtain additional licenses for a fee ranging from a mid-teen million-dollar amount to a low to mid-eight-digit dollar amount per license, depending on the timing of the option exercise. To the extent that any products are commercialized, the Company would be entitled to receive tiered low single-digit royalty payments, plus any royalties that would be due from the Company to any applicable licensors related to the sale of such licensed products.</w:t>
      </w:r>
    </w:p>
    <w:p>
      <w:pPr>
        <w:spacing w:after="0" w:line="214"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Unless earlier terminated by either party pursuant to the terms of the agreement, the Beam License Agreement will continue in full force and effect and will expire on a licensed product-by-licensed product and country-by-country basis upon the expiration of the royalty term with respect to such licensed product in such country. Beam has the right, at its sole discretion, at any time to terminate the Beam License Agreement in its entirety or on a group-by-group of intellectual property basis, upon ninety days written notice to the Company. Upon termination, all rights and licenses granted by the Company will immediately terminate.</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Accounting Assessment</w:t>
      </w:r>
    </w:p>
    <w:p>
      <w:pPr>
        <w:spacing w:after="0" w:line="268" w:lineRule="exact"/>
        <w:rPr>
          <w:sz w:val="20"/>
          <w:szCs w:val="20"/>
          <w:color w:val="auto"/>
        </w:rPr>
      </w:pPr>
    </w:p>
    <w:p>
      <w:pPr>
        <w:ind w:left="40" w:right="259" w:firstLine="648"/>
        <w:spacing w:after="0" w:line="280" w:lineRule="auto"/>
        <w:rPr>
          <w:sz w:val="20"/>
          <w:szCs w:val="20"/>
          <w:color w:val="auto"/>
        </w:rPr>
      </w:pPr>
      <w:r>
        <w:rPr>
          <w:rFonts w:ascii="Times New Roman" w:cs="Times New Roman" w:eastAsia="Times New Roman" w:hAnsi="Times New Roman"/>
          <w:sz w:val="17"/>
          <w:szCs w:val="17"/>
          <w:color w:val="auto"/>
        </w:rPr>
        <w:t>The Company identified the following performance obligations (i) the research license and (ii) the initial development and commercialization license. In addition, the Company concluded that the three options for the additional development and commercialization licenses are not discounted and therefore they do not represent material rights.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The total transaction price at the inception of the arrangement was determined to be approximately $3.8 million, consisting of the upfront cash payment and the non-cash value of the preferred shares received by the Company. The consideration associated with the exercise of the option(s) will be accounted for if and when Beam elects to exercise their options. The other forms of consideration, including nominal cost reimbursement for past patent and license fees and sublicense income reimbursement are based on the most-likely amount and were excluded from the initial transaction price as the most likely amount was estimated to be zero or the amount was otherwise fully constrained due to the significant uncertainties surrounding each payment. The commercial-based milestone reimbursement and the sales-based royalty payments will be recognized when the related sales occur as they were determined to relate predominantly to the licenses granted and therefore have also been excluded from the transaction price. Since both of the performance obligations were delivered at the inception of the arrangement and the licenses were made available for Beam’s use and benefit, the Company recognized the total transaction price at the inception of the agreement.</w:t>
      </w:r>
    </w:p>
    <w:p>
      <w:pPr>
        <w:spacing w:after="0" w:line="174"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the years ended December 31, 2022 and 2021, the Company recognized revenue under the Beam License Agreement of approximately $0.3 million and $0.3 million, respectively. </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9" w:lineRule="exact"/>
        <w:rPr>
          <w:sz w:val="20"/>
          <w:szCs w:val="20"/>
          <w:color w:val="auto"/>
        </w:rPr>
      </w:pPr>
    </w:p>
    <w:p>
      <w:pPr>
        <w:ind w:left="4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authorized 5,000,000 shares of undesignated preferred stock that may be issued from time to time by the Company’s board of directors in one or more series. As of December 31, 2022, the Company had no shares of preferred stock issued or outstanding.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powers, and preferences of holders of the preferred stock that may be issued from time to time. The common stock had the following characteristics as of December 31, 2022:</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any meeting of stockholders and at the time of any written action in lieu of a meeting.</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dividends, if and when declared by the Company’s board of directors. Cash dividends may not be declared or paid to holders of shares of common stock until all unpaid dividends on the redeemable convertible preferred stock have been paid in accordance with their terms. No dividends have been declared or paid by the Company since its inception.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2013 Stock Incentive Plan</w:t>
      </w:r>
    </w:p>
    <w:p>
      <w:pPr>
        <w:spacing w:after="0" w:line="229" w:lineRule="exact"/>
        <w:rPr>
          <w:sz w:val="20"/>
          <w:szCs w:val="20"/>
          <w:color w:val="auto"/>
        </w:rPr>
      </w:pPr>
    </w:p>
    <w:p>
      <w:pPr>
        <w:ind w:left="40" w:right="299" w:firstLine="648"/>
        <w:spacing w:after="0" w:line="253" w:lineRule="auto"/>
        <w:rPr>
          <w:sz w:val="20"/>
          <w:szCs w:val="20"/>
          <w:color w:val="auto"/>
        </w:rPr>
      </w:pPr>
      <w:r>
        <w:rPr>
          <w:rFonts w:ascii="Times New Roman" w:cs="Times New Roman" w:eastAsia="Times New Roman" w:hAnsi="Times New Roman"/>
          <w:sz w:val="18"/>
          <w:szCs w:val="18"/>
          <w:color w:val="auto"/>
        </w:rPr>
        <w:t>In September 2013, the board of directors adopted the 2013 Stock Incentive Plan, which was subsequently amended (as amended, the “2013 Plan”), which provides for the grant of incentive stock options and nonqualified stock options or other awards including restricted stock awards, unrestricted stock awards, and restricted stock units to the Company’s employees, officers, directors, advisors, and consultants for the purchase of up to 1,057,692 shares of the Company’s common stock, which has been amended several times, and as of July 2015, a total of 6,317,769 shares were reserved.</w:t>
      </w:r>
    </w:p>
    <w:p>
      <w:pPr>
        <w:spacing w:after="0" w:line="189" w:lineRule="exact"/>
        <w:rPr>
          <w:sz w:val="20"/>
          <w:szCs w:val="20"/>
          <w:color w:val="auto"/>
        </w:rPr>
      </w:pPr>
    </w:p>
    <w:p>
      <w:pPr>
        <w:ind w:left="40" w:right="219" w:firstLine="648"/>
        <w:spacing w:after="0" w:line="254" w:lineRule="auto"/>
        <w:rPr>
          <w:sz w:val="20"/>
          <w:szCs w:val="20"/>
          <w:color w:val="auto"/>
        </w:rPr>
      </w:pPr>
      <w:r>
        <w:rPr>
          <w:rFonts w:ascii="Times New Roman" w:cs="Times New Roman" w:eastAsia="Times New Roman" w:hAnsi="Times New Roman"/>
          <w:sz w:val="18"/>
          <w:szCs w:val="18"/>
          <w:color w:val="auto"/>
        </w:rPr>
        <w:t>The terms of stock awards agreements, including vesting requirements, are determined by the board of directors and are subject to the provisions of the 2013 Plan. The stock options granted to employees generally vest over a four-year period and expire ten years from the date of grant. Certain awards contain performance based vesting criteria. There has only been one such award to date. Certain options provide for accelerated vesting in the event of a change in control, as defined in the applicable options. Awards granted to non-employee consultants generally vest monthly over a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82" w:lineRule="auto"/>
        <w:rPr>
          <w:sz w:val="20"/>
          <w:szCs w:val="20"/>
          <w:color w:val="auto"/>
        </w:rPr>
      </w:pPr>
      <w:r>
        <w:rPr>
          <w:rFonts w:ascii="Times New Roman" w:cs="Times New Roman" w:eastAsia="Times New Roman" w:hAnsi="Times New Roman"/>
          <w:sz w:val="18"/>
          <w:szCs w:val="18"/>
          <w:color w:val="auto"/>
        </w:rPr>
        <w:t>of one to four years. In connection with the Company’s initial public offering (“IPO”), the Company’s board of directors determined to grant no further awards under the 2013 Plan.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2015 Stock Incentive Plan</w:t>
      </w:r>
    </w:p>
    <w:p>
      <w:pPr>
        <w:spacing w:after="0" w:line="229" w:lineRule="exact"/>
        <w:rPr>
          <w:sz w:val="20"/>
          <w:szCs w:val="20"/>
          <w:color w:val="auto"/>
        </w:rPr>
      </w:pPr>
    </w:p>
    <w:p>
      <w:pPr>
        <w:ind w:left="40" w:right="339" w:firstLine="648"/>
        <w:spacing w:after="0" w:line="275" w:lineRule="auto"/>
        <w:rPr>
          <w:sz w:val="20"/>
          <w:szCs w:val="20"/>
          <w:color w:val="auto"/>
        </w:rPr>
      </w:pPr>
      <w:r>
        <w:rPr>
          <w:rFonts w:ascii="Times New Roman" w:cs="Times New Roman" w:eastAsia="Times New Roman" w:hAnsi="Times New Roman"/>
          <w:sz w:val="17"/>
          <w:szCs w:val="17"/>
          <w:color w:val="auto"/>
        </w:rPr>
        <w:t>The Company’s board of directors adopted and the Company’s stockholders approved the 2015 stock incentive plan (the “2015 Plan”). The 2015 Plan provides for the grant of incentive stock options, nonstatutory stock options, restricted stock awards, restricted stock units, stock appreciation rights and other stock-based awards. The Company’s employees, officers, directors and consultants and advisors are eligible to receive awards under the 2015 Plan.</w:t>
      </w:r>
    </w:p>
    <w:p>
      <w:pPr>
        <w:spacing w:after="0" w:line="171"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The number of shares reserved for issuance under the 2015 Plan is subject to further increases for (a) any additional shares of the Company’s common stock subject to outstanding awards under the 2013 Plan that expire, terminate, or are otherwise surrendered, cancelled, forfeited, or repurchased by the Company at their original issuance price pursuant to a contractual repurchase right and (b) annual increases, to be added as of the first day of each fiscal year, from January 1, 2017 until, and including, January 1, 2026, equal to the lowest of 2,923,076 shares of common stock, 4% of the number of shares of common stock outstanding on such first day of the fiscal year in question and an amount determined by the Company’s board of directors. In January 2023, the shares under the 2015 Plan increased by 2,753,895 shares pursuant to the annual increase described in the prior sentence.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2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adopted and the Company’s stockholders approved the 2015 employee stock purchase plan (the “2015 ESPP”). The number of shares reserved for issuance under the 2015 ESPP is subject to annual increases, to be added as of the first day of each fiscal year, from January 1, 2017 until, and including, January 1, 2026, in an amount equal to the least of (a) 769,230 shares of common stock, (b) 1% of the total number of shares of common stock outstanding on the first day of the applicable year, and (c) an amount determined by the board of directors. The first offering under the 2015 ESPP opened on December 1, 2017. In January 2023, the board of directors determined that there should be no increase in shares available under the 2015 ESPP for 2023.</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Inducement Awards</w:t>
      </w:r>
    </w:p>
    <w:p>
      <w:pPr>
        <w:spacing w:after="0" w:line="22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Company’s board of directors approves inducement awards to certain employees outside of the existing equity compensation plans in connection with such employees commencing employment with the Company. Inducement awards are typically a service-based option and a restricted stock unit and are subject to the Company’s typical vesting terms and the employee’s continued service relationship with the Company through the applicable vesting dates. In June 2022 and July 2022, the Company’s board of directors approved two inducement grants to the Company’s recently hired Chief Executive Officer and Chief Medical Officer, respectively.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2780" w:type="dxa"/>
            <w:vAlign w:val="bottom"/>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tcPr>
          <w:p>
            <w:pPr>
              <w:spacing w:after="0"/>
              <w:rPr>
                <w:sz w:val="15"/>
                <w:szCs w:val="15"/>
                <w:color w:val="auto"/>
              </w:rPr>
            </w:pPr>
          </w:p>
        </w:tc>
      </w:tr>
      <w:tr>
        <w:trPr>
          <w:trHeight w:val="194"/>
        </w:trPr>
        <w:tc>
          <w:tcPr>
            <w:tcW w:w="486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8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outstanding stock option awards under the</w:t>
            </w:r>
          </w:p>
        </w:tc>
        <w:tc>
          <w:tcPr>
            <w:tcW w:w="1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4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Stock Incentive Plan, as amended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143,055</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145,255</w:t>
            </w: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Shares reserved for outstanding stock option awards and</w:t>
            </w: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under the 2015 Stock Incentive Plan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5,253,299</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3,036,797</w:t>
            </w:r>
          </w:p>
        </w:tc>
      </w:tr>
      <w:tr>
        <w:trPr>
          <w:trHeight w:val="184"/>
        </w:trPr>
        <w:tc>
          <w:tcPr>
            <w:tcW w:w="48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Shares reserved for outstanding inducement stock option award</w:t>
            </w:r>
          </w:p>
        </w:tc>
        <w:tc>
          <w:tcPr>
            <w:tcW w:w="1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restricted stock units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1,378,864</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408,765</w:t>
            </w: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Remaining shares reserved, but unissued, for future awards</w:t>
            </w: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under the 2015 Stock Incentive Plan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7,812,540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7,524,431</w:t>
            </w:r>
          </w:p>
        </w:tc>
      </w:tr>
      <w:tr>
        <w:trPr>
          <w:trHeight w:val="184"/>
        </w:trPr>
        <w:tc>
          <w:tcPr>
            <w:tcW w:w="48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Remaining shares reserved, but unissued, for future awards</w:t>
            </w:r>
          </w:p>
        </w:tc>
        <w:tc>
          <w:tcPr>
            <w:tcW w:w="1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the 2015 Employee Stock Purchase Plan</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3,300,853</w:t>
            </w:r>
          </w:p>
        </w:tc>
        <w:tc>
          <w:tcPr>
            <w:tcW w:w="2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2,722,040</w:t>
            </w:r>
          </w:p>
        </w:tc>
      </w:tr>
      <w:tr>
        <w:trPr>
          <w:trHeight w:val="210"/>
        </w:trPr>
        <w:tc>
          <w:tcPr>
            <w:tcW w:w="486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17,888,611</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13,837,288</w:t>
            </w:r>
          </w:p>
        </w:tc>
      </w:tr>
      <w:tr>
        <w:trPr>
          <w:trHeight w:val="20"/>
        </w:trPr>
        <w:tc>
          <w:tcPr>
            <w:tcW w:w="48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Total compensation cost recognized for all stock-based compensation awards in the consolidated statements of operations was as follows (in thousands):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5"/>
                <w:szCs w:val="15"/>
                <w:color w:val="auto"/>
              </w:rPr>
            </w:pPr>
          </w:p>
        </w:tc>
      </w:tr>
      <w:tr>
        <w:trPr>
          <w:trHeight w:val="175"/>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5"/>
                <w:szCs w:val="15"/>
                <w:color w:val="auto"/>
              </w:rPr>
            </w:pPr>
          </w:p>
        </w:tc>
      </w:tr>
      <w:tr>
        <w:trPr>
          <w:trHeight w:val="194"/>
        </w:trPr>
        <w:tc>
          <w:tcPr>
            <w:tcW w:w="6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26,846</w:t>
            </w:r>
          </w:p>
        </w:tc>
      </w:tr>
      <w:tr>
        <w:trPr>
          <w:trHeight w:val="21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43,399</w:t>
            </w: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 Awards</w:t>
      </w:r>
    </w:p>
    <w:p>
      <w:pPr>
        <w:spacing w:after="0" w:line="216" w:lineRule="exact"/>
        <w:rPr>
          <w:sz w:val="20"/>
          <w:szCs w:val="20"/>
          <w:color w:val="auto"/>
        </w:rPr>
      </w:pPr>
    </w:p>
    <w:p>
      <w:pPr>
        <w:ind w:left="40" w:right="5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and restricted stock unit awards activity for the instruments discussed above as of December 31, 2022 and 2021 is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6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6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6"/>
        </w:trPr>
        <w:tc>
          <w:tcPr>
            <w:tcW w:w="6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5"/>
        </w:trPr>
        <w:tc>
          <w:tcPr>
            <w:tcW w:w="696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4"/>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restricted stock and restricted stock unit awards as of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628,732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1,362,658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(205,678)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auto"/>
              </w:rPr>
              <w:t>11</w:t>
            </w:r>
          </w:p>
        </w:tc>
      </w:tr>
      <w:tr>
        <w:trPr>
          <w:trHeight w:val="21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restricted stock and restricted stock unit awards as of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70</w:t>
            </w:r>
          </w:p>
        </w:tc>
      </w:tr>
      <w:tr>
        <w:trPr>
          <w:trHeight w:val="20"/>
        </w:trPr>
        <w:tc>
          <w:tcPr>
            <w:tcW w:w="6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expense related to restricted stock and restricted stock unit awards granted for the years ended December 31, 2022, 2021 and 2020 was $7.9 million, $14.6 million, and $4.4 million, respectively.</w:t>
      </w:r>
    </w:p>
    <w:p>
      <w:pPr>
        <w:spacing w:after="0" w:line="162" w:lineRule="exact"/>
        <w:rPr>
          <w:sz w:val="20"/>
          <w:szCs w:val="20"/>
          <w:color w:val="auto"/>
        </w:rPr>
      </w:pPr>
    </w:p>
    <w:p>
      <w:pPr>
        <w:jc w:val="both"/>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The restricted stock and restricted stock units granted in the year ended December 31, 2022 include 563,294 units granted to certain employees that contain performance-based vesting provisions. The expense related to the performance-based vesting restricted stock units was $4.4 million as of December 31, 2022.</w:t>
      </w:r>
    </w:p>
    <w:p>
      <w:pPr>
        <w:spacing w:after="0" w:line="183" w:lineRule="exact"/>
        <w:rPr>
          <w:sz w:val="20"/>
          <w:szCs w:val="20"/>
          <w:color w:val="auto"/>
        </w:rPr>
      </w:pPr>
    </w:p>
    <w:p>
      <w:pPr>
        <w:jc w:val="both"/>
        <w:ind w:left="40" w:right="5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total unrecognized compensation expense related to unvested restricted stock and restricted stock unit awards was $14.5 million, which the Company expects to recognize over a remaining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year ended December 31,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Life (years)</w:t>
            </w:r>
          </w:p>
        </w:tc>
        <w:tc>
          <w:tcPr>
            <w:tcW w:w="180" w:type="dxa"/>
            <w:vAlign w:val="bottom"/>
          </w:tcPr>
          <w:p>
            <w:pPr>
              <w:spacing w:after="0"/>
              <w:rPr>
                <w:sz w:val="16"/>
                <w:szCs w:val="16"/>
                <w:color w:val="auto"/>
              </w:rPr>
            </w:pPr>
          </w:p>
        </w:tc>
        <w:tc>
          <w:tcPr>
            <w:tcW w:w="14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3,016,085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5,052,469</w:t>
            </w: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(594,941)</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5,276,148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401,529</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8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0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401,529</w:t>
            </w:r>
          </w:p>
        </w:tc>
        <w:tc>
          <w:tcPr>
            <w:tcW w:w="0" w:type="dxa"/>
            <w:vAlign w:val="bottom"/>
          </w:tcPr>
          <w:p>
            <w:pPr>
              <w:spacing w:after="0" w:line="20" w:lineRule="exact"/>
              <w:rPr>
                <w:sz w:val="1"/>
                <w:szCs w:val="1"/>
                <w:color w:val="auto"/>
              </w:rPr>
            </w:pPr>
          </w:p>
        </w:tc>
      </w:tr>
      <w:tr>
        <w:trPr>
          <w:trHeight w:val="197"/>
        </w:trPr>
        <w:tc>
          <w:tcPr>
            <w:tcW w:w="3380" w:type="dxa"/>
            <w:vAlign w:val="bottom"/>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2,036,630</w:t>
            </w:r>
          </w:p>
        </w:tc>
        <w:tc>
          <w:tcPr>
            <w:tcW w:w="3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for the years ended December 31, 2022, 2021 and 2020 was $0.09 million, $27.2 million, and $15.6 million, respectively.</w:t>
      </w:r>
    </w:p>
    <w:p>
      <w:pPr>
        <w:spacing w:after="0" w:line="162"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Using the Black-Scholes option pricing model, the weighted average fair value of options containing service-based vesting granted during the years ended December 31, 2022, 2021, and 2020 was $15.87, $17.54, and $16.60, respectively. The expense related to options containing service-based vesting was $14.1 million, $18.8 million, and $16.1 million for the years ended December 31, 2022, 2021, and 2020, respectively.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each service-based vesting option issued was estimated at the date of grant using the Black-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Scholes option pricing model with the following weighted-average assumptions: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5"/>
        </w:trPr>
        <w:tc>
          <w:tcPr>
            <w:tcW w:w="45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94"/>
        </w:trPr>
        <w:tc>
          <w:tcPr>
            <w:tcW w:w="45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79"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compensation expense related to stock options was $33.7 million, which the Company expects to recognize over a remaining weighted-average period of 2.9 years.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a defined-contribution savings plan under Section 401(k) of the Internal Revenue Code of 1986, as amended (the “401(k) Plan”). The 401(k) Plan covers all employees who meet defined minimum age and service requirements, and allows participants to defer a portion of their annual compensation on a pretax basis. Effective in 2017, the Company will provide a 200% match of employee contributions up to a limit on the Company’s contributions of the lesser of $6,000 and 3% of the employee’s salary. The Company made $1.4 million, $1.2 million, and $1.1 million in contributions to the 401(k) Plan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 had no income tax expense due to operating losses incurred for the years ended December 31, 2022 and 2021.</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income tax expense computed using the federal statutory income tax rate to the</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Company’s effective income tax rate is as follows: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200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r>
      <w:tr>
        <w:trPr>
          <w:trHeight w:val="176"/>
        </w:trPr>
        <w:tc>
          <w:tcPr>
            <w:tcW w:w="6720" w:type="dxa"/>
            <w:vAlign w:val="bottom"/>
          </w:tcPr>
          <w:p>
            <w:pPr>
              <w:spacing w:after="0"/>
              <w:rPr>
                <w:sz w:val="15"/>
                <w:szCs w:val="15"/>
                <w:color w:val="auto"/>
              </w:rPr>
            </w:pPr>
          </w:p>
        </w:tc>
        <w:tc>
          <w:tcPr>
            <w:tcW w:w="200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r>
      <w:tr>
        <w:trPr>
          <w:trHeight w:val="194"/>
        </w:trPr>
        <w:tc>
          <w:tcPr>
            <w:tcW w:w="67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computed at federal statutory tax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6.87 %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business credit carryovers</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162m Limitation</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(0.08)%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Changes</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67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principal components of the Company’s deferred tax assets and liabilities consist of the following at December 31, 2022 and 2021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r>
      <w:tr>
        <w:trPr>
          <w:trHeight w:val="194"/>
        </w:trPr>
        <w:tc>
          <w:tcPr>
            <w:tcW w:w="454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144,849</w:t>
            </w:r>
          </w:p>
        </w:tc>
        <w:tc>
          <w:tcPr>
            <w:tcW w:w="5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127,092</w:t>
            </w: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r>
      <w:tr>
        <w:trPr>
          <w:trHeight w:val="216"/>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patent costs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63,093</w:t>
            </w:r>
          </w:p>
        </w:tc>
      </w:tr>
      <w:tr>
        <w:trPr>
          <w:trHeight w:val="216"/>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r>
      <w:tr>
        <w:trPr>
          <w:trHeight w:val="216"/>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21,709</w:t>
            </w: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10,431</w:t>
            </w:r>
          </w:p>
        </w:tc>
      </w:tr>
      <w:tr>
        <w:trPr>
          <w:trHeight w:val="21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308,637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259,273</w:t>
            </w:r>
          </w:p>
        </w:tc>
      </w:tr>
      <w:tr>
        <w:trPr>
          <w:trHeight w:val="216"/>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(296,095)</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(251,071)</w:t>
            </w:r>
          </w:p>
        </w:tc>
      </w:tr>
      <w:tr>
        <w:trPr>
          <w:trHeight w:val="20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w:t>
            </w:r>
          </w:p>
        </w:tc>
      </w:tr>
      <w:tr>
        <w:trPr>
          <w:trHeight w:val="20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70"/>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9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w:t>
            </w:r>
          </w:p>
        </w:tc>
      </w:tr>
      <w:tr>
        <w:trPr>
          <w:trHeight w:val="197"/>
        </w:trPr>
        <w:tc>
          <w:tcPr>
            <w:tcW w:w="45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deferred taxes</w:t>
            </w:r>
          </w:p>
        </w:tc>
        <w:tc>
          <w:tcPr>
            <w:tcW w:w="1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For taxable years beginning after December 31, 2021, the Tax Cuts and Jobs Act (the "Tax Act”) eliminated the option to deduct research and development expenditures in the current year and requires taxpayers to capitalize such expenses pursuant to Internal Revenue Code ( "IRC" ) Section 174. As a result of this provision of the Tax Act, deferred tax assets related to capitalized research expenses pursuant to IRC Section 174 increased to $41.9 million for the year ended December 31, 2022.</w:t>
      </w:r>
    </w:p>
    <w:p>
      <w:pPr>
        <w:spacing w:after="0" w:line="187" w:lineRule="exact"/>
        <w:rPr>
          <w:sz w:val="20"/>
          <w:szCs w:val="20"/>
          <w:color w:val="auto"/>
        </w:rPr>
      </w:pPr>
    </w:p>
    <w:p>
      <w:pPr>
        <w:ind w:left="40" w:right="279" w:firstLine="648"/>
        <w:spacing w:after="0" w:line="312" w:lineRule="auto"/>
        <w:rPr>
          <w:sz w:val="20"/>
          <w:szCs w:val="20"/>
          <w:color w:val="auto"/>
        </w:rPr>
      </w:pPr>
      <w:r>
        <w:rPr>
          <w:rFonts w:ascii="Times New Roman" w:cs="Times New Roman" w:eastAsia="Times New Roman" w:hAnsi="Times New Roman"/>
          <w:sz w:val="17"/>
          <w:szCs w:val="17"/>
          <w:color w:val="auto"/>
        </w:rPr>
        <w:t>The Company has incurred net operating losses (“NOL”) since inception. At December 31, 2022 and 2021, the Company had federal net operating loss carryforwards of $517.5 million and $447.4 million, respectively. Of the amount</w:t>
      </w:r>
    </w:p>
    <w:p>
      <w:pPr>
        <w:sectPr>
          <w:pgSz w:w="11900" w:h="16838" w:orient="portrait"/>
          <w:cols w:equalWidth="0" w:num="1">
            <w:col w:w="9019"/>
          </w:cols>
          <w:pgMar w:left="1440" w:top="513" w:right="1440"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as of December 31, 2022, $442.7 million will carryforward indefinitely while $74.8 million will expire beginning in 2035 and will continue to expire through 2037. As of December 31, 2022, and 2021, the Company also had state net operating loss carryforwards of approximately $609.5 million and $507.1 million, respectively, which may be available to offset future income tax liabilities and will expire beginning in 2035 and will continue to expire through 2042.</w:t>
      </w:r>
    </w:p>
    <w:p>
      <w:pPr>
        <w:spacing w:after="0" w:line="166"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Under the provisions of the Internal Revenue Code of 1986, as amended (the “Code”), the NOL and tax credit carryforward are subject to review and possible adjustment by the Internal Revenue Service and state tax authorities. NOL and tax credit carryforwards may become subject to an annual limitation in the event of certain cumulative changes in the ownership interest of significant shareholders over a three-year period in excess of 50%, as defined under Sections 382 and 383 of the Code, respectively, as well as other similar state provisions. The Company conducted an analysis under Section 382 to determine if historical changes in ownership through December 31, 2019 would limit or otherwise restrict its ability to utilize its NOL and research and development credit carryforwards. As a result of this analysis, the Company does not believe there are any significant limitations on its ability to utilize these carryforwards. However, future changes in ownership occurring after December 31, 2019 could affect the limitation in future years, and any limitation may result in expiration of a portion of the NOL or research and development credit carryforwards before utilization.</w:t>
      </w:r>
    </w:p>
    <w:p>
      <w:pPr>
        <w:spacing w:after="0" w:line="18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which principally comprise of NOL carryforwards, research and development credit carryforwards and capitalized license and patent costs. The Company’s management has determined that it is more likely than not that the Company will not recognize the benefits of its federal and state deferred tax assets, and as a result, a valuation allowance of $296.1 million and $251.1 million has been established at December 31, 2022 and 2021, respectively. The increase in the valuation allowance of $45.0 million for the year ended December 31, 2022 was primarily due to current period pre-tax losses incurred and research tax credits generated.</w:t>
      </w:r>
    </w:p>
    <w:p>
      <w:pPr>
        <w:spacing w:after="0" w:line="187" w:lineRule="exact"/>
        <w:rPr>
          <w:sz w:val="20"/>
          <w:szCs w:val="20"/>
          <w:color w:val="auto"/>
        </w:rPr>
      </w:pPr>
    </w:p>
    <w:p>
      <w:pPr>
        <w:ind w:left="4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applies ASC 740 related to accounting for uncertainty in income taxes. The Company’s reserves related to income taxes are based on a determination of whether, and how much of, a tax benefit taken by the Company in its tax filings or positions is more likely than not to be realized following resolution of any potential contingencies present related to the tax benefit.</w:t>
      </w:r>
    </w:p>
    <w:p>
      <w:pPr>
        <w:spacing w:after="0" w:line="187" w:lineRule="exact"/>
        <w:rPr>
          <w:sz w:val="20"/>
          <w:szCs w:val="20"/>
          <w:color w:val="auto"/>
        </w:rPr>
      </w:pPr>
    </w:p>
    <w:p>
      <w:pPr>
        <w:ind w:left="40" w:right="5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 at the beginning and end of the years ended December 31, 2022 and 2021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6"/>
        </w:trPr>
        <w:tc>
          <w:tcPr>
            <w:tcW w:w="7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7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for tax positions related to current year</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for tax positions related to prior year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16"/>
        </w:trPr>
        <w:tc>
          <w:tcPr>
            <w:tcW w:w="7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decreases for tax positions related to prior year</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At December 31, 2022 and 2021, the Company had unrecognized tax benefits of $11.8 million and $0 million, respectively. The Company will recognize interest and penalties related to uncertain tax positions in income tax expense. As of December 31, 2022 and 2021, the Company had no accrued interest or penalties related to uncertain tax positions and no amounts have been recognized in the Company’s statement of operations. The company does not anticipate a material change to unrecognized tax benefits in the next twelve months.</w:t>
      </w:r>
    </w:p>
    <w:p>
      <w:pPr>
        <w:spacing w:after="0" w:line="187"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as of yet conducted a study of its research and development credit carry 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required, this adjustment would be offset by an adjustment to the valuation allowance. Thus, there would be no impact to the consolidated balance sheets or statements of operations if an adjustment were required.</w:t>
      </w:r>
    </w:p>
    <w:p>
      <w:pPr>
        <w:spacing w:after="0" w:line="162"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files income tax returns in the U.S. federal tax jurisdiction, the Massachusetts state jurisdiction, the California state jurisdiction and the Colorado state jurisdiction. Since the Company is in a loss carryforward position, the Company is generally subject to examination by the U.S. federal, state and local income tax authorities for all tax years in which a loss carryforward is available. The Company did not have any international operations as of December 31, 2022. An examination by the Internal Revenue Service ("IRS") for the period ended December 31, 2018 related to its R&amp;D tax credits concluded in December 31, 2022 and resulted in a reduction to the Company’s deferred tax assets.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29" w:lineRule="exact"/>
        <w:rPr>
          <w:sz w:val="20"/>
          <w:szCs w:val="20"/>
          <w:color w:val="auto"/>
        </w:rPr>
      </w:pPr>
    </w:p>
    <w:p>
      <w:pPr>
        <w:ind w:left="40" w:right="139" w:firstLine="648"/>
        <w:spacing w:after="0" w:line="250"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 average number of shares of common stock outstanding during the period, without consideration for potentially dilutive securities. Diluted net loss per share is computed by dividing the net loss attributable to common stockholders by the weighted average number of shares of common stock and potentially dilutive securities outstanding for the period determined using the treasury stock and if converted methods. Contingently issuable shares are included in the calculation of basic loss per share as of the beginning of the period in which all the necessary conditions have been satisfied. Contingently issuable shares are included in diluted loss per share based on the number of shares, if any, that would be issuable under the terms of the arrangement if the end of the reporting period was the end of the contingency period, if the results are dilutive.</w:t>
      </w:r>
    </w:p>
    <w:p>
      <w:pPr>
        <w:spacing w:after="0" w:line="193" w:lineRule="exact"/>
        <w:rPr>
          <w:sz w:val="20"/>
          <w:szCs w:val="20"/>
          <w:color w:val="auto"/>
        </w:rPr>
      </w:pPr>
    </w:p>
    <w:p>
      <w:pPr>
        <w:ind w:left="40" w:right="459"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stock options are considered to be common stock equivalents, but they were excluded from the Company’s calculation of diluted net loss per share allocable to common stockholders because their inclusion would have been anti-dilutive. Therefore, basic and diluted net loss per share applicable to common stockholders was the same for all periods presented.</w:t>
      </w:r>
    </w:p>
    <w:p>
      <w:pPr>
        <w:spacing w:after="0" w:line="180" w:lineRule="exact"/>
        <w:rPr>
          <w:sz w:val="20"/>
          <w:szCs w:val="20"/>
          <w:color w:val="auto"/>
        </w:rPr>
      </w:pPr>
    </w:p>
    <w:p>
      <w:pPr>
        <w:ind w:left="40" w:right="719" w:firstLine="648"/>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allocable to common stockholders because their inclusion would have been anti-dilutive:</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4"/>
        </w:trPr>
        <w:tc>
          <w:tcPr>
            <w:tcW w:w="64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and restricted stock unit awards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1,499,070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628,732</w:t>
            </w: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5,276,148</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3,016,085</w:t>
            </w:r>
          </w:p>
        </w:tc>
      </w:tr>
      <w:tr>
        <w:trPr>
          <w:trHeight w:val="209"/>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6,775,218</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3,644,817</w:t>
            </w:r>
          </w:p>
        </w:tc>
      </w:tr>
      <w:tr>
        <w:trPr>
          <w:trHeight w:val="20"/>
        </w:trPr>
        <w:tc>
          <w:tcPr>
            <w:tcW w:w="6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The table above reflects restricted stock issued upon exercise of unvested stock options as exercised on the dates that the shares are no longer subject to repurchase.</w:t>
      </w:r>
    </w:p>
    <w:p>
      <w:pPr>
        <w:spacing w:after="0" w:line="200" w:lineRule="exact"/>
        <w:rPr>
          <w:sz w:val="20"/>
          <w:szCs w:val="20"/>
          <w:color w:val="auto"/>
        </w:rPr>
      </w:pPr>
    </w:p>
    <w:p>
      <w:pPr>
        <w:spacing w:after="0" w:line="255" w:lineRule="exact"/>
        <w:rPr>
          <w:sz w:val="20"/>
          <w:szCs w:val="20"/>
          <w:color w:val="auto"/>
        </w:rPr>
      </w:pPr>
    </w:p>
    <w:p>
      <w:pPr>
        <w:ind w:left="700" w:right="7259" w:hanging="656"/>
        <w:spacing w:after="0" w:line="524" w:lineRule="auto"/>
        <w:tabs>
          <w:tab w:leader="none" w:pos="32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40" w:right="79"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December 31, 2022.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2022, our principal executive officer and principal financial officer concluded that, as of such date, our disclosure controls and procedures were effective at the reasonable assurance level.</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6"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2022.</w:t>
      </w:r>
    </w:p>
    <w:p>
      <w:pPr>
        <w:spacing w:after="0" w:line="183" w:lineRule="exact"/>
        <w:rPr>
          <w:sz w:val="20"/>
          <w:szCs w:val="20"/>
          <w:color w:val="auto"/>
        </w:rPr>
      </w:pPr>
    </w:p>
    <w:p>
      <w:pPr>
        <w:jc w:val="both"/>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Ernst &amp; Young LLP, an independent registered public accounting firm, and has issued an attestation report on such audit, which is included herein.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our fiscal quarter ended December 31, 2022 that has materially affected, or is reasonably likely to materially affect, our internal control over financial reporting.</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Stockholders and the Board of Directors of Editas Medicine, Inc.</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We have audited Editas Medicine Inc.’s internal control over financial reporting as of December 31, 2022, based on criteria established in Internal Control-Integrated Framework issued by the Committee of Sponsoring Organizations of the Treadway Commission (2013 framework) (the COSO criteria). In our opinion, Editas Medicine Inc. (the “Company”) maintained, in all material respects, effective internal control over financial reporting as of December 31, 2022, based on the COSO criteria.</w:t>
      </w:r>
    </w:p>
    <w:p>
      <w:pPr>
        <w:spacing w:after="0" w:line="187"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Editas Medicine Inc. as of December 31, 2022 and 2021, the related consolidated statements of operations, comprehensive loss, stockholders’ equity and cash flows for each of the three years in the period ended December 31, 2022, and the related notes, and our report dated February 22, 2023 expressed an unqualified opinion thereon.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of the PCAOB.</w:t>
      </w:r>
    </w:p>
    <w:p>
      <w:pPr>
        <w:spacing w:after="0" w:line="187"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3"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22,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Except to the extent provided below, the information required by this Item 10 will be included in the section captioned “Corporate Governance” and the subsections thereof, “Nominees for Election as Class I Directors,” “Directors Continuing in Office,” “Executive Officers Who Are Not Directors,” and “Delinquent Section 16(a) Reports,” if applicable, in our definitive proxy statement to be filed with the Securities and Exchange Commission (“SEC”) with respect to our 2023 Annual Meeting of Stockholders, which information is incorporated herein by reference.</w:t>
      </w:r>
    </w:p>
    <w:p>
      <w:pPr>
        <w:spacing w:after="0" w:line="187"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Corporate Governance section of our website, which is located at www.editasmedicine.com. If we make any substantive amendments to, or grant any waivers from, the code of business conduct and ethics for any officer or director, we will disclose the nature of such amendment or waiver on our website or in a current report on Form 8-K. We will provide any person, without charge, a copy of such Code of Business Conduct and Ethics upon written request, which may be mailed to 11 Hurley Street, Cambridge, MA 02141, Attn: Corporate Secretary.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6" w:lineRule="exact"/>
        <w:rPr>
          <w:sz w:val="20"/>
          <w:szCs w:val="20"/>
          <w:color w:val="auto"/>
        </w:rPr>
      </w:pPr>
    </w:p>
    <w:p>
      <w:pPr>
        <w:jc w:val="both"/>
        <w:ind w:left="40" w:right="239" w:firstLine="648"/>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11 will be included in the section captioned “Executive Compensation” in our definitive proxy statement to be filed with the SEC with respect to our 2023 Annual Meeting of Stockholders, which information (other than the information required by Item 402(v) of Regulation S-K) is incorporated herein by reference.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sections captioned “Principal Stockholders” and “Securities Authorized for Issuance under Equity Compensation Plans” in our definitive proxy statement to be filed with the SEC with respect to our 2023 Annual Meeting of Stockholders, which information is incorporated herein by reference.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sections captioned “Transactions with Related Persons” and “Director Independence” in our definitive proxy statement to be filed with the SEC with respect to our 2023 Annual Meeting of Stockholders, which information is incorporated herein by reference.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sections captioned “Audit Fees” and “Audit Committee Pre-Approval Policy and Procedures” in our definitive proxy statement to be filed with the SEC with respect to our 2023 Annual Meeting of Stockholders, which information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43" w:lineRule="exact"/>
        <w:rPr>
          <w:sz w:val="20"/>
          <w:szCs w:val="20"/>
          <w:color w:val="auto"/>
        </w:rPr>
      </w:pPr>
    </w:p>
    <w:p>
      <w:pPr>
        <w:ind w:left="1340" w:hanging="648"/>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39" w:lineRule="exact"/>
        <w:rPr>
          <w:sz w:val="20"/>
          <w:szCs w:val="20"/>
          <w:color w:val="auto"/>
        </w:rPr>
      </w:pPr>
    </w:p>
    <w:p>
      <w:pPr>
        <w:ind w:left="700" w:right="179"/>
        <w:spacing w:after="0" w:line="297" w:lineRule="auto"/>
        <w:rPr>
          <w:sz w:val="20"/>
          <w:szCs w:val="20"/>
          <w:color w:val="auto"/>
        </w:rPr>
      </w:pPr>
      <w:r>
        <w:rPr>
          <w:rFonts w:ascii="Times New Roman" w:cs="Times New Roman" w:eastAsia="Times New Roman" w:hAnsi="Times New Roman"/>
          <w:sz w:val="18"/>
          <w:szCs w:val="18"/>
          <w:color w:val="auto"/>
        </w:rPr>
        <w:t>Our consolidated financial statements are set forth in Part II, Item 8 of this Annual Report on Form 10-K and are incorporated herein by reference.</w:t>
      </w:r>
    </w:p>
    <w:p>
      <w:pPr>
        <w:spacing w:after="0" w:line="163" w:lineRule="exact"/>
        <w:rPr>
          <w:sz w:val="20"/>
          <w:szCs w:val="20"/>
          <w:color w:val="auto"/>
        </w:rPr>
      </w:pPr>
    </w:p>
    <w:p>
      <w:pPr>
        <w:ind w:left="1340" w:hanging="648"/>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39" w:lineRule="exact"/>
        <w:rPr>
          <w:sz w:val="20"/>
          <w:szCs w:val="20"/>
          <w:color w:val="auto"/>
        </w:rPr>
      </w:pPr>
    </w:p>
    <w:p>
      <w:pPr>
        <w:ind w:left="700" w:right="299"/>
        <w:spacing w:after="0" w:line="297" w:lineRule="auto"/>
        <w:rPr>
          <w:sz w:val="20"/>
          <w:szCs w:val="20"/>
          <w:color w:val="auto"/>
        </w:rPr>
      </w:pPr>
      <w:r>
        <w:rPr>
          <w:rFonts w:ascii="Times New Roman" w:cs="Times New Roman" w:eastAsia="Times New Roman" w:hAnsi="Times New Roman"/>
          <w:sz w:val="18"/>
          <w:szCs w:val="18"/>
          <w:color w:val="auto"/>
        </w:rPr>
        <w:t>Schedules have been omitted since they are either not required or not applicable or the information is otherwise included herein.</w:t>
      </w:r>
    </w:p>
    <w:p>
      <w:pPr>
        <w:spacing w:after="0" w:line="163" w:lineRule="exact"/>
        <w:rPr>
          <w:sz w:val="20"/>
          <w:szCs w:val="20"/>
          <w:color w:val="auto"/>
        </w:rPr>
      </w:pPr>
    </w:p>
    <w:p>
      <w:pPr>
        <w:ind w:left="1340" w:hanging="648"/>
        <w:spacing w:after="0"/>
        <w:tabs>
          <w:tab w:leader="none" w:pos="1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exhibits filed as part of this Annual Report on Form 10-K are listed in the following Exhibit Index.</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58"/>
        </w:trPr>
        <w:tc>
          <w:tcPr>
            <w:tcW w:w="8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Date of</w:t>
            </w:r>
          </w:p>
        </w:tc>
        <w:tc>
          <w:tcPr>
            <w:tcW w:w="54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21"/>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60" w:type="dxa"/>
            <w:vAlign w:val="bottom"/>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7"/>
                <w:szCs w:val="17"/>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3740" w:type="dxa"/>
            <w:vAlign w:val="bottom"/>
            <w:gridSpan w:val="24"/>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Restated Certificate of Incorporation of the</w:t>
              </w:r>
            </w:hyperlink>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2/8/2016</w:t>
            </w:r>
          </w:p>
        </w:tc>
        <w:tc>
          <w:tcPr>
            <w:tcW w:w="1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3100" w:type="dxa"/>
            <w:vAlign w:val="bottom"/>
            <w:tcBorders>
              <w:top w:val="single" w:sz="8" w:color="0000EE"/>
            </w:tcBorders>
            <w:gridSpan w:val="11"/>
          </w:tcPr>
          <w:p>
            <w:pPr>
              <w:spacing w:after="0" w:line="169"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Registrant</w:t>
              </w:r>
            </w:hyperlink>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2/8/2016</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Amended</w:t>
              </w:r>
            </w:hyperlink>
          </w:p>
        </w:tc>
        <w:tc>
          <w:tcPr>
            <w:tcW w:w="2840" w:type="dxa"/>
            <w:vAlign w:val="bottom"/>
            <w:tcBorders>
              <w:bottom w:val="single" w:sz="8" w:color="0000EE"/>
            </w:tcBorders>
            <w:gridSpan w:val="18"/>
          </w:tcPr>
          <w:p>
            <w:pPr>
              <w:ind w:left="20"/>
              <w:spacing w:after="0" w:line="182"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and Restated By-laws of the Registrant</w:t>
              </w:r>
            </w:hyperlink>
          </w:p>
        </w:tc>
        <w:tc>
          <w:tcPr>
            <w:tcW w:w="160" w:type="dxa"/>
            <w:vAlign w:val="bottom"/>
            <w:gridSpan w:val="4"/>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3740" w:type="dxa"/>
            <w:vAlign w:val="bottom"/>
            <w:gridSpan w:val="24"/>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Specimen Stock Certificate evidencing the shares</w:t>
              </w:r>
            </w:hyperlink>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3580" w:type="dxa"/>
            <w:vAlign w:val="bottom"/>
            <w:tcBorders>
              <w:top w:val="single" w:sz="8" w:color="0000EE"/>
            </w:tcBorders>
            <w:gridSpan w:val="20"/>
          </w:tcPr>
          <w:p>
            <w:pPr>
              <w:spacing w:after="0" w:line="169"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of common stock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2/26/2020</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1260" w:type="dxa"/>
            <w:vAlign w:val="bottom"/>
            <w:tcBorders>
              <w:top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Description of</w:t>
              </w:r>
            </w:hyperlink>
          </w:p>
        </w:tc>
        <w:tc>
          <w:tcPr>
            <w:tcW w:w="2480" w:type="dxa"/>
            <w:vAlign w:val="bottom"/>
            <w:gridSpan w:val="20"/>
          </w:tcPr>
          <w:p>
            <w:pPr>
              <w:spacing w:after="0" w:line="18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Registrant’s Securities Registered</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tcBorders>
              <w:top w:val="single" w:sz="8" w:color="0000EE"/>
              <w:bottom w:val="single" w:sz="8" w:color="0000EE"/>
            </w:tcBorders>
            <w:gridSpan w:val="17"/>
          </w:tcPr>
          <w:p>
            <w:pPr>
              <w:spacing w:after="0" w:line="169" w:lineRule="exact"/>
              <w:rPr>
                <w:rFonts w:ascii="Times New Roman" w:cs="Times New Roman" w:eastAsia="Times New Roman" w:hAnsi="Times New Roman"/>
                <w:sz w:val="18"/>
                <w:szCs w:val="18"/>
                <w:color w:val="0000EE"/>
                <w:w w:val="97"/>
              </w:rPr>
            </w:pPr>
            <w:hyperlink r:id="rId176">
              <w:r>
                <w:rPr>
                  <w:rFonts w:ascii="Times New Roman" w:cs="Times New Roman" w:eastAsia="Times New Roman" w:hAnsi="Times New Roman"/>
                  <w:sz w:val="18"/>
                  <w:szCs w:val="18"/>
                  <w:color w:val="0000EE"/>
                  <w:w w:val="97"/>
                </w:rPr>
                <w:t>Pursuant to Section 12 of the Securities Exchange</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3600" w:type="dxa"/>
            <w:vAlign w:val="bottom"/>
            <w:gridSpan w:val="21"/>
          </w:tcPr>
          <w:p>
            <w:pPr>
              <w:spacing w:after="0" w:line="18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Act of 1934</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86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2013 Stock</w:t>
              </w:r>
            </w:hyperlink>
          </w:p>
        </w:tc>
        <w:tc>
          <w:tcPr>
            <w:tcW w:w="1980" w:type="dxa"/>
            <w:vAlign w:val="bottom"/>
            <w:tcBorders>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Incentive Plan, as amended</w:t>
              </w:r>
            </w:hyperlink>
          </w:p>
        </w:tc>
        <w:tc>
          <w:tcPr>
            <w:tcW w:w="900" w:type="dxa"/>
            <w:vAlign w:val="bottom"/>
            <w:gridSpan w:val="14"/>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3740" w:type="dxa"/>
            <w:vAlign w:val="bottom"/>
            <w:gridSpan w:val="24"/>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Form of Incentive Stock Option Agreement under</w:t>
              </w:r>
            </w:hyperlink>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2840" w:type="dxa"/>
            <w:vAlign w:val="bottom"/>
            <w:tcBorders>
              <w:top w:val="single" w:sz="8" w:color="0000EE"/>
              <w:bottom w:val="single" w:sz="8" w:color="0000EE"/>
            </w:tcBorders>
            <w:gridSpan w:val="10"/>
          </w:tcPr>
          <w:p>
            <w:pPr>
              <w:spacing w:after="0" w:line="169"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2013 Stock Incentive Plan, as amended</w:t>
              </w:r>
            </w:hyperlink>
          </w:p>
        </w:tc>
        <w:tc>
          <w:tcPr>
            <w:tcW w:w="780" w:type="dxa"/>
            <w:vAlign w:val="bottom"/>
            <w:tcBorders>
              <w:top w:val="single" w:sz="8" w:color="0000EE"/>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740" w:type="dxa"/>
            <w:vAlign w:val="bottom"/>
            <w:gridSpan w:val="24"/>
          </w:tcPr>
          <w:p>
            <w:pPr>
              <w:spacing w:after="0" w:line="182"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Nonstatutory Stock Option Agreement</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3420" w:type="dxa"/>
            <w:vAlign w:val="bottom"/>
            <w:tcBorders>
              <w:top w:val="single" w:sz="8" w:color="0000EE"/>
            </w:tcBorders>
            <w:gridSpan w:val="14"/>
          </w:tcPr>
          <w:p>
            <w:pPr>
              <w:spacing w:after="0" w:line="169"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under 2013 Stock Incentive 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80" w:type="dxa"/>
            <w:vAlign w:val="bottom"/>
            <w:gridSpan w:val="2"/>
            <w:vMerge w:val="continue"/>
          </w:tcPr>
          <w:p>
            <w:pPr>
              <w:spacing w:after="0"/>
              <w:rPr>
                <w:sz w:val="15"/>
                <w:szCs w:val="15"/>
                <w:color w:val="auto"/>
              </w:rPr>
            </w:pPr>
          </w:p>
        </w:tc>
        <w:tc>
          <w:tcPr>
            <w:tcW w:w="328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Early Exercise Nonstatutory Stock</w:t>
              </w:r>
            </w:hyperlink>
          </w:p>
        </w:tc>
        <w:tc>
          <w:tcPr>
            <w:tcW w:w="460" w:type="dxa"/>
            <w:vAlign w:val="bottom"/>
            <w:gridSpan w:val="11"/>
          </w:tcPr>
          <w:p>
            <w:pPr>
              <w:spacing w:after="0" w:line="182" w:lineRule="exact"/>
              <w:rPr>
                <w:rFonts w:ascii="Times New Roman" w:cs="Times New Roman" w:eastAsia="Times New Roman" w:hAnsi="Times New Roman"/>
                <w:sz w:val="18"/>
                <w:szCs w:val="18"/>
                <w:color w:val="0000EE"/>
                <w:w w:val="87"/>
              </w:rPr>
            </w:pPr>
            <w:hyperlink r:id="rId180">
              <w:r>
                <w:rPr>
                  <w:rFonts w:ascii="Times New Roman" w:cs="Times New Roman" w:eastAsia="Times New Roman" w:hAnsi="Times New Roman"/>
                  <w:sz w:val="18"/>
                  <w:szCs w:val="18"/>
                  <w:color w:val="0000EE"/>
                  <w:w w:val="87"/>
                </w:rPr>
                <w:t>Option</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tcBorders>
              <w:top w:val="single" w:sz="8" w:color="0000EE"/>
            </w:tcBorders>
            <w:gridSpan w:val="23"/>
          </w:tcPr>
          <w:p>
            <w:pPr>
              <w:spacing w:after="0" w:line="169"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Agreement under 2013 Stock Incentive Plan, as</w:t>
              </w:r>
            </w:hyperlink>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344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amended</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5"/>
          </w:tcPr>
          <w:p>
            <w:pPr>
              <w:spacing w:after="0"/>
              <w:rPr>
                <w:sz w:val="15"/>
                <w:szCs w:val="15"/>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660" w:type="dxa"/>
            <w:vAlign w:val="bottom"/>
            <w:tcBorders>
              <w:top w:val="single" w:sz="8" w:color="0000EE"/>
            </w:tcBorders>
          </w:tcPr>
          <w:p>
            <w:pPr>
              <w:spacing w:after="0" w:line="182"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w:t>
              </w:r>
            </w:hyperlink>
          </w:p>
        </w:tc>
        <w:tc>
          <w:tcPr>
            <w:tcW w:w="3080" w:type="dxa"/>
            <w:vAlign w:val="bottom"/>
            <w:gridSpan w:val="23"/>
          </w:tcPr>
          <w:p>
            <w:pPr>
              <w:spacing w:after="0" w:line="182"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Restricted Stock Agreement under 2013</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3540" w:type="dxa"/>
            <w:vAlign w:val="bottom"/>
            <w:tcBorders>
              <w:top w:val="single" w:sz="8" w:color="0000EE"/>
            </w:tcBorders>
            <w:gridSpan w:val="18"/>
          </w:tcPr>
          <w:p>
            <w:pPr>
              <w:spacing w:after="0" w:line="169"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Stock Incentive Plan, as amended</w:t>
              </w:r>
            </w:hyperlink>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80" w:type="dxa"/>
            <w:vAlign w:val="bottom"/>
            <w:gridSpan w:val="2"/>
            <w:vMerge w:val="continue"/>
          </w:tcPr>
          <w:p>
            <w:pPr>
              <w:spacing w:after="0"/>
              <w:rPr>
                <w:sz w:val="15"/>
                <w:szCs w:val="15"/>
                <w:color w:val="auto"/>
              </w:rPr>
            </w:pPr>
          </w:p>
        </w:tc>
        <w:tc>
          <w:tcPr>
            <w:tcW w:w="242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2015 Stock Incentive Plan</w:t>
              </w:r>
            </w:hyperlink>
          </w:p>
        </w:tc>
        <w:tc>
          <w:tcPr>
            <w:tcW w:w="200" w:type="dxa"/>
            <w:vAlign w:val="bottom"/>
          </w:tcPr>
          <w:p>
            <w:pPr>
              <w:spacing w:after="0"/>
              <w:rPr>
                <w:sz w:val="15"/>
                <w:szCs w:val="15"/>
                <w:color w:val="auto"/>
              </w:rPr>
            </w:pPr>
          </w:p>
        </w:tc>
        <w:tc>
          <w:tcPr>
            <w:tcW w:w="580" w:type="dxa"/>
            <w:vAlign w:val="bottom"/>
            <w:gridSpan w:val="3"/>
          </w:tcPr>
          <w:p>
            <w:pPr>
              <w:spacing w:after="0"/>
              <w:rPr>
                <w:sz w:val="15"/>
                <w:szCs w:val="15"/>
                <w:color w:val="auto"/>
              </w:rPr>
            </w:pPr>
          </w:p>
        </w:tc>
        <w:tc>
          <w:tcPr>
            <w:tcW w:w="260" w:type="dxa"/>
            <w:vAlign w:val="bottom"/>
            <w:gridSpan w:val="4"/>
          </w:tcPr>
          <w:p>
            <w:pPr>
              <w:spacing w:after="0"/>
              <w:rPr>
                <w:sz w:val="15"/>
                <w:szCs w:val="15"/>
                <w:color w:val="auto"/>
              </w:rPr>
            </w:pPr>
          </w:p>
        </w:tc>
        <w:tc>
          <w:tcPr>
            <w:tcW w:w="100" w:type="dxa"/>
            <w:vAlign w:val="bottom"/>
            <w:gridSpan w:val="3"/>
          </w:tcPr>
          <w:p>
            <w:pPr>
              <w:spacing w:after="0"/>
              <w:rPr>
                <w:sz w:val="15"/>
                <w:szCs w:val="15"/>
                <w:color w:val="auto"/>
              </w:rPr>
            </w:pPr>
          </w:p>
        </w:tc>
        <w:tc>
          <w:tcPr>
            <w:tcW w:w="180" w:type="dxa"/>
            <w:vAlign w:val="bottom"/>
            <w:gridSpan w:val="5"/>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3740" w:type="dxa"/>
            <w:vAlign w:val="bottom"/>
            <w:gridSpan w:val="24"/>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Incentive Stock Option Agreement under</w:t>
              </w:r>
            </w:hyperlink>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3620" w:type="dxa"/>
            <w:vAlign w:val="bottom"/>
            <w:tcBorders>
              <w:top w:val="single" w:sz="8" w:color="0000EE"/>
            </w:tcBorders>
            <w:gridSpan w:val="22"/>
          </w:tcPr>
          <w:p>
            <w:pPr>
              <w:spacing w:after="0" w:line="169"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2015 Stock Incentive Plan</w:t>
              </w:r>
            </w:hyperlink>
          </w:p>
        </w:tc>
        <w:tc>
          <w:tcPr>
            <w:tcW w:w="120" w:type="dxa"/>
            <w:vAlign w:val="bottom"/>
            <w:gridSpan w:val="2"/>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740" w:type="dxa"/>
            <w:vAlign w:val="bottom"/>
            <w:gridSpan w:val="24"/>
          </w:tcPr>
          <w:p>
            <w:pPr>
              <w:spacing w:after="0" w:line="182"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of Nonstatutory Stock Option Agreement</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2360" w:type="dxa"/>
            <w:vAlign w:val="bottom"/>
            <w:tcBorders>
              <w:top w:val="single" w:sz="8" w:color="0000EE"/>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under 2015 Stock Incentive Plan</w:t>
              </w:r>
            </w:hyperlink>
          </w:p>
        </w:tc>
        <w:tc>
          <w:tcPr>
            <w:tcW w:w="1060" w:type="dxa"/>
            <w:vAlign w:val="bottom"/>
            <w:tcBorders>
              <w:top w:val="single" w:sz="8" w:color="0000EE"/>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180" w:type="dxa"/>
            <w:vAlign w:val="bottom"/>
            <w:gridSpan w:val="5"/>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11/8/2017</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740" w:type="dxa"/>
            <w:vAlign w:val="bottom"/>
            <w:gridSpan w:val="24"/>
          </w:tcPr>
          <w:p>
            <w:pPr>
              <w:spacing w:after="0" w:line="182"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of Restricted Stock Agreement under 2015</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10.10+</w:t>
            </w:r>
          </w:p>
        </w:tc>
        <w:tc>
          <w:tcPr>
            <w:tcW w:w="3540" w:type="dxa"/>
            <w:vAlign w:val="bottom"/>
            <w:tcBorders>
              <w:top w:val="single" w:sz="8" w:color="0000EE"/>
            </w:tcBorders>
            <w:gridSpan w:val="18"/>
          </w:tcPr>
          <w:p>
            <w:pPr>
              <w:spacing w:after="0" w:line="169"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Stock Incentive Plan</w:t>
              </w:r>
            </w:hyperlink>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1/22/2019</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150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Restricted</w:t>
              </w:r>
            </w:hyperlink>
          </w:p>
        </w:tc>
        <w:tc>
          <w:tcPr>
            <w:tcW w:w="2240" w:type="dxa"/>
            <w:vAlign w:val="bottom"/>
            <w:gridSpan w:val="19"/>
          </w:tcPr>
          <w:p>
            <w:pPr>
              <w:spacing w:after="0" w:line="182"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Stock Unit Award Agreement</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10.11+</w:t>
            </w:r>
          </w:p>
        </w:tc>
        <w:tc>
          <w:tcPr>
            <w:tcW w:w="2620" w:type="dxa"/>
            <w:vAlign w:val="bottom"/>
            <w:tcBorders>
              <w:top w:val="single" w:sz="8" w:color="0000EE"/>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under the 2015 Stock Incentive Plan</w:t>
              </w:r>
            </w:hyperlink>
          </w:p>
        </w:tc>
        <w:tc>
          <w:tcPr>
            <w:tcW w:w="940" w:type="dxa"/>
            <w:vAlign w:val="bottom"/>
            <w:tcBorders>
              <w:top w:val="single" w:sz="8" w:color="0000EE"/>
            </w:tcBorders>
            <w:gridSpan w:val="10"/>
          </w:tcPr>
          <w:p>
            <w:pPr>
              <w:spacing w:after="0"/>
              <w:rPr>
                <w:sz w:val="14"/>
                <w:szCs w:val="14"/>
                <w:color w:val="auto"/>
              </w:rPr>
            </w:pPr>
          </w:p>
        </w:tc>
        <w:tc>
          <w:tcPr>
            <w:tcW w:w="180" w:type="dxa"/>
            <w:vAlign w:val="bottom"/>
            <w:gridSpan w:val="5"/>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8/3/2022</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740" w:type="dxa"/>
            <w:vAlign w:val="bottom"/>
            <w:gridSpan w:val="24"/>
          </w:tcPr>
          <w:p>
            <w:pPr>
              <w:spacing w:after="0" w:line="182"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Employment Offer Letter, dated April 13, 2022,</w:t>
              </w:r>
            </w:hyperlink>
          </w:p>
        </w:tc>
        <w:tc>
          <w:tcPr>
            <w:tcW w:w="7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tcBorders>
              <w:top w:val="single" w:sz="8" w:color="0000EE"/>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between the Registrant and Gilmore O’Neill</w:t>
              </w:r>
            </w:hyperlink>
          </w:p>
        </w:tc>
        <w:tc>
          <w:tcPr>
            <w:tcW w:w="260" w:type="dxa"/>
            <w:vAlign w:val="bottom"/>
            <w:tcBorders>
              <w:top w:val="single" w:sz="8" w:color="0000EE"/>
            </w:tcBorders>
            <w:gridSpan w:val="4"/>
          </w:tcPr>
          <w:p>
            <w:pPr>
              <w:spacing w:after="0"/>
              <w:rPr>
                <w:sz w:val="14"/>
                <w:szCs w:val="14"/>
                <w:color w:val="auto"/>
              </w:rPr>
            </w:pPr>
          </w:p>
        </w:tc>
        <w:tc>
          <w:tcPr>
            <w:tcW w:w="280" w:type="dxa"/>
            <w:vAlign w:val="bottom"/>
            <w:gridSpan w:val="8"/>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gridSpan w:val="24"/>
          </w:tcPr>
          <w:p>
            <w:pPr>
              <w:ind w:left="344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58"/>
        </w:trPr>
        <w:tc>
          <w:tcPr>
            <w:tcW w:w="8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Date of</w:t>
            </w:r>
          </w:p>
        </w:tc>
        <w:tc>
          <w:tcPr>
            <w:tcW w:w="54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0"/>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0" w:type="dxa"/>
            <w:vAlign w:val="bottom"/>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7"/>
                <w:szCs w:val="17"/>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10.12+</w:t>
            </w:r>
          </w:p>
        </w:tc>
        <w:tc>
          <w:tcPr>
            <w:tcW w:w="3800" w:type="dxa"/>
            <w:vAlign w:val="bottom"/>
            <w:gridSpan w:val="45"/>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Employment Offer Letter, dated February 14, 2021,</w:t>
              </w:r>
            </w:hyperlink>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2/26/2021</w:t>
            </w:r>
          </w:p>
        </w:tc>
        <w:tc>
          <w:tcPr>
            <w:tcW w:w="1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3220" w:type="dxa"/>
            <w:vAlign w:val="bottom"/>
            <w:tcBorders>
              <w:top w:val="single" w:sz="8" w:color="0000EE"/>
              <w:bottom w:val="single" w:sz="8" w:color="0000EE"/>
            </w:tcBorders>
            <w:gridSpan w:val="20"/>
          </w:tcPr>
          <w:p>
            <w:pPr>
              <w:spacing w:after="0" w:line="182"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between the Registrant and James C. Mullen</w:t>
              </w:r>
            </w:hyperlink>
          </w:p>
        </w:tc>
        <w:tc>
          <w:tcPr>
            <w:tcW w:w="56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8/3/2022</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480" w:type="dxa"/>
            <w:vAlign w:val="bottom"/>
            <w:tcBorders>
              <w:bottom w:val="single" w:sz="8" w:color="0000EE"/>
            </w:tcBorders>
            <w:gridSpan w:val="30"/>
          </w:tcPr>
          <w:p>
            <w:pPr>
              <w:spacing w:after="0" w:line="169"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Amendment to Employment Offer Letter, dated</w:t>
              </w:r>
            </w:hyperlink>
          </w:p>
        </w:tc>
        <w:tc>
          <w:tcPr>
            <w:tcW w:w="320" w:type="dxa"/>
            <w:vAlign w:val="bottom"/>
            <w:gridSpan w:val="15"/>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0" w:type="dxa"/>
            <w:vAlign w:val="bottom"/>
            <w:gridSpan w:val="45"/>
          </w:tcPr>
          <w:p>
            <w:pPr>
              <w:spacing w:after="0" w:line="182"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April 13, 2022, between the Registrant and James</w:t>
              </w:r>
            </w:hyperlink>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tcBorders>
              <w:top w:val="single" w:sz="8" w:color="0000EE"/>
            </w:tcBorders>
            <w:gridSpan w:val="38"/>
          </w:tcPr>
          <w:p>
            <w:pPr>
              <w:spacing w:after="0" w:line="169"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C. Mullen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10.14+</w:t>
            </w:r>
          </w:p>
        </w:tc>
        <w:tc>
          <w:tcPr>
            <w:tcW w:w="74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80"/>
              </w:rPr>
            </w:pPr>
            <w:hyperlink r:id="rId190">
              <w:r>
                <w:rPr>
                  <w:rFonts w:ascii="Times New Roman" w:cs="Times New Roman" w:eastAsia="Times New Roman" w:hAnsi="Times New Roman"/>
                  <w:sz w:val="18"/>
                  <w:szCs w:val="18"/>
                  <w:color w:val="0000EE"/>
                  <w:w w:val="80"/>
                </w:rPr>
                <w:t>Amendment</w:t>
              </w:r>
            </w:hyperlink>
          </w:p>
        </w:tc>
        <w:tc>
          <w:tcPr>
            <w:tcW w:w="20" w:type="dxa"/>
            <w:vAlign w:val="bottom"/>
            <w:tcBorders>
              <w:bottom w:val="single" w:sz="8" w:color="0000EE"/>
            </w:tcBorders>
          </w:tcPr>
          <w:p>
            <w:pPr>
              <w:spacing w:after="0"/>
              <w:rPr>
                <w:sz w:val="15"/>
                <w:szCs w:val="15"/>
                <w:color w:val="auto"/>
              </w:rPr>
            </w:pPr>
          </w:p>
        </w:tc>
        <w:tc>
          <w:tcPr>
            <w:tcW w:w="2720" w:type="dxa"/>
            <w:vAlign w:val="bottom"/>
            <w:tcBorders>
              <w:bottom w:val="single" w:sz="8" w:color="0000EE"/>
            </w:tcBorders>
            <w:gridSpan w:val="25"/>
          </w:tcPr>
          <w:p>
            <w:pPr>
              <w:jc w:val="center"/>
              <w:ind w:left="56"/>
              <w:spacing w:after="0" w:line="182"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to RSU Agreement, dated May 24,</w:t>
              </w:r>
            </w:hyperlink>
          </w:p>
        </w:tc>
        <w:tc>
          <w:tcPr>
            <w:tcW w:w="320" w:type="dxa"/>
            <w:vAlign w:val="bottom"/>
            <w:gridSpan w:val="15"/>
          </w:tcPr>
          <w:p>
            <w:pPr>
              <w:spacing w:after="0"/>
              <w:rPr>
                <w:sz w:val="15"/>
                <w:szCs w:val="15"/>
                <w:color w:val="auto"/>
              </w:rPr>
            </w:pPr>
          </w:p>
        </w:tc>
        <w:tc>
          <w:tcPr>
            <w:tcW w:w="68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8/3/2022</w:t>
            </w:r>
          </w:p>
        </w:tc>
        <w:tc>
          <w:tcPr>
            <w:tcW w:w="160" w:type="dxa"/>
            <w:vAlign w:val="bottom"/>
          </w:tcPr>
          <w:p>
            <w:pPr>
              <w:spacing w:after="0"/>
              <w:rPr>
                <w:sz w:val="15"/>
                <w:szCs w:val="15"/>
                <w:color w:val="auto"/>
              </w:rPr>
            </w:pPr>
          </w:p>
        </w:tc>
        <w:tc>
          <w:tcPr>
            <w:tcW w:w="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10.15+</w:t>
            </w:r>
          </w:p>
        </w:tc>
        <w:tc>
          <w:tcPr>
            <w:tcW w:w="3800" w:type="dxa"/>
            <w:vAlign w:val="bottom"/>
            <w:gridSpan w:val="45"/>
          </w:tcPr>
          <w:p>
            <w:pPr>
              <w:spacing w:after="0" w:line="182"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2022, between the Registrant and James C. Mullen</w:t>
              </w:r>
            </w:hyperlink>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2/26/2020</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700" w:type="dxa"/>
            <w:vAlign w:val="bottom"/>
            <w:tcBorders>
              <w:top w:val="single" w:sz="8" w:color="0000EE"/>
            </w:tcBorders>
            <w:gridSpan w:val="40"/>
          </w:tcPr>
          <w:p>
            <w:pPr>
              <w:spacing w:after="0" w:line="169"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Employment Offer Letter, dated December 27,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2019, between the Registrant and Michelle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10.16+</w:t>
            </w:r>
          </w:p>
        </w:tc>
        <w:tc>
          <w:tcPr>
            <w:tcW w:w="3100" w:type="dxa"/>
            <w:vAlign w:val="bottom"/>
            <w:tcBorders>
              <w:top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Robertson</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8/3/2022</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76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w w:val="79"/>
              </w:rPr>
            </w:pPr>
            <w:hyperlink r:id="rId192">
              <w:r>
                <w:rPr>
                  <w:rFonts w:ascii="Times New Roman" w:cs="Times New Roman" w:eastAsia="Times New Roman" w:hAnsi="Times New Roman"/>
                  <w:sz w:val="18"/>
                  <w:szCs w:val="18"/>
                  <w:color w:val="0000EE"/>
                  <w:w w:val="79"/>
                </w:rPr>
                <w:t>Employment</w:t>
              </w:r>
            </w:hyperlink>
          </w:p>
        </w:tc>
        <w:tc>
          <w:tcPr>
            <w:tcW w:w="3040" w:type="dxa"/>
            <w:vAlign w:val="bottom"/>
            <w:gridSpan w:val="40"/>
          </w:tcPr>
          <w:p>
            <w:pPr>
              <w:jc w:val="center"/>
              <w:ind w:right="180"/>
              <w:spacing w:after="0" w:line="182"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Offer Letter, dated June 14, 2022,</w:t>
              </w:r>
            </w:hyperlink>
          </w:p>
        </w:tc>
        <w:tc>
          <w:tcPr>
            <w:tcW w:w="6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10.17+</w:t>
            </w:r>
          </w:p>
        </w:tc>
        <w:tc>
          <w:tcPr>
            <w:tcW w:w="3460" w:type="dxa"/>
            <w:vAlign w:val="bottom"/>
            <w:tcBorders>
              <w:top w:val="single" w:sz="8" w:color="0000EE"/>
            </w:tcBorders>
            <w:gridSpan w:val="29"/>
          </w:tcPr>
          <w:p>
            <w:pPr>
              <w:spacing w:after="0" w:line="182"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between the Registrant and Baisong Mei</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8/5/2021</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800" w:type="dxa"/>
            <w:vAlign w:val="bottom"/>
            <w:gridSpan w:val="45"/>
          </w:tcPr>
          <w:p>
            <w:pPr>
              <w:spacing w:after="0" w:line="169"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Employment Offer Letter, dated April 19, 2021,</w:t>
              </w:r>
            </w:hyperlink>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10.18+</w:t>
            </w:r>
          </w:p>
        </w:tc>
        <w:tc>
          <w:tcPr>
            <w:tcW w:w="348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between the Registrant and Mark S. Shearman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11/9/2021</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380" w:type="dxa"/>
            <w:vAlign w:val="bottom"/>
            <w:tcBorders>
              <w:top w:val="single" w:sz="8" w:color="0000EE"/>
              <w:bottom w:val="single" w:sz="8" w:color="0000EE"/>
            </w:tcBorders>
            <w:gridSpan w:val="25"/>
          </w:tcPr>
          <w:p>
            <w:pPr>
              <w:spacing w:after="0" w:line="169"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Employment Offer Letter, dated September 22,</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28"/>
          </w:tcPr>
          <w:p>
            <w:pPr>
              <w:spacing w:after="0" w:line="182"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2021, between the Registrant and Bruce Eaton</w:t>
              </w:r>
            </w:hyperlink>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3360" w:type="dxa"/>
            <w:vAlign w:val="bottom"/>
            <w:tcBorders>
              <w:top w:val="single" w:sz="8" w:color="0000EE"/>
            </w:tcBorders>
            <w:gridSpan w:val="24"/>
          </w:tcPr>
          <w:p>
            <w:pPr>
              <w:spacing w:after="0" w:line="169"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of Inducement Stock Option Agreement</w:t>
              </w:r>
            </w:hyperlink>
          </w:p>
        </w:tc>
        <w:tc>
          <w:tcPr>
            <w:tcW w:w="440" w:type="dxa"/>
            <w:vAlign w:val="bottom"/>
            <w:gridSpan w:val="21"/>
          </w:tcPr>
          <w:p>
            <w:pPr>
              <w:ind w:left="20"/>
              <w:spacing w:after="0" w:line="169"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w:t>
              </w:r>
            </w:hyperlink>
          </w:p>
        </w:tc>
        <w:tc>
          <w:tcPr>
            <w:tcW w:w="6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2/26/2020</w:t>
            </w:r>
          </w:p>
        </w:tc>
        <w:tc>
          <w:tcPr>
            <w:tcW w:w="160" w:type="dxa"/>
            <w:vAlign w:val="bottom"/>
          </w:tcPr>
          <w:p>
            <w:pPr>
              <w:spacing w:after="0"/>
              <w:rPr>
                <w:sz w:val="14"/>
                <w:szCs w:val="14"/>
                <w:color w:val="auto"/>
              </w:rPr>
            </w:pPr>
          </w:p>
        </w:tc>
        <w:tc>
          <w:tcPr>
            <w:tcW w:w="5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10.20+</w:t>
            </w:r>
          </w:p>
        </w:tc>
        <w:tc>
          <w:tcPr>
            <w:tcW w:w="246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the Registrant’s executive officers</w:t>
              </w:r>
            </w:hyperlink>
          </w:p>
        </w:tc>
        <w:tc>
          <w:tcPr>
            <w:tcW w:w="1180" w:type="dxa"/>
            <w:vAlign w:val="bottom"/>
            <w:tcBorders>
              <w:top w:val="single" w:sz="8" w:color="0000EE"/>
            </w:tcBorders>
            <w:gridSpan w:val="2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2/26/2020</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800" w:type="dxa"/>
            <w:vAlign w:val="bottom"/>
            <w:gridSpan w:val="45"/>
          </w:tcPr>
          <w:p>
            <w:pPr>
              <w:spacing w:after="0" w:line="169"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of Inducement Restricted Stock Unit Award</w:t>
              </w:r>
            </w:hyperlink>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10.21†</w:t>
            </w:r>
          </w:p>
        </w:tc>
        <w:tc>
          <w:tcPr>
            <w:tcW w:w="3680" w:type="dxa"/>
            <w:vAlign w:val="bottom"/>
            <w:tcBorders>
              <w:top w:val="single" w:sz="8" w:color="0000EE"/>
            </w:tcBorders>
            <w:gridSpan w:val="39"/>
          </w:tcPr>
          <w:p>
            <w:pPr>
              <w:spacing w:after="0" w:line="182"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Agreement for the Registrant’s executive officers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1/23/2017</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620" w:type="dxa"/>
            <w:vAlign w:val="bottom"/>
            <w:tcBorders>
              <w:top w:val="single" w:sz="8" w:color="0000EE"/>
              <w:bottom w:val="single" w:sz="8" w:color="0000EE"/>
            </w:tcBorders>
            <w:gridSpan w:val="36"/>
          </w:tcPr>
          <w:p>
            <w:pPr>
              <w:spacing w:after="0" w:line="169" w:lineRule="exact"/>
              <w:rPr>
                <w:rFonts w:ascii="Times New Roman" w:cs="Times New Roman" w:eastAsia="Times New Roman" w:hAnsi="Times New Roman"/>
                <w:sz w:val="18"/>
                <w:szCs w:val="18"/>
                <w:color w:val="0000EE"/>
                <w:w w:val="97"/>
              </w:rPr>
            </w:pPr>
            <w:hyperlink r:id="rId197">
              <w:r>
                <w:rPr>
                  <w:rFonts w:ascii="Times New Roman" w:cs="Times New Roman" w:eastAsia="Times New Roman" w:hAnsi="Times New Roman"/>
                  <w:sz w:val="18"/>
                  <w:szCs w:val="18"/>
                  <w:color w:val="0000EE"/>
                  <w:w w:val="97"/>
                </w:rPr>
                <w:t>Amended and Restated Cas9-I License Agreement,</w:t>
              </w:r>
            </w:hyperlink>
          </w:p>
        </w:tc>
        <w:tc>
          <w:tcPr>
            <w:tcW w:w="100" w:type="dxa"/>
            <w:vAlign w:val="bottom"/>
            <w:tcBorders>
              <w:bottom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41"/>
          </w:tcPr>
          <w:p>
            <w:pPr>
              <w:spacing w:after="0" w:line="182"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dated December 16, 2016, among the Registrant,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tcBorders>
              <w:top w:val="single" w:sz="8" w:color="0000EE"/>
            </w:tcBorders>
            <w:gridSpan w:val="32"/>
          </w:tcPr>
          <w:p>
            <w:pPr>
              <w:spacing w:after="0" w:line="169"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the President and Fellows of Harvard College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21"/>
          </w:tcPr>
          <w:p>
            <w:pPr>
              <w:spacing w:after="0" w:line="182"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(“Harvard”), and the Broad Institute, Inc.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10.22</w:t>
            </w:r>
          </w:p>
        </w:tc>
        <w:tc>
          <w:tcPr>
            <w:tcW w:w="3340" w:type="dxa"/>
            <w:vAlign w:val="bottom"/>
            <w:gridSpan w:val="23"/>
          </w:tcPr>
          <w:p>
            <w:pPr>
              <w:spacing w:after="0" w:line="182"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“Broad”)</w:t>
              </w:r>
            </w:hyperlink>
          </w:p>
        </w:tc>
        <w:tc>
          <w:tcPr>
            <w:tcW w:w="80" w:type="dxa"/>
            <w:vAlign w:val="bottom"/>
            <w:gridSpan w:val="4"/>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3/7/2017</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800" w:type="dxa"/>
            <w:vAlign w:val="bottom"/>
            <w:gridSpan w:val="45"/>
          </w:tcPr>
          <w:p>
            <w:pPr>
              <w:spacing w:after="0" w:line="169"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Amendment No.1 to Amended and Restated Cas9-I</w:t>
              </w:r>
            </w:hyperlink>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60" w:type="dxa"/>
            <w:vAlign w:val="bottom"/>
            <w:tcBorders>
              <w:top w:val="single" w:sz="8" w:color="0000EE"/>
            </w:tcBorders>
            <w:gridSpan w:val="43"/>
          </w:tcPr>
          <w:p>
            <w:pPr>
              <w:spacing w:after="0" w:line="182"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License Agreement, by and among Editas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16"/>
          </w:tcPr>
          <w:p>
            <w:pPr>
              <w:spacing w:after="0" w:line="169"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Medicine, Inc., Harvard, and Broad, dated</w:t>
              </w:r>
            </w:hyperlink>
          </w:p>
        </w:tc>
        <w:tc>
          <w:tcPr>
            <w:tcW w:w="780" w:type="dxa"/>
            <w:vAlign w:val="bottom"/>
            <w:tcBorders>
              <w:bottom w:val="single" w:sz="8" w:color="0000EE"/>
            </w:tcBorders>
            <w:gridSpan w:val="29"/>
          </w:tcPr>
          <w:p>
            <w:pPr>
              <w:ind w:left="60"/>
              <w:spacing w:after="0" w:line="169"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March 3,</w:t>
              </w:r>
            </w:hyperlink>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10.23*</w:t>
            </w:r>
          </w:p>
        </w:tc>
        <w:tc>
          <w:tcPr>
            <w:tcW w:w="36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4"/>
              </w:rPr>
            </w:pPr>
            <w:hyperlink r:id="rId198">
              <w:r>
                <w:rPr>
                  <w:rFonts w:ascii="Times New Roman" w:cs="Times New Roman" w:eastAsia="Times New Roman" w:hAnsi="Times New Roman"/>
                  <w:sz w:val="18"/>
                  <w:szCs w:val="18"/>
                  <w:color w:val="0000EE"/>
                  <w:w w:val="94"/>
                </w:rPr>
                <w:t>2017</w:t>
              </w:r>
            </w:hyperlink>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2/26/2020</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800" w:type="dxa"/>
            <w:vAlign w:val="bottom"/>
            <w:gridSpan w:val="45"/>
          </w:tcPr>
          <w:p>
            <w:pPr>
              <w:spacing w:after="0" w:line="182"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Second Amended and Restated License and</w:t>
              </w:r>
            </w:hyperlink>
          </w:p>
        </w:tc>
        <w:tc>
          <w:tcPr>
            <w:tcW w:w="6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Collaboration Agreement, dated November</w:t>
              </w:r>
            </w:hyperlink>
          </w:p>
        </w:tc>
        <w:tc>
          <w:tcPr>
            <w:tcW w:w="260" w:type="dxa"/>
            <w:vAlign w:val="bottom"/>
            <w:tcBorders>
              <w:bottom w:val="single" w:sz="8" w:color="0000EE"/>
            </w:tcBorders>
            <w:gridSpan w:val="9"/>
          </w:tcPr>
          <w:p>
            <w:pPr>
              <w:jc w:val="right"/>
              <w:ind w:right="40"/>
              <w:spacing w:after="0" w:line="182" w:lineRule="exact"/>
              <w:rPr>
                <w:rFonts w:ascii="Times New Roman" w:cs="Times New Roman" w:eastAsia="Times New Roman" w:hAnsi="Times New Roman"/>
                <w:sz w:val="18"/>
                <w:szCs w:val="18"/>
                <w:color w:val="0000EE"/>
                <w:w w:val="88"/>
              </w:rPr>
            </w:pPr>
            <w:hyperlink r:id="rId199">
              <w:r>
                <w:rPr>
                  <w:rFonts w:ascii="Times New Roman" w:cs="Times New Roman" w:eastAsia="Times New Roman" w:hAnsi="Times New Roman"/>
                  <w:sz w:val="18"/>
                  <w:szCs w:val="18"/>
                  <w:color w:val="0000EE"/>
                  <w:w w:val="88"/>
                </w:rPr>
                <w:t>11,</w:t>
              </w:r>
            </w:hyperlink>
          </w:p>
        </w:tc>
        <w:tc>
          <w:tcPr>
            <w:tcW w:w="1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27"/>
          </w:tcPr>
          <w:p>
            <w:pPr>
              <w:spacing w:after="0" w:line="169"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2019, between the Registrant and Juno</w:t>
              </w:r>
            </w:hyperlink>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10.24*</w:t>
            </w:r>
          </w:p>
        </w:tc>
        <w:tc>
          <w:tcPr>
            <w:tcW w:w="280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Therapeutics, Inc. (“Juno”)</w:t>
              </w:r>
            </w:hyperlink>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4"/>
          </w:tcPr>
          <w:p>
            <w:pPr>
              <w:spacing w:after="0"/>
              <w:rPr>
                <w:sz w:val="15"/>
                <w:szCs w:val="15"/>
                <w:color w:val="auto"/>
              </w:rPr>
            </w:pPr>
          </w:p>
        </w:tc>
        <w:tc>
          <w:tcPr>
            <w:tcW w:w="140" w:type="dxa"/>
            <w:vAlign w:val="bottom"/>
            <w:gridSpan w:val="3"/>
          </w:tcPr>
          <w:p>
            <w:pPr>
              <w:spacing w:after="0"/>
              <w:rPr>
                <w:sz w:val="15"/>
                <w:szCs w:val="15"/>
                <w:color w:val="auto"/>
              </w:rPr>
            </w:pPr>
          </w:p>
        </w:tc>
        <w:tc>
          <w:tcPr>
            <w:tcW w:w="20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2/26/2020</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800" w:type="dxa"/>
            <w:vAlign w:val="bottom"/>
            <w:gridSpan w:val="45"/>
          </w:tcPr>
          <w:p>
            <w:pPr>
              <w:spacing w:after="0" w:line="182"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License and Agreement, dated November 11, 2019,</w:t>
              </w:r>
            </w:hyperlink>
          </w:p>
        </w:tc>
        <w:tc>
          <w:tcPr>
            <w:tcW w:w="6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tcBorders>
              <w:top w:val="single" w:sz="8" w:color="0000EE"/>
            </w:tcBorders>
            <w:gridSpan w:val="42"/>
          </w:tcPr>
          <w:p>
            <w:pPr>
              <w:spacing w:after="0" w:line="182"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between the Registrant and Juno</w:t>
              </w:r>
            </w:hyperlink>
          </w:p>
        </w:tc>
        <w:tc>
          <w:tcPr>
            <w:tcW w:w="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2340" w:type="dxa"/>
            <w:vAlign w:val="bottom"/>
            <w:tcBorders>
              <w:top w:val="single" w:sz="8" w:color="0000EE"/>
            </w:tcBorders>
            <w:gridSpan w:val="9"/>
          </w:tcPr>
          <w:p>
            <w:pPr>
              <w:spacing w:after="0" w:line="169"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Sponsored Research Agreement,</w:t>
              </w:r>
            </w:hyperlink>
          </w:p>
        </w:tc>
        <w:tc>
          <w:tcPr>
            <w:tcW w:w="1460" w:type="dxa"/>
            <w:vAlign w:val="bottom"/>
            <w:gridSpan w:val="36"/>
          </w:tcPr>
          <w:p>
            <w:pPr>
              <w:ind w:left="60"/>
              <w:spacing w:after="0" w:line="169"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dated June 7,</w:t>
              </w:r>
            </w:hyperlink>
          </w:p>
        </w:tc>
        <w:tc>
          <w:tcPr>
            <w:tcW w:w="6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10-Q/A</w:t>
            </w:r>
          </w:p>
        </w:tc>
        <w:tc>
          <w:tcPr>
            <w:tcW w:w="10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10/23/2018</w:t>
            </w:r>
          </w:p>
        </w:tc>
        <w:tc>
          <w:tcPr>
            <w:tcW w:w="160" w:type="dxa"/>
            <w:vAlign w:val="bottom"/>
          </w:tcPr>
          <w:p>
            <w:pPr>
              <w:spacing w:after="0"/>
              <w:rPr>
                <w:sz w:val="14"/>
                <w:szCs w:val="14"/>
                <w:color w:val="auto"/>
              </w:rPr>
            </w:pPr>
          </w:p>
        </w:tc>
        <w:tc>
          <w:tcPr>
            <w:tcW w:w="5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10.26*</w:t>
            </w:r>
          </w:p>
        </w:tc>
        <w:tc>
          <w:tcPr>
            <w:tcW w:w="336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2018, between the Registrant and Broad</w:t>
              </w:r>
            </w:hyperlink>
          </w:p>
        </w:tc>
        <w:tc>
          <w:tcPr>
            <w:tcW w:w="16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2/26/2021</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2920" w:type="dxa"/>
            <w:vAlign w:val="bottom"/>
            <w:tcBorders>
              <w:top w:val="single" w:sz="8" w:color="0000EE"/>
              <w:bottom w:val="single" w:sz="8" w:color="0000EE"/>
            </w:tcBorders>
            <w:gridSpan w:val="14"/>
          </w:tcPr>
          <w:p>
            <w:pPr>
              <w:spacing w:after="0" w:line="169" w:lineRule="exact"/>
              <w:rPr>
                <w:rFonts w:ascii="Times New Roman" w:cs="Times New Roman" w:eastAsia="Times New Roman" w:hAnsi="Times New Roman"/>
                <w:sz w:val="18"/>
                <w:szCs w:val="18"/>
                <w:color w:val="0000EE"/>
                <w:w w:val="97"/>
              </w:rPr>
            </w:pPr>
            <w:hyperlink r:id="rId202">
              <w:r>
                <w:rPr>
                  <w:rFonts w:ascii="Times New Roman" w:cs="Times New Roman" w:eastAsia="Times New Roman" w:hAnsi="Times New Roman"/>
                  <w:sz w:val="18"/>
                  <w:szCs w:val="18"/>
                  <w:color w:val="0000EE"/>
                  <w:w w:val="97"/>
                </w:rPr>
                <w:t>First Amendment to Sponsored Research</w:t>
              </w:r>
            </w:hyperlink>
          </w:p>
        </w:tc>
        <w:tc>
          <w:tcPr>
            <w:tcW w:w="40" w:type="dxa"/>
            <w:vAlign w:val="bottom"/>
            <w:tcBorders>
              <w:bottom w:val="single" w:sz="8" w:color="0000EE"/>
            </w:tcBorders>
          </w:tcPr>
          <w:p>
            <w:pPr>
              <w:spacing w:after="0"/>
              <w:rPr>
                <w:sz w:val="14"/>
                <w:szCs w:val="14"/>
                <w:color w:val="auto"/>
              </w:rPr>
            </w:pPr>
          </w:p>
        </w:tc>
        <w:tc>
          <w:tcPr>
            <w:tcW w:w="22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20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0" w:type="dxa"/>
            <w:vAlign w:val="bottom"/>
            <w:gridSpan w:val="45"/>
          </w:tcPr>
          <w:p>
            <w:pPr>
              <w:spacing w:after="0" w:line="182"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Agreement, dated January 11, 2021, between the</w:t>
              </w:r>
            </w:hyperlink>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10.27+</w:t>
            </w:r>
          </w:p>
        </w:tc>
        <w:tc>
          <w:tcPr>
            <w:tcW w:w="3520" w:type="dxa"/>
            <w:vAlign w:val="bottom"/>
            <w:tcBorders>
              <w:top w:val="single" w:sz="8" w:color="0000EE"/>
            </w:tcBorders>
            <w:gridSpan w:val="31"/>
          </w:tcPr>
          <w:p>
            <w:pPr>
              <w:spacing w:after="0" w:line="169"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Registrant and Broad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8/5/2021</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154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Summary of Director</w:t>
              </w:r>
            </w:hyperlink>
          </w:p>
        </w:tc>
        <w:tc>
          <w:tcPr>
            <w:tcW w:w="1780" w:type="dxa"/>
            <w:vAlign w:val="bottom"/>
            <w:tcBorders>
              <w:bottom w:val="single" w:sz="8" w:color="0000EE"/>
            </w:tcBorders>
            <w:gridSpan w:val="16"/>
          </w:tcPr>
          <w:p>
            <w:pPr>
              <w:ind w:left="60"/>
              <w:spacing w:after="0" w:line="182"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Compensation Program</w:t>
              </w:r>
            </w:hyperlink>
          </w:p>
        </w:tc>
        <w:tc>
          <w:tcPr>
            <w:tcW w:w="480" w:type="dxa"/>
            <w:vAlign w:val="bottom"/>
            <w:gridSpan w:val="23"/>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w:t>
            </w:r>
          </w:p>
        </w:tc>
        <w:tc>
          <w:tcPr>
            <w:tcW w:w="2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2015 Employee Stock Purchase Plan</w:t>
              </w:r>
            </w:hyperlink>
          </w:p>
        </w:tc>
        <w:tc>
          <w:tcPr>
            <w:tcW w:w="1140" w:type="dxa"/>
            <w:vAlign w:val="bottom"/>
            <w:gridSpan w:val="33"/>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10.29+</w:t>
            </w:r>
          </w:p>
        </w:tc>
        <w:tc>
          <w:tcPr>
            <w:tcW w:w="2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Amended Severance Benefits Plan</w:t>
              </w:r>
            </w:hyperlink>
          </w:p>
        </w:tc>
        <w:tc>
          <w:tcPr>
            <w:tcW w:w="1300" w:type="dxa"/>
            <w:vAlign w:val="bottom"/>
            <w:gridSpan w:val="34"/>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2/24/2022</w:t>
            </w: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10.30</w:t>
            </w:r>
          </w:p>
        </w:tc>
        <w:tc>
          <w:tcPr>
            <w:tcW w:w="3800" w:type="dxa"/>
            <w:vAlign w:val="bottom"/>
            <w:gridSpan w:val="45"/>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Form of Indemnification Agreement between the</w:t>
              </w:r>
            </w:hyperlink>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333-208856</w:t>
            </w:r>
          </w:p>
        </w:tc>
        <w:tc>
          <w:tcPr>
            <w:tcW w:w="1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1/4/2016</w:t>
            </w: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33"/>
          </w:tcPr>
          <w:p>
            <w:pPr>
              <w:spacing w:after="0" w:line="182"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Registrant and each of its directors and executive</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10.31</w:t>
            </w:r>
          </w:p>
        </w:tc>
        <w:tc>
          <w:tcPr>
            <w:tcW w:w="3580" w:type="dxa"/>
            <w:vAlign w:val="bottom"/>
            <w:gridSpan w:val="34"/>
          </w:tcPr>
          <w:p>
            <w:pPr>
              <w:spacing w:after="0" w:line="169"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officers</w:t>
              </w:r>
            </w:hyperlink>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2/19/2016</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5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Lease</w:t>
              </w:r>
            </w:hyperlink>
          </w:p>
        </w:tc>
        <w:tc>
          <w:tcPr>
            <w:tcW w:w="2620" w:type="dxa"/>
            <w:vAlign w:val="bottom"/>
            <w:tcBorders>
              <w:bottom w:val="single" w:sz="8" w:color="0000EE"/>
            </w:tcBorders>
            <w:gridSpan w:val="17"/>
          </w:tcPr>
          <w:p>
            <w:pPr>
              <w:jc w:val="center"/>
              <w:spacing w:after="0" w:line="182" w:lineRule="exact"/>
              <w:rPr>
                <w:rFonts w:ascii="Times New Roman" w:cs="Times New Roman" w:eastAsia="Times New Roman" w:hAnsi="Times New Roman"/>
                <w:sz w:val="18"/>
                <w:szCs w:val="18"/>
                <w:color w:val="0000EE"/>
                <w:w w:val="96"/>
              </w:rPr>
            </w:pPr>
            <w:hyperlink r:id="rId207">
              <w:r>
                <w:rPr>
                  <w:rFonts w:ascii="Times New Roman" w:cs="Times New Roman" w:eastAsia="Times New Roman" w:hAnsi="Times New Roman"/>
                  <w:sz w:val="18"/>
                  <w:szCs w:val="18"/>
                  <w:color w:val="0000EE"/>
                  <w:w w:val="96"/>
                </w:rPr>
                <w:t>Agreement, dated February 12, 2016,</w:t>
              </w:r>
            </w:hyperlink>
          </w:p>
        </w:tc>
        <w:tc>
          <w:tcPr>
            <w:tcW w:w="620" w:type="dxa"/>
            <w:vAlign w:val="bottom"/>
            <w:gridSpan w:val="26"/>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0" w:type="dxa"/>
            <w:vAlign w:val="bottom"/>
            <w:gridSpan w:val="45"/>
          </w:tcPr>
          <w:p>
            <w:pPr>
              <w:spacing w:after="0" w:line="182"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between Registrant and ARE-MA Region No. 55</w:t>
              </w:r>
            </w:hyperlink>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Exchange Holding LLC</w:t>
              </w:r>
            </w:hyperlink>
          </w:p>
        </w:tc>
        <w:tc>
          <w:tcPr>
            <w:tcW w:w="1860" w:type="dxa"/>
            <w:vAlign w:val="bottom"/>
            <w:tcBorders>
              <w:top w:val="single" w:sz="8" w:color="0000EE"/>
            </w:tcBorders>
            <w:gridSpan w:val="28"/>
          </w:tcPr>
          <w:p>
            <w:pPr>
              <w:spacing w:after="0"/>
              <w:rPr>
                <w:sz w:val="14"/>
                <w:szCs w:val="14"/>
                <w:color w:val="auto"/>
              </w:rPr>
            </w:pPr>
          </w:p>
        </w:tc>
        <w:tc>
          <w:tcPr>
            <w:tcW w:w="200" w:type="dxa"/>
            <w:vAlign w:val="bottom"/>
            <w:gridSpan w:val="10"/>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43"/>
          </w:tcPr>
          <w:p>
            <w:pPr>
              <w:ind w:left="3440"/>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920" w:type="dxa"/>
            <w:vAlign w:val="bottom"/>
            <w:tcBorders>
              <w:bottom w:val="single" w:sz="8" w:color="auto"/>
            </w:tcBorders>
            <w:gridSpan w:val="57"/>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58"/>
        </w:trPr>
        <w:tc>
          <w:tcPr>
            <w:tcW w:w="8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Date of</w:t>
            </w:r>
          </w:p>
        </w:tc>
        <w:tc>
          <w:tcPr>
            <w:tcW w:w="54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3"/>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0" w:type="dxa"/>
            <w:vAlign w:val="bottom"/>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7"/>
                <w:szCs w:val="17"/>
                <w:color w:val="auto"/>
              </w:rPr>
            </w:pPr>
          </w:p>
        </w:tc>
        <w:tc>
          <w:tcPr>
            <w:tcW w:w="9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10.32</w:t>
            </w:r>
          </w:p>
        </w:tc>
        <w:tc>
          <w:tcPr>
            <w:tcW w:w="38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First Amendment to Lease Agreement, dated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tcBorders>
              <w:top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rPr>
              <w:t>November 15, 2022 between Registrant and</w:t>
            </w:r>
          </w:p>
        </w:tc>
        <w:tc>
          <w:tcPr>
            <w:tcW w:w="58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EE"/>
              </w:rPr>
              <w:t>ARE-</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10.33†</w:t>
            </w:r>
          </w:p>
        </w:tc>
        <w:tc>
          <w:tcPr>
            <w:tcW w:w="3640" w:type="dxa"/>
            <w:vAlign w:val="bottom"/>
            <w:tcBorders>
              <w:top w:val="single" w:sz="8" w:color="0000EE"/>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EE"/>
              </w:rPr>
              <w:t>MA Region No. 55, LLC</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8"/>
              </w:rPr>
              <w:t>1/23/2017</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182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w w:val="97"/>
              </w:rPr>
            </w:pPr>
            <w:hyperlink r:id="rId208">
              <w:r>
                <w:rPr>
                  <w:rFonts w:ascii="Times New Roman" w:cs="Times New Roman" w:eastAsia="Times New Roman" w:hAnsi="Times New Roman"/>
                  <w:sz w:val="18"/>
                  <w:szCs w:val="18"/>
                  <w:color w:val="0000EE"/>
                  <w:w w:val="97"/>
                </w:rPr>
                <w:t>Cpf1 License Agreement,</w:t>
              </w:r>
            </w:hyperlink>
          </w:p>
        </w:tc>
        <w:tc>
          <w:tcPr>
            <w:tcW w:w="2000" w:type="dxa"/>
            <w:vAlign w:val="bottom"/>
            <w:gridSpan w:val="21"/>
          </w:tcPr>
          <w:p>
            <w:pPr>
              <w:ind w:left="80"/>
              <w:spacing w:after="0" w:line="182"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dated as of December 16,</w:t>
              </w:r>
            </w:hyperlink>
          </w:p>
        </w:tc>
        <w:tc>
          <w:tcPr>
            <w:tcW w:w="6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10.34†</w:t>
            </w:r>
          </w:p>
        </w:tc>
        <w:tc>
          <w:tcPr>
            <w:tcW w:w="3800" w:type="dxa"/>
            <w:vAlign w:val="bottom"/>
            <w:tcBorders>
              <w:top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2016, by and between the Registrant and Broad</w:t>
              </w:r>
            </w:hyperlink>
          </w:p>
        </w:tc>
        <w:tc>
          <w:tcPr>
            <w:tcW w:w="20" w:type="dxa"/>
            <w:vAlign w:val="bottom"/>
          </w:tcPr>
          <w:p>
            <w:pPr>
              <w:spacing w:after="0"/>
              <w:rPr>
                <w:sz w:val="15"/>
                <w:szCs w:val="15"/>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8"/>
              </w:rPr>
              <w:t>1/23/2017</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420" w:type="dxa"/>
            <w:vAlign w:val="bottom"/>
            <w:tcBorders>
              <w:top w:val="single" w:sz="8" w:color="0000EE"/>
            </w:tcBorders>
            <w:gridSpan w:val="12"/>
          </w:tcPr>
          <w:p>
            <w:pPr>
              <w:spacing w:after="0" w:line="169"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Cas9-II License Agreement, dated as of</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w w:val="97"/>
              </w:rPr>
            </w:pPr>
            <w:hyperlink r:id="rId209">
              <w:r>
                <w:rPr>
                  <w:rFonts w:ascii="Times New Roman" w:cs="Times New Roman" w:eastAsia="Times New Roman" w:hAnsi="Times New Roman"/>
                  <w:sz w:val="18"/>
                  <w:szCs w:val="18"/>
                  <w:color w:val="0000EE"/>
                  <w:w w:val="97"/>
                </w:rPr>
                <w:t>December 16, 2016, by and between the</w:t>
              </w:r>
            </w:hyperlink>
          </w:p>
        </w:tc>
        <w:tc>
          <w:tcPr>
            <w:tcW w:w="960" w:type="dxa"/>
            <w:vAlign w:val="bottom"/>
            <w:gridSpan w:val="18"/>
          </w:tcPr>
          <w:p>
            <w:pPr>
              <w:ind w:left="80"/>
              <w:spacing w:after="0" w:line="182"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Registrant</w:t>
              </w:r>
            </w:hyperlink>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10.35*</w:t>
            </w:r>
          </w:p>
        </w:tc>
        <w:tc>
          <w:tcPr>
            <w:tcW w:w="3740" w:type="dxa"/>
            <w:vAlign w:val="bottom"/>
            <w:tcBorders>
              <w:top w:val="single" w:sz="8" w:color="0000EE"/>
            </w:tcBorders>
            <w:gridSpan w:val="22"/>
          </w:tcPr>
          <w:p>
            <w:pPr>
              <w:spacing w:after="0" w:line="169"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and Broad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8"/>
              </w:rPr>
              <w:t>2/26/2021</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76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Omnibus</w:t>
              </w:r>
            </w:hyperlink>
          </w:p>
        </w:tc>
        <w:tc>
          <w:tcPr>
            <w:tcW w:w="3060" w:type="dxa"/>
            <w:vAlign w:val="bottom"/>
            <w:gridSpan w:val="23"/>
          </w:tcPr>
          <w:p>
            <w:pPr>
              <w:spacing w:after="0" w:line="182"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Amendment, dated as of January 11,</w:t>
              </w:r>
            </w:hyperlink>
          </w:p>
        </w:tc>
        <w:tc>
          <w:tcPr>
            <w:tcW w:w="6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10.36*</w:t>
            </w:r>
          </w:p>
        </w:tc>
        <w:tc>
          <w:tcPr>
            <w:tcW w:w="334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2021, by and between the Registrant and Broad</w:t>
              </w:r>
            </w:hyperlink>
          </w:p>
        </w:tc>
        <w:tc>
          <w:tcPr>
            <w:tcW w:w="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8"/>
              </w:rPr>
              <w:t>2/26/2020</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820" w:type="dxa"/>
            <w:vAlign w:val="bottom"/>
            <w:gridSpan w:val="26"/>
          </w:tcPr>
          <w:p>
            <w:pPr>
              <w:spacing w:after="0" w:line="169"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Letter Agreement, dated as of November 18, 2019,</w:t>
              </w:r>
            </w:hyperlink>
          </w:p>
        </w:tc>
        <w:tc>
          <w:tcPr>
            <w:tcW w:w="6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3720" w:type="dxa"/>
            <w:vAlign w:val="bottom"/>
            <w:tcBorders>
              <w:top w:val="single" w:sz="8" w:color="0000EE"/>
            </w:tcBorders>
            <w:gridSpan w:val="21"/>
          </w:tcPr>
          <w:p>
            <w:pPr>
              <w:spacing w:after="0" w:line="182"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by and among, the Registrant, Broad and Harvard</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8"/>
              </w:rPr>
              <w:t>2/26/2020</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580" w:type="dxa"/>
            <w:vAlign w:val="bottom"/>
            <w:tcBorders>
              <w:top w:val="single" w:sz="8" w:color="0000EE"/>
              <w:bottom w:val="single" w:sz="8" w:color="0000EE"/>
            </w:tcBorders>
            <w:gridSpan w:val="15"/>
          </w:tcPr>
          <w:p>
            <w:pPr>
              <w:spacing w:after="0" w:line="169" w:lineRule="exact"/>
              <w:rPr>
                <w:rFonts w:ascii="Times New Roman" w:cs="Times New Roman" w:eastAsia="Times New Roman" w:hAnsi="Times New Roman"/>
                <w:sz w:val="18"/>
                <w:szCs w:val="18"/>
                <w:color w:val="0000EE"/>
                <w:w w:val="97"/>
              </w:rPr>
            </w:pPr>
            <w:hyperlink r:id="rId212">
              <w:r>
                <w:rPr>
                  <w:rFonts w:ascii="Times New Roman" w:cs="Times New Roman" w:eastAsia="Times New Roman" w:hAnsi="Times New Roman"/>
                  <w:sz w:val="18"/>
                  <w:szCs w:val="18"/>
                  <w:color w:val="0000EE"/>
                  <w:w w:val="97"/>
                </w:rPr>
                <w:t>Letter Agreement, dated as of December 16, 2019,</w:t>
              </w:r>
            </w:hyperlink>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3700" w:type="dxa"/>
            <w:vAlign w:val="bottom"/>
            <w:gridSpan w:val="20"/>
          </w:tcPr>
          <w:p>
            <w:pPr>
              <w:spacing w:after="0" w:line="182"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by and among, the Registrant, Broad and Harvard</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5"/>
                <w:szCs w:val="15"/>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8"/>
              </w:rPr>
              <w:t>5/14/2021</w:t>
            </w:r>
          </w:p>
        </w:tc>
        <w:tc>
          <w:tcPr>
            <w:tcW w:w="16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3580" w:type="dxa"/>
            <w:vAlign w:val="bottom"/>
            <w:tcBorders>
              <w:top w:val="single" w:sz="8" w:color="0000EE"/>
              <w:bottom w:val="single" w:sz="8" w:color="0000EE"/>
            </w:tcBorders>
            <w:gridSpan w:val="15"/>
          </w:tcPr>
          <w:p>
            <w:pPr>
              <w:spacing w:after="0" w:line="169" w:lineRule="exact"/>
              <w:rPr>
                <w:rFonts w:ascii="Times New Roman" w:cs="Times New Roman" w:eastAsia="Times New Roman" w:hAnsi="Times New Roman"/>
                <w:sz w:val="18"/>
                <w:szCs w:val="18"/>
                <w:color w:val="0000EE"/>
                <w:w w:val="97"/>
              </w:rPr>
            </w:pPr>
            <w:hyperlink r:id="rId213">
              <w:r>
                <w:rPr>
                  <w:rFonts w:ascii="Times New Roman" w:cs="Times New Roman" w:eastAsia="Times New Roman" w:hAnsi="Times New Roman"/>
                  <w:sz w:val="18"/>
                  <w:szCs w:val="18"/>
                  <w:color w:val="0000EE"/>
                  <w:w w:val="97"/>
                </w:rPr>
                <w:t>Common Stock Sales Agreement, dated as of May</w:t>
              </w:r>
            </w:hyperlink>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60" w:type="dxa"/>
            <w:vAlign w:val="bottom"/>
            <w:tcBorders>
              <w:bottom w:val="single" w:sz="8" w:color="0000EE"/>
            </w:tcBorders>
            <w:gridSpan w:val="18"/>
          </w:tcPr>
          <w:p>
            <w:pPr>
              <w:spacing w:after="0" w:line="182" w:lineRule="exact"/>
              <w:rPr>
                <w:rFonts w:ascii="Times New Roman" w:cs="Times New Roman" w:eastAsia="Times New Roman" w:hAnsi="Times New Roman"/>
                <w:sz w:val="18"/>
                <w:szCs w:val="18"/>
                <w:color w:val="0000EE"/>
                <w:w w:val="97"/>
              </w:rPr>
            </w:pPr>
            <w:hyperlink r:id="rId213">
              <w:r>
                <w:rPr>
                  <w:rFonts w:ascii="Times New Roman" w:cs="Times New Roman" w:eastAsia="Times New Roman" w:hAnsi="Times New Roman"/>
                  <w:sz w:val="18"/>
                  <w:szCs w:val="18"/>
                  <w:color w:val="0000EE"/>
                  <w:w w:val="97"/>
                </w:rPr>
                <w:t>14, 2021, by and between the Company and Cowen</w:t>
              </w:r>
            </w:hyperlink>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10.39*</w:t>
            </w:r>
          </w:p>
        </w:tc>
        <w:tc>
          <w:tcPr>
            <w:tcW w:w="3780" w:type="dxa"/>
            <w:vAlign w:val="bottom"/>
            <w:gridSpan w:val="24"/>
          </w:tcPr>
          <w:p>
            <w:pPr>
              <w:spacing w:after="0" w:line="169"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and Company, LLC</w:t>
              </w:r>
            </w:hyperlink>
          </w:p>
        </w:tc>
        <w:tc>
          <w:tcPr>
            <w:tcW w:w="40" w:type="dxa"/>
            <w:vAlign w:val="bottom"/>
            <w:gridSpan w:val="2"/>
          </w:tcPr>
          <w:p>
            <w:pPr>
              <w:spacing w:after="0"/>
              <w:rPr>
                <w:sz w:val="14"/>
                <w:szCs w:val="14"/>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001-37687</w:t>
            </w:r>
          </w:p>
        </w:tc>
        <w:tc>
          <w:tcPr>
            <w:tcW w:w="140" w:type="dxa"/>
            <w:vAlign w:val="bottom"/>
          </w:tcPr>
          <w:p>
            <w:pPr>
              <w:spacing w:after="0"/>
              <w:rPr>
                <w:sz w:val="14"/>
                <w:szCs w:val="14"/>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8"/>
              </w:rPr>
              <w:t>11/6/2020</w:t>
            </w:r>
          </w:p>
        </w:tc>
        <w:tc>
          <w:tcPr>
            <w:tcW w:w="1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820" w:type="dxa"/>
            <w:vAlign w:val="bottom"/>
            <w:gridSpan w:val="26"/>
          </w:tcPr>
          <w:p>
            <w:pPr>
              <w:spacing w:after="0" w:line="182"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Termination Agreement, dated August 5, 2020, by</w:t>
              </w:r>
            </w:hyperlink>
          </w:p>
        </w:tc>
        <w:tc>
          <w:tcPr>
            <w:tcW w:w="6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2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and between the Registrant and Allergan Sales,</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3400" w:type="dxa"/>
            <w:vAlign w:val="bottom"/>
            <w:tcBorders>
              <w:top w:val="single" w:sz="8" w:color="0000EE"/>
            </w:tcBorders>
            <w:gridSpan w:val="11"/>
          </w:tcPr>
          <w:p>
            <w:pPr>
              <w:spacing w:after="0" w:line="169"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LLC</w:t>
              </w:r>
            </w:hyperlink>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214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99"/>
              </w:rPr>
              <w:t>Subsidiaries of the Registrant</w:t>
            </w:r>
          </w:p>
        </w:tc>
        <w:tc>
          <w:tcPr>
            <w:tcW w:w="1680" w:type="dxa"/>
            <w:vAlign w:val="bottom"/>
            <w:gridSpan w:val="19"/>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Ernst &amp; Young</w:t>
            </w:r>
          </w:p>
        </w:tc>
        <w:tc>
          <w:tcPr>
            <w:tcW w:w="1900" w:type="dxa"/>
            <w:vAlign w:val="bottom"/>
            <w:gridSpan w:val="20"/>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38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Rule 13a-14(a) Certification of Principal Executive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3760" w:type="dxa"/>
            <w:vAlign w:val="bottom"/>
            <w:tcBorders>
              <w:top w:val="single" w:sz="8" w:color="0000EE"/>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EE"/>
              </w:rPr>
              <w:t>Officer</w:t>
            </w: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9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2"/>
            <w:vMerge w:val="continue"/>
          </w:tcPr>
          <w:p>
            <w:pPr>
              <w:spacing w:after="0"/>
              <w:rPr>
                <w:sz w:val="15"/>
                <w:szCs w:val="15"/>
                <w:color w:val="auto"/>
              </w:rPr>
            </w:pPr>
          </w:p>
        </w:tc>
        <w:tc>
          <w:tcPr>
            <w:tcW w:w="3680" w:type="dxa"/>
            <w:vAlign w:val="bottom"/>
            <w:tcBorders>
              <w:bottom w:val="single" w:sz="8" w:color="0000EE"/>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Rule 13a-14(a) Certification of Principal Financial</w:t>
            </w:r>
          </w:p>
        </w:tc>
        <w:tc>
          <w:tcPr>
            <w:tcW w:w="140" w:type="dxa"/>
            <w:vAlign w:val="bottom"/>
            <w:gridSpan w:val="7"/>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Officer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9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w w:val="96"/>
              </w:rPr>
              <w:t>Principal Financial Officer pursuant to 18 U.S.C.</w:t>
            </w:r>
          </w:p>
        </w:tc>
        <w:tc>
          <w:tcPr>
            <w:tcW w:w="100" w:type="dxa"/>
            <w:vAlign w:val="bottom"/>
            <w:tcBorders>
              <w:bottom w:val="single" w:sz="8" w:color="0000EE"/>
            </w:tcBorders>
          </w:tcPr>
          <w:p>
            <w:pPr>
              <w:spacing w:after="0"/>
              <w:rPr>
                <w:sz w:val="15"/>
                <w:szCs w:val="15"/>
                <w:color w:val="auto"/>
              </w:rPr>
            </w:pPr>
          </w:p>
        </w:tc>
        <w:tc>
          <w:tcPr>
            <w:tcW w:w="280" w:type="dxa"/>
            <w:vAlign w:val="bottom"/>
            <w:gridSpan w:val="12"/>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§1350</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920" w:right="59" w:hanging="412"/>
        <w:spacing w:after="0" w:line="249" w:lineRule="auto"/>
        <w:tabs>
          <w:tab w:leader="none" w:pos="9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The following financial statements from the Company’s Annual Report on Form 10-K for the year ended December 31, 2022, formatted in Inline XBRL (eXtensible Business Reporting Language): (i) Consolidated Balance Sheets, (ii) Consolidated Statements of Operations, (iii) Consolidated Statements of Comprehensive Loss, (iv) Consolidated Statement of Stockholders’ Equity, (v) Consolidated Statements of Cash Flows and (vi)</w:t>
      </w:r>
    </w:p>
    <w:p>
      <w:pPr>
        <w:ind w:left="920"/>
        <w:spacing w:after="0" w:line="219" w:lineRule="auto"/>
        <w:rPr>
          <w:sz w:val="20"/>
          <w:szCs w:val="20"/>
          <w:color w:val="auto"/>
        </w:rPr>
      </w:pPr>
      <w:r>
        <w:rPr>
          <w:rFonts w:ascii="Times New Roman" w:cs="Times New Roman" w:eastAsia="Times New Roman" w:hAnsi="Times New Roman"/>
          <w:sz w:val="18"/>
          <w:szCs w:val="18"/>
          <w:color w:val="212529"/>
        </w:rPr>
        <w:t>Notes to Condensed Consolidated Financial Statements, tagged as blocks of text and including detailed tags.</w:t>
      </w:r>
    </w:p>
    <w:p>
      <w:pPr>
        <w:spacing w:after="0" w:line="1" w:lineRule="exact"/>
        <w:rPr>
          <w:sz w:val="20"/>
          <w:szCs w:val="20"/>
          <w:color w:val="auto"/>
        </w:rPr>
      </w:pPr>
    </w:p>
    <w:p>
      <w:pPr>
        <w:ind w:left="920" w:right="419" w:hanging="412"/>
        <w:spacing w:after="0" w:line="243" w:lineRule="auto"/>
        <w:tabs>
          <w:tab w:leader="none" w:pos="9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the Company’s Annual Report on Form 10-K for the year ended December 31, 2022, formatted in Inline XBRL.</w:t>
      </w:r>
    </w:p>
    <w:p>
      <w:pPr>
        <w:spacing w:after="0" w:line="397" w:lineRule="exact"/>
        <w:rPr>
          <w:rFonts w:ascii="Times New Roman" w:cs="Times New Roman" w:eastAsia="Times New Roman" w:hAnsi="Times New Roman"/>
          <w:sz w:val="18"/>
          <w:szCs w:val="18"/>
          <w:color w:val="auto"/>
        </w:rPr>
      </w:pPr>
    </w:p>
    <w:p>
      <w:pPr>
        <w:ind w:left="700" w:right="719" w:hanging="656"/>
        <w:spacing w:after="0" w:line="254" w:lineRule="auto"/>
        <w:tabs>
          <w:tab w:leader="none" w:pos="6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which portions have been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-334645</wp:posOffset>
            </wp:positionV>
            <wp:extent cx="14141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ind w:left="700" w:right="199" w:hanging="656"/>
        <w:spacing w:after="0" w:line="249"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Certain portions of this exhibit have been omitted because they are not material and are information of the type that the registrant</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customarily and actually treats as private or confidential.</w:t>
      </w:r>
    </w:p>
    <w:p>
      <w:pPr>
        <w:spacing w:after="0" w:line="9" w:lineRule="exact"/>
        <w:rPr>
          <w:sz w:val="20"/>
          <w:szCs w:val="20"/>
          <w:color w:val="auto"/>
        </w:rPr>
      </w:pPr>
    </w:p>
    <w:p>
      <w:pPr>
        <w:ind w:left="680" w:hanging="636"/>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60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EDITAS MEDICINE, INC.</w:t>
            </w:r>
          </w:p>
        </w:tc>
      </w:tr>
      <w:tr>
        <w:trPr>
          <w:trHeight w:val="64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22, 2023</w:t>
            </w:r>
          </w:p>
        </w:tc>
        <w:tc>
          <w:tcPr>
            <w:tcW w:w="60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Gilmore O’Neill</w:t>
            </w:r>
          </w:p>
        </w:tc>
      </w:tr>
      <w:tr>
        <w:trPr>
          <w:trHeight w:val="191"/>
        </w:trPr>
        <w:tc>
          <w:tcPr>
            <w:tcW w:w="2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Gilmore O’Neill</w:t>
            </w:r>
          </w:p>
        </w:tc>
      </w:tr>
      <w:tr>
        <w:trPr>
          <w:trHeight w:val="234"/>
        </w:trPr>
        <w:tc>
          <w:tcPr>
            <w:tcW w:w="2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880" w:type="dxa"/>
            <w:vAlign w:val="bottom"/>
          </w:tcPr>
          <w:p>
            <w:pPr>
              <w:spacing w:after="0"/>
              <w:rPr>
                <w:sz w:val="24"/>
                <w:szCs w:val="24"/>
                <w:color w:val="auto"/>
              </w:rPr>
            </w:pPr>
          </w:p>
        </w:tc>
        <w:tc>
          <w:tcPr>
            <w:tcW w:w="60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198"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17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28575</wp:posOffset>
            </wp:positionV>
            <wp:extent cx="17570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5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Gilmore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Gilmore O’Neill, M.B., M.M.Sc.</w:t>
      </w:r>
    </w:p>
    <w:p>
      <w:pPr>
        <w:spacing w:after="0" w:line="33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James C.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James C. Mullen</w:t>
      </w:r>
    </w:p>
    <w:p>
      <w:pPr>
        <w:spacing w:after="0" w:line="3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Meeta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Meeta Chatterjee, Ph.D.</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Bernadette Connaughton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Bernadette Connaughton</w:t>
      </w:r>
    </w:p>
    <w:p>
      <w:pPr>
        <w:spacing w:after="0" w:line="26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Andrew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Andrew Hirsch</w:t>
      </w:r>
    </w:p>
    <w:p>
      <w:pPr>
        <w:spacing w:after="0" w:line="3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Jessica Hopfield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Jessica Hopfield, Ph.D.</w:t>
      </w:r>
    </w:p>
    <w:p>
      <w:pPr>
        <w:spacing w:after="0" w:line="3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Emma Reeve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Emma Reeve</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David Scadden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7570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David Scadden, M.D.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28575</wp:posOffset>
            </wp:positionV>
            <wp:extent cx="22974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90"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President and Chief Executive Officer, Director (principal executive officer)</w:t>
      </w:r>
    </w:p>
    <w:p>
      <w:pPr>
        <w:spacing w:after="0" w:line="324"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200" w:lineRule="exact"/>
        <w:rPr>
          <w:sz w:val="20"/>
          <w:szCs w:val="20"/>
          <w:color w:val="auto"/>
        </w:rPr>
      </w:pPr>
    </w:p>
    <w:p>
      <w:pPr>
        <w:spacing w:after="0" w:line="2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12172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508" w:lineRule="exact"/>
        <w:rPr>
          <w:sz w:val="20"/>
          <w:szCs w:val="20"/>
          <w:color w:val="auto"/>
        </w:rPr>
      </w:pPr>
    </w:p>
    <w:p>
      <w:pPr>
        <w:sectPr>
          <w:pgSz w:w="11900" w:h="16838" w:orient="portrait"/>
          <w:cols w:equalWidth="0" w:num="3">
            <w:col w:w="2720" w:space="500"/>
            <w:col w:w="3420" w:space="300"/>
            <w:col w:w="2079"/>
          </w:cols>
          <w:pgMar w:left="1440" w:top="513"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40" w:type="dxa"/>
        <w:tblCellMar>
          <w:top w:w="0" w:type="dxa"/>
          <w:left w:w="0" w:type="dxa"/>
          <w:bottom w:w="0" w:type="dxa"/>
          <w:right w:w="0" w:type="dxa"/>
        </w:tblCellMar>
      </w:tblPr>
      <w:tr>
        <w:trPr>
          <w:trHeight w:val="261"/>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Akshay K. Vaishnaw</w:t>
            </w:r>
          </w:p>
        </w:tc>
        <w:tc>
          <w:tcPr>
            <w:tcW w:w="31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22, 2023</w:t>
            </w:r>
          </w:p>
        </w:tc>
      </w:tr>
      <w:tr>
        <w:trPr>
          <w:trHeight w:val="25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Akshay K. Vaishnaw, M.D., Ph.D.</w:t>
            </w:r>
          </w:p>
        </w:tc>
        <w:tc>
          <w:tcPr>
            <w:tcW w:w="3160" w:type="dxa"/>
            <w:vAlign w:val="bottom"/>
          </w:tcPr>
          <w:p>
            <w:pPr>
              <w:spacing w:after="0"/>
              <w:rPr>
                <w:sz w:val="21"/>
                <w:szCs w:val="21"/>
                <w:color w:val="auto"/>
              </w:rPr>
            </w:pPr>
          </w:p>
        </w:tc>
        <w:tc>
          <w:tcPr>
            <w:tcW w:w="21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AMENDMENT TO LEASE AGREEMENT</w:t>
      </w:r>
    </w:p>
    <w:p>
      <w:pPr>
        <w:spacing w:after="0" w:line="194"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THIS FIRST AMENDMENT TO LEASE AGREEMENT (this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made as of November 15, 2022, by and between </w:t>
      </w:r>
      <w:r>
        <w:rPr>
          <w:rFonts w:ascii="Arial" w:cs="Arial" w:eastAsia="Arial" w:hAnsi="Arial"/>
          <w:sz w:val="18"/>
          <w:szCs w:val="18"/>
          <w:b w:val="1"/>
          <w:bCs w:val="1"/>
          <w:color w:val="auto"/>
        </w:rPr>
        <w:t>ARE-MA REGION NO. 55,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EDITAS MEDICINE,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ind w:left="200" w:right="219" w:firstLine="657"/>
        <w:spacing w:after="0" w:line="242" w:lineRule="auto"/>
        <w:tabs>
          <w:tab w:leader="none" w:pos="1496"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Lease Agreement dated as of February 12, 2016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that certain premises consisting of approximately 59,783 rentable square feet and comprising the entirety of that certain building located at 11 Hurley Street, Cambridge, Massachusetts ("</w:t>
      </w:r>
      <w:r>
        <w:rPr>
          <w:rFonts w:ascii="Arial" w:cs="Arial" w:eastAsia="Arial" w:hAnsi="Arial"/>
          <w:sz w:val="18"/>
          <w:szCs w:val="18"/>
          <w:b w:val="1"/>
          <w:bCs w:val="1"/>
          <w:color w:val="auto"/>
        </w:rPr>
        <w:t>Premises</w:t>
      </w:r>
      <w:r>
        <w:rPr>
          <w:rFonts w:ascii="Arial" w:cs="Arial" w:eastAsia="Arial" w:hAnsi="Arial"/>
          <w:sz w:val="18"/>
          <w:szCs w:val="18"/>
          <w:color w:val="auto"/>
        </w:rPr>
        <w:t>"). The Premises are more particularly described in the Lease. Capitalized terms used herein without definition shall have the meanings defined for such terms in the Lease.</w:t>
      </w:r>
    </w:p>
    <w:p>
      <w:pPr>
        <w:spacing w:after="0" w:line="178" w:lineRule="exact"/>
        <w:rPr>
          <w:rFonts w:ascii="Arial" w:cs="Arial" w:eastAsia="Arial" w:hAnsi="Arial"/>
          <w:sz w:val="18"/>
          <w:szCs w:val="18"/>
          <w:b w:val="1"/>
          <w:bCs w:val="1"/>
          <w:color w:val="auto"/>
        </w:rPr>
      </w:pPr>
    </w:p>
    <w:p>
      <w:pPr>
        <w:ind w:left="200" w:right="239" w:firstLine="657"/>
        <w:spacing w:after="0" w:line="281" w:lineRule="auto"/>
        <w:tabs>
          <w:tab w:leader="none" w:pos="1496"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Base Term of the Lease is scheduled to expire on October 31, 2023 (the "</w:t>
      </w:r>
      <w:r>
        <w:rPr>
          <w:rFonts w:ascii="Arial" w:cs="Arial" w:eastAsia="Arial" w:hAnsi="Arial"/>
          <w:sz w:val="18"/>
          <w:szCs w:val="18"/>
          <w:b w:val="1"/>
          <w:bCs w:val="1"/>
          <w:color w:val="auto"/>
        </w:rPr>
        <w:t>Current</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36" w:lineRule="exact"/>
        <w:rPr>
          <w:rFonts w:ascii="Arial" w:cs="Arial" w:eastAsia="Arial" w:hAnsi="Arial"/>
          <w:sz w:val="18"/>
          <w:szCs w:val="18"/>
          <w:b w:val="1"/>
          <w:bCs w:val="1"/>
          <w:color w:val="auto"/>
        </w:rPr>
      </w:pPr>
    </w:p>
    <w:p>
      <w:pPr>
        <w:jc w:val="both"/>
        <w:ind w:left="200" w:right="219" w:firstLine="657"/>
        <w:spacing w:after="0" w:line="257" w:lineRule="auto"/>
        <w:tabs>
          <w:tab w:leader="none" w:pos="1496"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On August 15, 2022, Tenant properly exercised its Extension Right (as defined in Section 39 of the Lease), extending the Base Term of the Lease for an additional five (5) years through October 31, 2028 (the “</w:t>
      </w:r>
      <w:r>
        <w:rPr>
          <w:rFonts w:ascii="Arial" w:cs="Arial" w:eastAsia="Arial" w:hAnsi="Arial"/>
          <w:sz w:val="18"/>
          <w:szCs w:val="18"/>
          <w:b w:val="1"/>
          <w:bCs w:val="1"/>
          <w:color w:val="auto"/>
        </w:rPr>
        <w:t>Extension Term</w:t>
      </w:r>
      <w:r>
        <w:rPr>
          <w:rFonts w:ascii="Arial" w:cs="Arial" w:eastAsia="Arial" w:hAnsi="Arial"/>
          <w:sz w:val="18"/>
          <w:szCs w:val="18"/>
          <w:color w:val="auto"/>
        </w:rPr>
        <w:t>”).</w:t>
      </w:r>
    </w:p>
    <w:p>
      <w:pPr>
        <w:spacing w:after="0" w:line="158" w:lineRule="exact"/>
        <w:rPr>
          <w:rFonts w:ascii="Arial" w:cs="Arial" w:eastAsia="Arial" w:hAnsi="Arial"/>
          <w:sz w:val="18"/>
          <w:szCs w:val="18"/>
          <w:b w:val="1"/>
          <w:bCs w:val="1"/>
          <w:color w:val="auto"/>
        </w:rPr>
      </w:pPr>
    </w:p>
    <w:p>
      <w:pPr>
        <w:ind w:left="1500" w:hanging="643"/>
        <w:spacing w:after="0"/>
        <w:tabs>
          <w:tab w:leader="none" w:pos="15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parties agreed to enter into this First Amendment in order to memorialize the terms of</w:t>
      </w:r>
    </w:p>
    <w:p>
      <w:pPr>
        <w:spacing w:after="0" w:line="13"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color w:val="auto"/>
        </w:rPr>
        <w:t>the extension.</w:t>
      </w:r>
    </w:p>
    <w:p>
      <w:pPr>
        <w:spacing w:after="0" w:line="194"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reference, the mutual promises and conditions contained herein, and for other good and valuable consideration, the receipt and sufficiency of which are hereby acknowledged, Landlord and Tenant hereby agree as follows:</w:t>
      </w:r>
    </w:p>
    <w:p>
      <w:pPr>
        <w:spacing w:after="0" w:line="174" w:lineRule="exact"/>
        <w:rPr>
          <w:sz w:val="20"/>
          <w:szCs w:val="20"/>
          <w:color w:val="auto"/>
        </w:rPr>
      </w:pPr>
    </w:p>
    <w:p>
      <w:pPr>
        <w:jc w:val="both"/>
        <w:ind w:left="860" w:right="219" w:hanging="651"/>
        <w:spacing w:after="0" w:line="242" w:lineRule="auto"/>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the Lease is extended through the end of the Extension Term.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occupancy of the Premises through the Extension Term shall be on an “as-is” basis and Landlord shall have no obligation to provide any tenant improvement allowance or make any alterations to the Premises, unless expressly set forth in the Lease. Notwithstanding anything to the contrary in the Lease, Tenant shall have no right to extend the term of the Lease beyond the end of the Extension Term.</w:t>
      </w:r>
    </w:p>
    <w:p>
      <w:pPr>
        <w:spacing w:after="0" w:line="178" w:lineRule="exact"/>
        <w:rPr>
          <w:rFonts w:ascii="Arial" w:cs="Arial" w:eastAsia="Arial" w:hAnsi="Arial"/>
          <w:sz w:val="18"/>
          <w:szCs w:val="18"/>
          <w:b w:val="1"/>
          <w:bCs w:val="1"/>
          <w:color w:val="auto"/>
        </w:rPr>
      </w:pPr>
    </w:p>
    <w:p>
      <w:pPr>
        <w:jc w:val="both"/>
        <w:ind w:left="860" w:right="219" w:hanging="651"/>
        <w:spacing w:after="0"/>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Tenant shall continue to pay Base Rent as set forth in the Lease through the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 Commencing on November 1, 2023 (the “</w:t>
      </w:r>
      <w:r>
        <w:rPr>
          <w:rFonts w:ascii="Arial" w:cs="Arial" w:eastAsia="Arial" w:hAnsi="Arial"/>
          <w:sz w:val="18"/>
          <w:szCs w:val="18"/>
          <w:b w:val="1"/>
          <w:bCs w:val="1"/>
          <w:color w:val="auto"/>
        </w:rPr>
        <w:t>Extension Commencement Date</w:t>
      </w:r>
      <w:r>
        <w:rPr>
          <w:rFonts w:ascii="Arial" w:cs="Arial" w:eastAsia="Arial" w:hAnsi="Arial"/>
          <w:sz w:val="18"/>
          <w:szCs w:val="18"/>
          <w:color w:val="auto"/>
        </w:rPr>
        <w:t>”), Tenant shall pay Base Rent of $107 per rentable square foot of the Premises per year. On each annual anniversary of the Extension Commencement Date (each, a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Adjustment Date</w:t>
      </w:r>
      <w:r>
        <w:rPr>
          <w:rFonts w:ascii="Arial" w:cs="Arial" w:eastAsia="Arial" w:hAnsi="Arial"/>
          <w:sz w:val="18"/>
          <w:szCs w:val="18"/>
          <w:color w:val="auto"/>
        </w:rPr>
        <w:t>”), the Base Rent payable shall be increased by multiplying the 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immediately before such First Amendment Adjustment Date by 3% and adding the resulting amount to the Base Rent payable immediately before such First Amendment Adjustment Date.</w:t>
      </w:r>
    </w:p>
    <w:p>
      <w:pPr>
        <w:spacing w:after="0" w:line="180" w:lineRule="exact"/>
        <w:rPr>
          <w:rFonts w:ascii="Arial" w:cs="Arial" w:eastAsia="Arial" w:hAnsi="Arial"/>
          <w:sz w:val="18"/>
          <w:szCs w:val="18"/>
          <w:b w:val="1"/>
          <w:bCs w:val="1"/>
          <w:color w:val="auto"/>
        </w:rPr>
      </w:pPr>
    </w:p>
    <w:p>
      <w:pPr>
        <w:jc w:val="both"/>
        <w:ind w:left="860" w:right="219" w:hanging="651"/>
        <w:spacing w:after="0" w:line="253" w:lineRule="auto"/>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 Tenant shall continue to pay all Additional Rent due under the Lease,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Tenant’s Share of Operating Expenses, Utilities, Taxes, and all of Tenant’s direct costs for Utilities relating to the Premises through the Extension Term.</w:t>
      </w:r>
    </w:p>
    <w:p>
      <w:pPr>
        <w:spacing w:after="0" w:line="168" w:lineRule="exact"/>
        <w:rPr>
          <w:rFonts w:ascii="Arial" w:cs="Arial" w:eastAsia="Arial" w:hAnsi="Arial"/>
          <w:sz w:val="18"/>
          <w:szCs w:val="18"/>
          <w:b w:val="1"/>
          <w:bCs w:val="1"/>
          <w:color w:val="auto"/>
        </w:rPr>
      </w:pPr>
    </w:p>
    <w:p>
      <w:pPr>
        <w:jc w:val="both"/>
        <w:ind w:left="860" w:right="239" w:hanging="651"/>
        <w:spacing w:after="0" w:line="247" w:lineRule="auto"/>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Landlord hereby acknowledges that, as of the date hereof, Tenant has met the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Requirements set forth in Section 6 of the Lease. Upon Landlord’s receipt of a replacement Letter of Credit in the amount of the Reduced Security Deposit, Landlord shall return the original Letter of Credit to Tenant within 30 days of Tenant’s delivery of such replacement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2" w:name="page163"/>
    <w:bookmarkEnd w:id="162"/>
    <w:p>
      <w:pPr>
        <w:ind w:left="860" w:right="219"/>
        <w:spacing w:after="0" w:line="270" w:lineRule="auto"/>
        <w:rPr>
          <w:sz w:val="20"/>
          <w:szCs w:val="20"/>
          <w:color w:val="auto"/>
        </w:rPr>
      </w:pPr>
      <w:r>
        <w:rPr>
          <w:rFonts w:ascii="Arial" w:cs="Arial" w:eastAsia="Arial" w:hAnsi="Arial"/>
          <w:sz w:val="18"/>
          <w:szCs w:val="18"/>
          <w:color w:val="auto"/>
        </w:rPr>
        <w:t>of Credit. From and after the date such monies are returned to Tenant, the Security Deposit shall be deemed to be the Reduced Security Deposit.</w:t>
      </w:r>
    </w:p>
    <w:p>
      <w:pPr>
        <w:spacing w:after="0" w:line="155" w:lineRule="exact"/>
        <w:rPr>
          <w:sz w:val="20"/>
          <w:szCs w:val="20"/>
          <w:color w:val="auto"/>
        </w:rPr>
      </w:pPr>
    </w:p>
    <w:p>
      <w:pPr>
        <w:jc w:val="both"/>
        <w:ind w:left="860" w:right="219" w:hanging="651"/>
        <w:spacing w:after="0"/>
        <w:tabs>
          <w:tab w:leader="none" w:pos="8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except for Jones Lang LaSalle</w:t>
      </w:r>
      <w:r>
        <w:rPr>
          <w:rFonts w:ascii="Arial" w:cs="Arial" w:eastAsia="Arial" w:hAnsi="Arial"/>
          <w:sz w:val="18"/>
          <w:szCs w:val="18"/>
          <w:b w:val="1"/>
          <w:bCs w:val="1"/>
          <w:color w:val="auto"/>
        </w:rPr>
        <w:t xml:space="preserve"> </w:t>
      </w:r>
      <w:r>
        <w:rPr>
          <w:rFonts w:ascii="Arial" w:cs="Arial" w:eastAsia="Arial" w:hAnsi="Arial"/>
          <w:sz w:val="18"/>
          <w:szCs w:val="18"/>
          <w:color w:val="auto"/>
        </w:rPr>
        <w:t>and Cushman &amp; Wakefield, it has not dealt with any other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First Amendment and that no Broker brought about this transaction. Landlord and Tenant each hereby agrees to indemnify and hold the other harmless from and against any claims by any Broker, other than Jones Lang LaSalle and Cushman &amp; Wakefield, claiming a commission or other form of compensation by virtue of having dealt with Tenant or Landlord, as applicable, with regard to this First Amendment.</w:t>
      </w:r>
    </w:p>
    <w:p>
      <w:pPr>
        <w:spacing w:after="0" w:line="184" w:lineRule="exact"/>
        <w:rPr>
          <w:rFonts w:ascii="Arial" w:cs="Arial" w:eastAsia="Arial" w:hAnsi="Arial"/>
          <w:sz w:val="18"/>
          <w:szCs w:val="18"/>
          <w:b w:val="1"/>
          <w:bCs w:val="1"/>
          <w:color w:val="auto"/>
        </w:rPr>
      </w:pPr>
    </w:p>
    <w:p>
      <w:pPr>
        <w:jc w:val="both"/>
        <w:ind w:left="860" w:right="219" w:hanging="651"/>
        <w:spacing w:after="0" w:line="239" w:lineRule="auto"/>
        <w:tabs>
          <w:tab w:leader="none" w:pos="8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is (a) in compliance with and shall at all times during the Term of the Lease remain</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3" w:lineRule="exact"/>
        <w:rPr>
          <w:rFonts w:ascii="Arial" w:cs="Arial" w:eastAsia="Arial" w:hAnsi="Arial"/>
          <w:sz w:val="18"/>
          <w:szCs w:val="18"/>
          <w:b w:val="1"/>
          <w:bCs w:val="1"/>
          <w:color w:val="auto"/>
        </w:rPr>
      </w:pPr>
    </w:p>
    <w:p>
      <w:pPr>
        <w:ind w:left="860" w:hanging="651"/>
        <w:spacing w:after="0"/>
        <w:tabs>
          <w:tab w:leader="none" w:pos="8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jc w:val="both"/>
        <w:ind w:left="860" w:right="219" w:hanging="3"/>
        <w:spacing w:after="0" w:line="247" w:lineRule="auto"/>
        <w:tabs>
          <w:tab w:leader="none" w:pos="167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This First Amendment, together with the Lease,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73" w:lineRule="exact"/>
        <w:rPr>
          <w:rFonts w:ascii="Arial" w:cs="Arial" w:eastAsia="Arial" w:hAnsi="Arial"/>
          <w:sz w:val="18"/>
          <w:szCs w:val="18"/>
          <w:b w:val="1"/>
          <w:bCs w:val="1"/>
          <w:color w:val="auto"/>
        </w:rPr>
      </w:pPr>
    </w:p>
    <w:p>
      <w:pPr>
        <w:ind w:left="860" w:right="219" w:hanging="3"/>
        <w:spacing w:after="0" w:line="271" w:lineRule="auto"/>
        <w:tabs>
          <w:tab w:leader="none" w:pos="167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This First Amendment is binding upon and shall inure to the benefit of the parties hereto, their respective successors in interest and assigns.</w:t>
      </w:r>
    </w:p>
    <w:p>
      <w:pPr>
        <w:spacing w:after="0" w:line="153" w:lineRule="exact"/>
        <w:rPr>
          <w:rFonts w:ascii="Arial" w:cs="Arial" w:eastAsia="Arial" w:hAnsi="Arial"/>
          <w:sz w:val="18"/>
          <w:szCs w:val="18"/>
          <w:b w:val="1"/>
          <w:bCs w:val="1"/>
          <w:color w:val="auto"/>
        </w:rPr>
      </w:pPr>
    </w:p>
    <w:p>
      <w:pPr>
        <w:jc w:val="both"/>
        <w:ind w:left="860" w:right="219" w:hanging="3"/>
        <w:spacing w:after="0" w:line="245" w:lineRule="auto"/>
        <w:tabs>
          <w:tab w:leader="none" w:pos="167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This First Amendment may be executed in 2 or more counterparts, each of which shall be deemed an original, but all of which together shall constitute one and the same instrument.</w:t>
      </w:r>
    </w:p>
    <w:p>
      <w:pPr>
        <w:jc w:val="both"/>
        <w:ind w:left="860" w:right="219" w:firstLine="101"/>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spacing w:after="0" w:line="181" w:lineRule="exact"/>
        <w:rPr>
          <w:rFonts w:ascii="Arial" w:cs="Arial" w:eastAsia="Arial" w:hAnsi="Arial"/>
          <w:sz w:val="18"/>
          <w:szCs w:val="18"/>
          <w:b w:val="1"/>
          <w:bCs w:val="1"/>
          <w:color w:val="auto"/>
        </w:rPr>
      </w:pPr>
    </w:p>
    <w:p>
      <w:pPr>
        <w:jc w:val="both"/>
        <w:ind w:left="860" w:right="219" w:hanging="3"/>
        <w:spacing w:after="0"/>
        <w:tabs>
          <w:tab w:leader="none" w:pos="167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98" w:lineRule="exact"/>
        <w:rPr>
          <w:rFonts w:ascii="Arial" w:cs="Arial" w:eastAsia="Arial" w:hAnsi="Arial"/>
          <w:sz w:val="18"/>
          <w:szCs w:val="18"/>
          <w:b w:val="1"/>
          <w:bCs w:val="1"/>
          <w:color w:val="auto"/>
        </w:rPr>
      </w:pPr>
    </w:p>
    <w:p>
      <w:pPr>
        <w:jc w:val="both"/>
        <w:ind w:left="860" w:right="219" w:hanging="3"/>
        <w:spacing w:after="0" w:line="237" w:lineRule="auto"/>
        <w:tabs>
          <w:tab w:leader="none" w:pos="1508" w:val="left"/>
        </w:tabs>
        <w:numPr>
          <w:ilvl w:val="1"/>
          <w:numId w:val="68"/>
        </w:numPr>
        <w:rPr>
          <w:rFonts w:ascii="Arial" w:cs="Arial" w:eastAsia="Arial" w:hAnsi="Arial"/>
          <w:sz w:val="20"/>
          <w:szCs w:val="20"/>
          <w:b w:val="1"/>
          <w:bCs w:val="1"/>
          <w:color w:val="auto"/>
        </w:rPr>
      </w:pPr>
      <w:r>
        <w:rPr>
          <w:rFonts w:ascii="Arial" w:cs="Arial" w:eastAsia="Arial" w:hAnsi="Arial"/>
          <w:sz w:val="18"/>
          <w:szCs w:val="18"/>
          <w:color w:val="auto"/>
        </w:rPr>
        <w:t>Tenant acknowledges that Landlord’s business operations are proprietary to Landlord. Absent prior written consent from Landlord, Tenant shall hold confidential and will not disclose to third parties, and shall require Tenant Parties to hold confidential and not disclose to third parties, information regarding the systems, controls, equipment, programming, vendors, tenants, and specialized amenities of Landlord.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3" w:name="page164"/>
    <w:bookmarkEnd w:id="163"/>
    <w:p>
      <w:pPr>
        <w:ind w:left="200" w:right="219" w:firstLine="648"/>
        <w:spacing w:after="0" w:line="27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First Amendment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3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TENANT:</w:t>
      </w:r>
    </w:p>
    <w:p>
      <w:pPr>
        <w:spacing w:after="0" w:line="193"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EDITAS MEDICINE, INC.</w:t>
      </w:r>
      <w:r>
        <w:rPr>
          <w:rFonts w:ascii="Arial" w:cs="Arial" w:eastAsia="Arial" w:hAnsi="Arial"/>
          <w:sz w:val="20"/>
          <w:szCs w:val="20"/>
          <w:color w:val="auto"/>
        </w:rPr>
        <w:t>,</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 Delaware corporation</w:t>
      </w:r>
    </w:p>
    <w:p>
      <w:pPr>
        <w:spacing w:after="0" w:line="38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Gilmore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8890</wp:posOffset>
            </wp:positionV>
            <wp:extent cx="27774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580" w:hanging="159"/>
        <w:spacing w:after="0"/>
        <w:tabs>
          <w:tab w:leader="none" w:pos="4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President and CEO</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X I hereby certify that the signature, name,</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and title 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ARE-MA REGION NO. 55, LLC,</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 Delaware limited liability company</w:t>
      </w:r>
    </w:p>
    <w:p>
      <w:pPr>
        <w:spacing w:after="0" w:line="180" w:lineRule="exact"/>
        <w:rPr>
          <w:sz w:val="20"/>
          <w:szCs w:val="20"/>
          <w:color w:val="auto"/>
        </w:rPr>
      </w:pPr>
    </w:p>
    <w:p>
      <w:pPr>
        <w:ind w:left="4180"/>
        <w:spacing w:after="0"/>
        <w:tabs>
          <w:tab w:leader="none" w:pos="4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ALEXANDRIA REAL ESTATE EQUITIES, L.P.,</w:t>
      </w:r>
    </w:p>
    <w:p>
      <w:pPr>
        <w:spacing w:after="0" w:line="3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 Delaware limited partnership,</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managing member</w:t>
      </w:r>
    </w:p>
    <w:p>
      <w:pPr>
        <w:spacing w:after="0" w:line="253"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7"/>
          <w:szCs w:val="17"/>
          <w:color w:val="auto"/>
        </w:rPr>
        <w:t>ARE-QRS CORP.,</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 Maryland corporation,</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7"/>
          <w:szCs w:val="17"/>
          <w:color w:val="auto"/>
        </w:rPr>
        <w:t>_</w:t>
      </w:r>
      <w:r>
        <w:rPr>
          <w:rFonts w:ascii="Arial" w:cs="Arial" w:eastAsia="Arial" w:hAnsi="Arial"/>
          <w:sz w:val="17"/>
          <w:szCs w:val="17"/>
          <w:u w:val="single" w:color="auto"/>
          <w:color w:val="auto"/>
        </w:rPr>
        <w:t>/s/ Allison Grochola</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SVP –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1549400</wp:posOffset>
            </wp:positionV>
            <wp:extent cx="2537460" cy="5397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4" w:name="page165"/>
    <w:bookmarkEnd w:id="16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Subsidiaries</w:t>
            </w:r>
          </w:p>
        </w:tc>
      </w:tr>
      <w:tr>
        <w:trPr>
          <w:trHeight w:val="20"/>
        </w:trPr>
        <w:tc>
          <w:tcPr>
            <w:tcW w:w="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372"/>
        </w:trPr>
        <w:tc>
          <w:tcPr>
            <w:tcW w:w="8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Entity</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of Incorporation or Organization</w:t>
            </w:r>
          </w:p>
        </w:tc>
      </w:tr>
      <w:tr>
        <w:trPr>
          <w:trHeight w:val="205"/>
        </w:trPr>
        <w:tc>
          <w:tcPr>
            <w:tcW w:w="80" w:type="dxa"/>
            <w:vAlign w:val="bottom"/>
          </w:tcPr>
          <w:p>
            <w:pPr>
              <w:spacing w:after="0"/>
              <w:rPr>
                <w:sz w:val="17"/>
                <w:szCs w:val="17"/>
                <w:color w:val="auto"/>
              </w:rPr>
            </w:pPr>
          </w:p>
        </w:tc>
        <w:tc>
          <w:tcPr>
            <w:tcW w:w="37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Editas Medicine, LLC</w:t>
            </w: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Editas Securities Corporation</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803"/>
        </w:trPr>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7" w:right="1440" w:bottom="1440" w:gutter="0" w:footer="0" w:header="0"/>
        </w:sectPr>
      </w:pPr>
    </w:p>
    <w:bookmarkStart w:id="165" w:name="page166"/>
    <w:bookmarkEnd w:id="16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5" w:lineRule="exact"/>
        <w:rPr>
          <w:sz w:val="20"/>
          <w:szCs w:val="20"/>
          <w:color w:val="auto"/>
        </w:rPr>
      </w:pPr>
    </w:p>
    <w:p>
      <w:pPr>
        <w:ind w:left="380" w:hanging="330"/>
        <w:spacing w:after="0"/>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 333-216528, 333-222266, and 333-253715) of Editas Medicine Inc.,</w:t>
      </w:r>
    </w:p>
    <w:p>
      <w:pPr>
        <w:spacing w:after="0" w:line="27"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333-209351) pertaining to the Editas Medicine Inc. 2013 Stock Incentive Plan, 2015 Stock Incentive Plan and 2015 Employee Stock Purchase Plan of Editas Medicine Inc.,</w:t>
      </w:r>
    </w:p>
    <w:p>
      <w:pPr>
        <w:ind w:left="380" w:right="7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333-216445, 333-223529, and 333-230266) pertaining to the 2015 Stock Incentive Plan and 2015 Employee Stock Purchase Plan of Editas Medicine, Inc., and</w:t>
      </w:r>
    </w:p>
    <w:p>
      <w:pPr>
        <w:jc w:val="both"/>
        <w:ind w:left="380" w:right="7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333-236662) pertaining to the Editas Medicine Inc. 2015 Stock Incentive Plan, 2015 Employee Stock Purchase Plan, Inducement Stock Option Awards (October 2019 – January 2020), Inducement Restricted Stock Unit Awards (October 2019 – January 2020),</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333-253716) pertaining to the Editas Medicine Inc. 2015 Stock Incentive Plan, 2015 Employee Stock Purchase Plan, Inducement Stock Option Award (November 2020), Inducement Restricted Stock Unit Award (November 2020), and</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333-262977) pertaining to the Editas Medicine Inc. 2015 Stock Incentive Plan, 2015 Employee Stock Purchase Plan, Inducement Stock Option Awards (June 2021), Inducement Restricted Stock Unit Awards (June 2021);</w:t>
      </w:r>
    </w:p>
    <w:p>
      <w:pPr>
        <w:spacing w:after="0" w:line="18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our reports dated February 22, 2023, with respect to the consolidated financial statements of Editas Medicine, Inc. and the effectiveness of internal control over financial reporting of Editas Medicine, Inc., included in this Annual Report (Form 10-K) of Editas Medicine, Inc. for the year ended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6" w:name="page167"/>
    <w:bookmarkEnd w:id="16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Gilmore O’Neill, certify that:</w:t>
      </w:r>
    </w:p>
    <w:p>
      <w:pPr>
        <w:spacing w:after="0" w:line="239" w:lineRule="exact"/>
        <w:rPr>
          <w:sz w:val="20"/>
          <w:szCs w:val="20"/>
          <w:color w:val="auto"/>
        </w:rPr>
      </w:pPr>
    </w:p>
    <w:p>
      <w:pPr>
        <w:ind w:left="680" w:hanging="306"/>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Editas Medicine, Inc.;</w:t>
      </w:r>
    </w:p>
    <w:p>
      <w:pPr>
        <w:spacing w:after="0" w:line="238" w:lineRule="exact"/>
        <w:rPr>
          <w:rFonts w:ascii="Times New Roman" w:cs="Times New Roman" w:eastAsia="Times New Roman" w:hAnsi="Times New Roman"/>
          <w:sz w:val="18"/>
          <w:szCs w:val="18"/>
          <w:color w:val="auto"/>
        </w:rPr>
      </w:pPr>
    </w:p>
    <w:p>
      <w:pPr>
        <w:ind w:left="700" w:right="299" w:hanging="326"/>
        <w:spacing w:after="0" w:line="258" w:lineRule="auto"/>
        <w:tabs>
          <w:tab w:leader="none" w:pos="69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69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700" w:right="219" w:hanging="326"/>
        <w:spacing w:after="0" w:line="266" w:lineRule="auto"/>
        <w:tabs>
          <w:tab w:leader="none" w:pos="6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40" w:right="79" w:hanging="318"/>
        <w:spacing w:after="0" w:line="261" w:lineRule="auto"/>
        <w:tabs>
          <w:tab w:leader="none" w:pos="132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8"/>
          <w:szCs w:val="18"/>
          <w:color w:val="auto"/>
        </w:rPr>
      </w:pPr>
    </w:p>
    <w:p>
      <w:pPr>
        <w:ind w:left="1340" w:right="59" w:hanging="318"/>
        <w:spacing w:after="0" w:line="261" w:lineRule="auto"/>
        <w:tabs>
          <w:tab w:leader="none" w:pos="133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340" w:right="179" w:hanging="318"/>
        <w:spacing w:after="0" w:line="266" w:lineRule="auto"/>
        <w:tabs>
          <w:tab w:leader="none" w:pos="132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1340" w:right="99" w:hanging="318"/>
        <w:spacing w:after="0" w:line="261" w:lineRule="auto"/>
        <w:tabs>
          <w:tab w:leader="none" w:pos="133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ind w:left="700" w:right="379" w:hanging="326"/>
        <w:spacing w:after="0" w:line="258" w:lineRule="auto"/>
        <w:tabs>
          <w:tab w:leader="none" w:pos="6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Times New Roman" w:cs="Times New Roman" w:eastAsia="Times New Roman" w:hAnsi="Times New Roman"/>
          <w:sz w:val="18"/>
          <w:szCs w:val="18"/>
          <w:color w:val="auto"/>
        </w:rPr>
      </w:pPr>
    </w:p>
    <w:p>
      <w:pPr>
        <w:ind w:left="1340" w:right="339" w:hanging="318"/>
        <w:spacing w:after="0" w:line="266" w:lineRule="auto"/>
        <w:tabs>
          <w:tab w:leader="none" w:pos="13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40" w:right="119" w:hanging="318"/>
        <w:spacing w:after="0" w:line="282" w:lineRule="auto"/>
        <w:tabs>
          <w:tab w:leader="none" w:pos="132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22, 2023</w:t>
            </w:r>
          </w:p>
        </w:tc>
        <w:tc>
          <w:tcPr>
            <w:tcW w:w="58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By:  /s/ Gilmore O’Neill</w:t>
            </w:r>
          </w:p>
        </w:tc>
      </w:tr>
      <w:tr>
        <w:trPr>
          <w:trHeight w:val="191"/>
        </w:trPr>
        <w:tc>
          <w:tcPr>
            <w:tcW w:w="3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Gilmore O’Neill</w:t>
            </w:r>
          </w:p>
        </w:tc>
        <w:tc>
          <w:tcPr>
            <w:tcW w:w="20" w:type="dxa"/>
            <w:vAlign w:val="bottom"/>
          </w:tcPr>
          <w:p>
            <w:pPr>
              <w:spacing w:after="0"/>
              <w:rPr>
                <w:sz w:val="16"/>
                <w:szCs w:val="16"/>
                <w:color w:val="auto"/>
              </w:rPr>
            </w:pPr>
          </w:p>
        </w:tc>
      </w:tr>
      <w:tr>
        <w:trPr>
          <w:trHeight w:val="200"/>
        </w:trPr>
        <w:tc>
          <w:tcPr>
            <w:tcW w:w="3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033"/>
        </w:trPr>
        <w:tc>
          <w:tcPr>
            <w:tcW w:w="3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7" w:name="page168"/>
    <w:bookmarkEnd w:id="16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Michelle Robertson, certify that:</w:t>
      </w:r>
    </w:p>
    <w:p>
      <w:pPr>
        <w:spacing w:after="0" w:line="261" w:lineRule="exact"/>
        <w:rPr>
          <w:sz w:val="20"/>
          <w:szCs w:val="20"/>
          <w:color w:val="auto"/>
        </w:rPr>
      </w:pPr>
    </w:p>
    <w:p>
      <w:pPr>
        <w:ind w:left="840" w:hanging="307"/>
        <w:spacing w:after="0"/>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Editas Medicine, Inc.;</w:t>
      </w:r>
    </w:p>
    <w:p>
      <w:pPr>
        <w:spacing w:after="0" w:line="292" w:lineRule="exact"/>
        <w:rPr>
          <w:rFonts w:ascii="Times New Roman" w:cs="Times New Roman" w:eastAsia="Times New Roman" w:hAnsi="Times New Roman"/>
          <w:sz w:val="18"/>
          <w:szCs w:val="18"/>
          <w:color w:val="auto"/>
        </w:rPr>
      </w:pPr>
    </w:p>
    <w:p>
      <w:pPr>
        <w:ind w:left="860" w:right="279" w:hanging="327"/>
        <w:spacing w:after="0" w:line="266" w:lineRule="auto"/>
        <w:tabs>
          <w:tab w:leader="none" w:pos="8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left="860" w:right="599" w:hanging="327"/>
        <w:spacing w:after="0" w:line="266" w:lineRule="auto"/>
        <w:tabs>
          <w:tab w:leader="none" w:pos="8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3" w:lineRule="exact"/>
        <w:rPr>
          <w:rFonts w:ascii="Times New Roman" w:cs="Times New Roman" w:eastAsia="Times New Roman" w:hAnsi="Times New Roman"/>
          <w:sz w:val="18"/>
          <w:szCs w:val="18"/>
          <w:color w:val="auto"/>
        </w:rPr>
      </w:pPr>
    </w:p>
    <w:p>
      <w:pPr>
        <w:ind w:left="860" w:right="219" w:hanging="327"/>
        <w:spacing w:after="0" w:line="289" w:lineRule="auto"/>
        <w:tabs>
          <w:tab w:leader="none" w:pos="8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7"/>
          <w:szCs w:val="17"/>
          <w:color w:val="auto"/>
        </w:rPr>
      </w:pPr>
    </w:p>
    <w:p>
      <w:pPr>
        <w:ind w:left="1500" w:right="259" w:hanging="319"/>
        <w:spacing w:after="0" w:line="261" w:lineRule="auto"/>
        <w:tabs>
          <w:tab w:leader="none" w:pos="14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7"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4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3" w:lineRule="exact"/>
        <w:rPr>
          <w:rFonts w:ascii="Times New Roman" w:cs="Times New Roman" w:eastAsia="Times New Roman" w:hAnsi="Times New Roman"/>
          <w:sz w:val="18"/>
          <w:szCs w:val="18"/>
          <w:color w:val="auto"/>
        </w:rPr>
      </w:pPr>
    </w:p>
    <w:p>
      <w:pPr>
        <w:jc w:val="both"/>
        <w:ind w:left="1500" w:right="479" w:hanging="319"/>
        <w:spacing w:after="0" w:line="266" w:lineRule="auto"/>
        <w:tabs>
          <w:tab w:leader="none" w:pos="14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4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Times New Roman" w:cs="Times New Roman" w:eastAsia="Times New Roman" w:hAnsi="Times New Roman"/>
          <w:sz w:val="18"/>
          <w:szCs w:val="18"/>
          <w:color w:val="auto"/>
        </w:rPr>
      </w:pPr>
    </w:p>
    <w:p>
      <w:pPr>
        <w:jc w:val="both"/>
        <w:ind w:left="860" w:right="379" w:hanging="327"/>
        <w:spacing w:after="0" w:line="266" w:lineRule="auto"/>
        <w:tabs>
          <w:tab w:leader="none" w:pos="8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Times New Roman" w:cs="Times New Roman" w:eastAsia="Times New Roman" w:hAnsi="Times New Roman"/>
          <w:sz w:val="18"/>
          <w:szCs w:val="18"/>
          <w:color w:val="auto"/>
        </w:rPr>
      </w:pPr>
    </w:p>
    <w:p>
      <w:pPr>
        <w:ind w:left="1500" w:right="559" w:hanging="319"/>
        <w:spacing w:after="0" w:line="266" w:lineRule="auto"/>
        <w:tabs>
          <w:tab w:leader="none" w:pos="147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8"/>
          <w:szCs w:val="18"/>
          <w:color w:val="auto"/>
        </w:rPr>
      </w:pPr>
    </w:p>
    <w:p>
      <w:pPr>
        <w:ind w:left="1500" w:right="759" w:hanging="319"/>
        <w:spacing w:after="0" w:line="282" w:lineRule="auto"/>
        <w:tabs>
          <w:tab w:leader="none" w:pos="14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22, 2023</w:t>
            </w:r>
          </w:p>
        </w:tc>
        <w:tc>
          <w:tcPr>
            <w:tcW w:w="56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By:  /s/ Michelle Robertson</w:t>
            </w: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Michelle Robertson</w:t>
            </w:r>
          </w:p>
        </w:tc>
      </w:tr>
      <w:tr>
        <w:trPr>
          <w:trHeight w:val="214"/>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561"/>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594995</wp:posOffset>
            </wp:positionV>
            <wp:extent cx="545211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OF CEO AND CFO PURSUANT TO 18 U.S.C. SECTION 1350,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In connection with this Annual Report on Form 10-K of Editas Medicine, Inc. (the “Company”) for the year ended December 31, 2022, as filed with the Securities and Exchange Commission on the date hereof (the “Report”), each of the undersigned officers of the Company hereby certifies, pursuant to 18 U.S.C. (section) 1350, as adopted pursuant to (section) 906 of the Sarbanes-Oxley Act of 2002, that to the best of her or his knowledge:</w:t>
      </w:r>
    </w:p>
    <w:p>
      <w:pPr>
        <w:spacing w:after="0" w:line="200" w:lineRule="exact"/>
        <w:rPr>
          <w:sz w:val="20"/>
          <w:szCs w:val="20"/>
          <w:color w:val="auto"/>
        </w:rPr>
      </w:pPr>
    </w:p>
    <w:p>
      <w:pPr>
        <w:ind w:left="1180" w:right="499" w:hanging="323"/>
        <w:spacing w:after="0" w:line="282" w:lineRule="auto"/>
        <w:tabs>
          <w:tab w:leader="none" w:pos="120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180" w:right="419" w:hanging="323"/>
        <w:spacing w:after="0" w:line="282" w:lineRule="auto"/>
        <w:tabs>
          <w:tab w:leader="none" w:pos="120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Dated: February 22, 2023</w:t>
      </w:r>
    </w:p>
    <w:p>
      <w:pPr>
        <w:spacing w:after="0" w:line="252" w:lineRule="exact"/>
        <w:rPr>
          <w:sz w:val="20"/>
          <w:szCs w:val="20"/>
          <w:color w:val="auto"/>
        </w:rPr>
      </w:pPr>
    </w:p>
    <w:p>
      <w:pPr>
        <w:ind w:left="20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Gilmore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25114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Gilmore O’Neill</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left="20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25114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lowerRoman"/>
      <w:start w:val="4"/>
    </w:lvl>
  </w:abstractNum>
  <w:abstractNum w:abstractNumId="57">
    <w:nsid w:val="25A70BF7"/>
    <w:multiLevelType w:val="hybridMultilevel"/>
    <w:lvl w:ilvl="0">
      <w:lvlJc w:val="left"/>
      <w:lvlText w:val="%1."/>
      <w:numFmt w:val="decimal"/>
      <w:start w:val="16"/>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2"/>
    </w:lvl>
  </w:abstractNum>
  <w:abstractNum w:abstractNumId="60">
    <w:nsid w:val="1F48EAA1"/>
    <w:multiLevelType w:val="hybridMultilevel"/>
    <w:lvl w:ilvl="0">
      <w:lvlJc w:val="left"/>
      <w:lvlText w:val="(%1)"/>
      <w:numFmt w:val="decimal"/>
      <w:start w:val="3"/>
    </w:lvl>
  </w:abstractNum>
  <w:abstractNum w:abstractNumId="61">
    <w:nsid w:val="1381823A"/>
    <w:multiLevelType w:val="hybridMultilevel"/>
    <w:lvl w:ilvl="0">
      <w:lvlJc w:val="left"/>
      <w:lvlText w:val="%1"/>
      <w:numFmt w:val="decimal"/>
      <w:start w:val="101"/>
    </w:lvl>
  </w:abstractNum>
  <w:abstractNum w:abstractNumId="62">
    <w:nsid w:val="5DB70AE5"/>
    <w:multiLevelType w:val="hybridMultilevel"/>
    <w:lvl w:ilvl="0">
      <w:lvlJc w:val="left"/>
      <w:lvlText w:val="†"/>
      <w:numFmt w:val="bullet"/>
      <w:start w:val="1"/>
    </w:lvl>
    <w:lvl w:ilvl="1">
      <w:lvlJc w:val="left"/>
      <w:lvlText w:val="%2"/>
      <w:numFmt w:val="decimal"/>
      <w:start w:val="104"/>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upperLetter"/>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5"/>
    </w:lvl>
    <w:lvl w:ilvl="1">
      <w:lvlJc w:val="left"/>
      <w:lvlText w:val="%2."/>
      <w:numFmt w:val="lowerLetter"/>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jpe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173" Type="http://schemas.openxmlformats.org/officeDocument/2006/relationships/hyperlink" Target="http://www.sec.gov/Archives/edgar/data/1650664/000104746916010055/a2227290zex-3_1.htm" TargetMode="External"/><Relationship Id="rId174" Type="http://schemas.openxmlformats.org/officeDocument/2006/relationships/hyperlink" Target="http://www.sec.gov/Archives/edgar/data/1650664/000104746916010055/a2227290zex-3_2.htm" TargetMode="External"/><Relationship Id="rId175" Type="http://schemas.openxmlformats.org/officeDocument/2006/relationships/hyperlink" Target="http://www.sec.gov/Archives/edgar/data/1650664/000104746916009534/a2226902zex-4_1.htm" TargetMode="External"/><Relationship Id="rId176" Type="http://schemas.openxmlformats.org/officeDocument/2006/relationships/hyperlink" Target="https://www.sec.gov/Archives/edgar/data/1650664/000155837020001476/ex-4d2.htm" TargetMode="External"/><Relationship Id="rId177" Type="http://schemas.openxmlformats.org/officeDocument/2006/relationships/hyperlink" Target="http://www.sec.gov/Archives/edgar/data/1650664/000104746916009534/a2226902zex-10_5.htm" TargetMode="External"/><Relationship Id="rId178" Type="http://schemas.openxmlformats.org/officeDocument/2006/relationships/hyperlink" Target="http://www.sec.gov/Archives/edgar/data/1650664/000104746916009534/a2226902zex-10_6.htm" TargetMode="External"/><Relationship Id="rId179" Type="http://schemas.openxmlformats.org/officeDocument/2006/relationships/hyperlink" Target="http://www.sec.gov/Archives/edgar/data/1650664/000104746916009534/a2226902zex-10_7.htm" TargetMode="External"/><Relationship Id="rId180" Type="http://schemas.openxmlformats.org/officeDocument/2006/relationships/hyperlink" Target="http://www.sec.gov/Archives/edgar/data/1650664/000104746916009534/a2226902zex-10_8.htm" TargetMode="External"/><Relationship Id="rId181" Type="http://schemas.openxmlformats.org/officeDocument/2006/relationships/hyperlink" Target="http://www.sec.gov/Archives/edgar/data/1650664/000104746916009534/a2226902zex-10_9.htm" TargetMode="External"/><Relationship Id="rId182" Type="http://schemas.openxmlformats.org/officeDocument/2006/relationships/hyperlink" Target="http://www.sec.gov/Archives/edgar/data/1650664/000104746916009534/a2226902zex-10_10.htm" TargetMode="External"/><Relationship Id="rId183" Type="http://schemas.openxmlformats.org/officeDocument/2006/relationships/hyperlink" Target="http://www.sec.gov/Archives/edgar/data/1650664/000104746916009534/a2226902zex-10_11.htm" TargetMode="External"/><Relationship Id="rId184" Type="http://schemas.openxmlformats.org/officeDocument/2006/relationships/hyperlink" Target="http://www.sec.gov/Archives/edgar/data/1650664/000104746916009534/a2226902zex-10_12.htm" TargetMode="External"/><Relationship Id="rId185" Type="http://schemas.openxmlformats.org/officeDocument/2006/relationships/hyperlink" Target="http://www.sec.gov/Archives/edgar/data/1650664/000155837017008429/edit-20170930ex101475b37.htm" TargetMode="External"/><Relationship Id="rId186" Type="http://schemas.openxmlformats.org/officeDocument/2006/relationships/hyperlink" Target="https://www.sec.gov/Archives/edgar/data/1650664/000155837019000186/ex-10d1.htm" TargetMode="External"/><Relationship Id="rId187" Type="http://schemas.openxmlformats.org/officeDocument/2006/relationships/hyperlink" Target="https://www.sec.gov/Archives/edgar/data/1650664/000155837022011904/edit-20220630xex10d1.htm" TargetMode="External"/><Relationship Id="rId188" Type="http://schemas.openxmlformats.org/officeDocument/2006/relationships/hyperlink" Target="https://www.sec.gov/Archives/edgar/data/1650664/000155837021001915/edit-20201231xex10d14.htm" TargetMode="External"/><Relationship Id="rId189" Type="http://schemas.openxmlformats.org/officeDocument/2006/relationships/hyperlink" Target="https://www.sec.gov/Archives/edgar/data/1650664/000155837022011904/edit-20220630xex10d2.htm" TargetMode="External"/><Relationship Id="rId190" Type="http://schemas.openxmlformats.org/officeDocument/2006/relationships/hyperlink" Target="https://www.sec.gov/Archives/edgar/data/1650664/000155837022011904/edit-20220630xex10d4.htm" TargetMode="External"/><Relationship Id="rId191" Type="http://schemas.openxmlformats.org/officeDocument/2006/relationships/hyperlink" Target="https://www.sec.gov/Archives/edgar/data/1650664/000155837020001476/ex-10d14.htm" TargetMode="External"/><Relationship Id="rId192" Type="http://schemas.openxmlformats.org/officeDocument/2006/relationships/hyperlink" Target="https://www.sec.gov/Archives/edgar/data/1650664/000155837022011904/edit-20220630xex10d3.htm" TargetMode="External"/><Relationship Id="rId193" Type="http://schemas.openxmlformats.org/officeDocument/2006/relationships/hyperlink" Target="https://www.sec.gov/Archives/edgar/data/1650664/000155837021010390/edit-20210630xex10d2.htm" TargetMode="External"/><Relationship Id="rId194" Type="http://schemas.openxmlformats.org/officeDocument/2006/relationships/hyperlink" Target="https://www.sec.gov/Archives/edgar/data/1650664/000155837021015161/edit-20210930xex10d1.htm" TargetMode="External"/><Relationship Id="rId195" Type="http://schemas.openxmlformats.org/officeDocument/2006/relationships/hyperlink" Target="https://www.sec.gov/Archives/edgar/data/1650664/000155837020001476/ex-10d15.htm" TargetMode="External"/><Relationship Id="rId196" Type="http://schemas.openxmlformats.org/officeDocument/2006/relationships/hyperlink" Target="https://www.sec.gov/Archives/edgar/data/1650664/000155837020001476/ex-10d16.htm" TargetMode="External"/><Relationship Id="rId197" Type="http://schemas.openxmlformats.org/officeDocument/2006/relationships/hyperlink" Target="http://www.sec.gov/Archives/edgar/data/1650664/000155837017000174/edit-20161117ex992b17c22.htm" TargetMode="External"/><Relationship Id="rId198" Type="http://schemas.openxmlformats.org/officeDocument/2006/relationships/hyperlink" Target="http://www.sec.gov/Archives/edgar/data/1650664/000155837017001417/g99-1cas9iamendment.htm" TargetMode="External"/><Relationship Id="rId199" Type="http://schemas.openxmlformats.org/officeDocument/2006/relationships/hyperlink" Target="https://www.sec.gov/Archives/edgar/data/1650664/000155837020001476/ex-10d20.htm" TargetMode="External"/><Relationship Id="rId200" Type="http://schemas.openxmlformats.org/officeDocument/2006/relationships/hyperlink" Target="https://www.sec.gov/Archives/edgar/data/1650664/000155837020001476/ex-10d21.htm" TargetMode="External"/><Relationship Id="rId201" Type="http://schemas.openxmlformats.org/officeDocument/2006/relationships/hyperlink" Target="http://www.sec.gov/Archives/edgar/data/1650664/000155837018007793/ex-10d2.htm" TargetMode="External"/><Relationship Id="rId202" Type="http://schemas.openxmlformats.org/officeDocument/2006/relationships/hyperlink" Target="https://www.sec.gov/Archives/edgar/data/1650664/000155837021001915/edit-20201231xex10d24.htm" TargetMode="External"/><Relationship Id="rId203" Type="http://schemas.openxmlformats.org/officeDocument/2006/relationships/hyperlink" Target="https://www.sec.gov/Archives/edgar/data/1650664/000155837021010390/edit-20210630xex10d3.htm" TargetMode="External"/><Relationship Id="rId204" Type="http://schemas.openxmlformats.org/officeDocument/2006/relationships/hyperlink" Target="http://www.sec.gov/Archives/edgar/data/1650664/000104746916009534/a2226902zex-10_25.htm" TargetMode="External"/><Relationship Id="rId205" Type="http://schemas.openxmlformats.org/officeDocument/2006/relationships/hyperlink" Target="https://www.sec.gov/Archives/edgar/data/1650664/000155837022001950/edit-20211231xex10d28.htm" TargetMode="External"/><Relationship Id="rId206" Type="http://schemas.openxmlformats.org/officeDocument/2006/relationships/hyperlink" Target="http://www.sec.gov/Archives/edgar/data/1650664/000104746916009534/a2226902zex-10_28.htm" TargetMode="External"/><Relationship Id="rId207" Type="http://schemas.openxmlformats.org/officeDocument/2006/relationships/hyperlink" Target="http://www.sec.gov/Archives/edgar/data/1650664/000110465916098504/a16-4765_1ex99d1.htm" TargetMode="External"/><Relationship Id="rId208" Type="http://schemas.openxmlformats.org/officeDocument/2006/relationships/hyperlink" Target="http://www.sec.gov/Archives/edgar/data/1650664/000155837017000174/edit-20161117ex9916e543d.htm" TargetMode="External"/><Relationship Id="rId209" Type="http://schemas.openxmlformats.org/officeDocument/2006/relationships/hyperlink" Target="http://www.sec.gov/Archives/edgar/data/1650664/000155837017000174/edit-20161117ex993f74f02.htm" TargetMode="External"/><Relationship Id="rId210" Type="http://schemas.openxmlformats.org/officeDocument/2006/relationships/hyperlink" Target="https://www.sec.gov/Archives/edgar/data/1650664/000155837021001915/edit-20201231xex10d32.htm" TargetMode="External"/><Relationship Id="rId211" Type="http://schemas.openxmlformats.org/officeDocument/2006/relationships/hyperlink" Target="https://www.sec.gov/Archives/edgar/data/1650664/000155837020001476/ex-10d30.htm" TargetMode="External"/><Relationship Id="rId212" Type="http://schemas.openxmlformats.org/officeDocument/2006/relationships/hyperlink" Target="https://www.sec.gov/Archives/edgar/data/1650664/000155837020001476/ex-10d31.htm" TargetMode="External"/><Relationship Id="rId213" Type="http://schemas.openxmlformats.org/officeDocument/2006/relationships/hyperlink" Target="https://www.sec.gov/Archives/edgar/data/1650664/000110465921066941/tm2116240d1_ex1-1.htm" TargetMode="External"/><Relationship Id="rId214" Type="http://schemas.openxmlformats.org/officeDocument/2006/relationships/hyperlink" Target="https://www.sec.gov/Archives/edgar/data/1650664/000155837020013022/edit-2020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2023-02-22T20:54:39Z</dcterms:created>
  <dcterms:modified xsi:type="dcterms:W3CDTF">2023-02-22T20:54:39Z</dcterms:modified>
</cp:coreProperties>
</file>