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1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April 1, 2026</w:t>
      </w:r>
    </w:p>
    <w:p>
      <w:pPr>
        <w:spacing w:after="0" w:line="2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1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Editas Medicine, Inc.</w:t>
      </w:r>
    </w:p>
    <w:p>
      <w:pPr>
        <w:spacing w:after="0" w:line="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ectPr>
          <w:pgSz w:w="11900" w:h="16838" w:orient="portrait"/>
          <w:cols w:equalWidth="0" w:num="1">
            <w:col w:w="11080"/>
          </w:cols>
          <w:pgMar w:left="320" w:top="1240" w:right="499" w:bottom="1440" w:gutter="0" w:footer="0" w:header="0"/>
        </w:sectPr>
      </w:pPr>
    </w:p>
    <w:p>
      <w:pPr>
        <w:spacing w:after="0" w:line="147"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001-37687</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46-4097528</w:t>
      </w:r>
    </w:p>
    <w:p>
      <w:pPr>
        <w:spacing w:after="0" w:line="31" w:lineRule="exact"/>
        <w:rPr>
          <w:sz w:val="24"/>
          <w:szCs w:val="24"/>
          <w:color w:val="auto"/>
        </w:rPr>
      </w:pPr>
    </w:p>
    <w:p>
      <w:pPr>
        <w:sectPr>
          <w:pgSz w:w="11900" w:h="16838" w:orient="portrait"/>
          <w:cols w:equalWidth="0" w:num="3">
            <w:col w:w="4960" w:space="720"/>
            <w:col w:w="2560" w:space="720"/>
            <w:col w:w="2120"/>
          </w:cols>
          <w:pgMar w:left="320" w:top="1240" w:right="49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3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360" w:space="720"/>
            <w:col w:w="2360" w:space="720"/>
            <w:col w:w="2920"/>
          </w:cols>
          <w:pgMar w:left="320" w:top="1240" w:right="499" w:bottom="1440" w:gutter="0" w:footer="0" w:header="0"/>
          <w:type w:val="continuous"/>
        </w:sectPr>
      </w:pPr>
    </w:p>
    <w:p>
      <w:pPr>
        <w:spacing w:after="0" w:line="43"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auto"/>
        </w:rPr>
        <w:t>11 Hurley Street</w:t>
      </w:r>
    </w:p>
    <w:p>
      <w:pPr>
        <w:sectPr>
          <w:pgSz w:w="11900" w:h="16838" w:orient="portrait"/>
          <w:cols w:equalWidth="0" w:num="1">
            <w:col w:w="11080"/>
          </w:cols>
          <w:pgMar w:left="320" w:top="1240" w:right="499" w:bottom="1440" w:gutter="0" w:footer="0" w:header="0"/>
          <w:type w:val="continuous"/>
        </w:sectPr>
      </w:pPr>
    </w:p>
    <w:p>
      <w:pPr>
        <w:spacing w:after="0" w:line="210"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Cambridge, Massachusetts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02141</w:t>
      </w:r>
    </w:p>
    <w:p>
      <w:pPr>
        <w:spacing w:after="0" w:line="31" w:lineRule="exact"/>
        <w:rPr>
          <w:sz w:val="24"/>
          <w:szCs w:val="24"/>
          <w:color w:val="auto"/>
        </w:rPr>
      </w:pPr>
    </w:p>
    <w:p>
      <w:pPr>
        <w:sectPr>
          <w:pgSz w:w="11900" w:h="16838" w:orient="portrait"/>
          <w:cols w:equalWidth="0" w:num="2">
            <w:col w:w="7480" w:space="720"/>
            <w:col w:w="2880"/>
          </w:cols>
          <w:pgMar w:left="320" w:top="1240" w:right="49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20" w:space="720"/>
            <w:col w:w="3040"/>
          </w:cols>
          <w:pgMar w:left="320" w:top="1240"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401-9000</w:t>
      </w:r>
    </w:p>
    <w:p>
      <w:pPr>
        <w:spacing w:after="0" w:line="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7"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w:t>
      </w:r>
    </w:p>
    <w:p>
      <w:pPr>
        <w:spacing w:after="0" w:line="4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0"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240" w:right="499" w:bottom="1440" w:gutter="0" w:footer="0" w:header="0"/>
          <w:type w:val="continuous"/>
        </w:sectPr>
      </w:pPr>
    </w:p>
    <w:p>
      <w:pPr>
        <w:spacing w:after="0" w:line="97"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320" w:space="720"/>
            <w:col w:w="2260" w:space="720"/>
            <w:col w:w="3060"/>
          </w:cols>
          <w:pgMar w:left="320" w:top="1240" w:right="49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EDIT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200" w:lineRule="exact"/>
        <w:rPr>
          <w:sz w:val="24"/>
          <w:szCs w:val="24"/>
          <w:color w:val="auto"/>
        </w:rPr>
      </w:pPr>
    </w:p>
    <w:p>
      <w:pPr>
        <w:sectPr>
          <w:pgSz w:w="11900" w:h="16838" w:orient="portrait"/>
          <w:cols w:equalWidth="0" w:num="3">
            <w:col w:w="4720" w:space="720"/>
            <w:col w:w="2300" w:space="720"/>
            <w:col w:w="2620"/>
          </w:cols>
          <w:pgMar w:left="320" w:top="1240" w:right="499" w:bottom="1440" w:gutter="0" w:footer="0" w:header="0"/>
          <w:type w:val="continuous"/>
        </w:sectPr>
      </w:pPr>
    </w:p>
    <w:p>
      <w:pPr>
        <w:spacing w:after="0" w:line="6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40" w:right="4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4.01</w:t>
        <w:tab/>
        <w:t>Changes in Registrant’s Certifying Accountant.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Dismissal of Independent Registered Public Accounting Firm</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April 1, 2026, the Audit Committee (the “Audit Committee”) of the Board of Directors of Editas Medicine, Inc. (the “Company”) (i) dismissed Ernst &amp; Young LLP (“Ernst &amp; Young”) as the Company’s independent registered public accounting firm, effective immediately, and (ii) appointed PricewaterhouseCoopers LLP (“PwC”) to serve as the Company’s new independent registered public accounting firm for the fiscal year ending December 31, 2026. The Audit Committee made its decision after soliciting proposals from other accounting firms and conducting a thorough formal review. The Company notified Ernst &amp; Young of its decision on April 2, 2026.</w:t>
      </w:r>
    </w:p>
    <w:p>
      <w:pPr>
        <w:spacing w:after="0" w:line="18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reports of Ernst &amp; Young on the Company’s consolidated financial statements as of and for the fiscal years ended December 31, 2024 and December 31, 2025 did not contain an adverse opinion or disclaimer of opinion, nor were they qualified or modified as to uncertainty, audit scope, or accounting principles.</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During the Company’s fiscal years ended December 31, 2024 and December 31, 2025, and the subsequent interim period through April 1, 2026, there were no (i) “disagreements” (as defined in Item 304(a)(1)(iv) of Regulation S-K and the related instructions) between the Company and Ernst &amp; Young on any matter of accounting principles or practices, financial statement disclosure, or auditing scope or procedure which, if not resolved to Ernst &amp; Young’s satisfaction, would have caused Ernst &amp; Young to make reference to the subject matter of the disagreements in conjunction with its report on the Company’s consolidated financial statements for the relevant year, or (ii) “reportable events” (as defined in Item 304(a)(1)(v) of Regulation S-K).</w:t>
      </w:r>
    </w:p>
    <w:p>
      <w:pPr>
        <w:spacing w:after="0" w:line="18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has provided Ernst &amp; Young with a copy of the disclosure under this Item 4.01(a) and has requested that Ernst &amp; Young furnish the Company with a letter addressed to the Securities and Exchange Commission stating whether it agrees with such disclosure and, if not, stating the respects in which it does not agree. A copy of Ernst &amp; Young’s letter dated April 7, 2026, is filed as Exhibit 16.1 to this Current Report on Form 8-K.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Appointment of New Independent Registered Public Accounting Firm</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disclosed above, on April 1, 2026, the Audit Committee appointed PwC as the Company’s new independent registered public accounting firm, effective immediately, for the fiscal year ending December 31, 2026. During the fiscal years ended December 31, 2024 and December 31, 2025, and the subsequent interim period through April 1, 2026, neither the Company, nor anyone on its behalf, consulted with PwC regarding either (i) the application of accounting principles to a specified transaction, either completed or proposed, or the type of audit opinion that might be rendered with respect to the consolidated financial statements of the Company, and no written report or oral advice was provided to the Company by PwC that PwC concluded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defined in Item 304(a)(1)(v) of Regulation S-K).</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10100" w:type="dxa"/>
            <w:vAlign w:val="bottom"/>
            <w:gridSpan w:val="2"/>
            <w:vMerge w:val="restart"/>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10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Letter from Ernst &amp; Young LLP to the Securities and Exchange Commission, dated April 7, 2026</w:t>
            </w:r>
          </w:p>
        </w:tc>
        <w:tc>
          <w:tcPr>
            <w:tcW w:w="3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78"/>
        </w:trPr>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EDITAS MEDICINE, INC.</w:t>
            </w:r>
          </w:p>
        </w:tc>
      </w:tr>
      <w:tr>
        <w:trPr>
          <w:trHeight w:val="39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7, 2026</w:t>
            </w: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Amy Parison</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Amy Parison</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7,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Commissioners:</w:t>
      </w:r>
    </w:p>
    <w:p>
      <w:pPr>
        <w:spacing w:after="0" w:line="179"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22"/>
          <w:szCs w:val="22"/>
          <w:color w:val="auto"/>
        </w:rPr>
        <w:t>We have read Item 4.01 of Form 8-K dated April 7, 2026, of Editas Medicine, Inc. and are in agreement with the statements contained in the last sentence of the first paragraph and the second and third paragraphs on page 1 therein. We have no basis to agree or disagree with other statements of the registrant contained therein.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Ernst &amp; Young LLP</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2026-04-07T15:30:52Z</dcterms:created>
  <dcterms:modified xsi:type="dcterms:W3CDTF">2026-04-07T15:30:52Z</dcterms:modified>
</cp:coreProperties>
</file>