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22">
        <w:r>
          <w:rPr>
            <w:rFonts w:ascii="Arial" w:cs="Arial" w:eastAsia="Arial" w:hAnsi="Arial"/>
            <w:sz w:val="22"/>
            <w:szCs w:val="22"/>
            <w:u w:val="single" w:color="auto"/>
            <w:color w:val="0000EE"/>
          </w:rPr>
          <w:t>INDEX TO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January 25, 2016.</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333-208856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128905</wp:posOffset>
            </wp:positionV>
            <wp:extent cx="1603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5" w:lineRule="auto"/>
        <w:rPr>
          <w:sz w:val="20"/>
          <w:szCs w:val="20"/>
          <w:color w:val="auto"/>
        </w:rPr>
      </w:pPr>
      <w:r>
        <w:rPr>
          <w:rFonts w:ascii="Arial" w:cs="Arial" w:eastAsia="Arial" w:hAnsi="Arial"/>
          <w:sz w:val="14"/>
          <w:szCs w:val="14"/>
          <w:b w:val="1"/>
          <w:bCs w:val="1"/>
          <w:i w:val="1"/>
          <w:iCs w:val="1"/>
          <w:color w:val="auto"/>
        </w:rPr>
        <w:t>Under</w:t>
      </w: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128905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EDITAS MEDICINE,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8" w:lineRule="exact"/>
        <w:rPr>
          <w:sz w:val="24"/>
          <w:szCs w:val="24"/>
          <w:color w:val="auto"/>
        </w:rPr>
      </w:pPr>
    </w:p>
    <w:tbl>
      <w:tblPr>
        <w:tblLayout w:type="fixed"/>
        <w:tblInd w:w="880" w:type="dxa"/>
        <w:tblCellMar>
          <w:top w:w="0" w:type="dxa"/>
          <w:left w:w="0" w:type="dxa"/>
          <w:bottom w:w="0" w:type="dxa"/>
          <w:right w:w="0" w:type="dxa"/>
        </w:tblCellMar>
      </w:tblPr>
      <w:tr>
        <w:trPr>
          <w:trHeight w:val="161"/>
        </w:trPr>
        <w:tc>
          <w:tcPr>
            <w:tcW w:w="2880" w:type="dxa"/>
            <w:vAlign w:val="bottom"/>
          </w:tcPr>
          <w:p>
            <w:pPr>
              <w:jc w:val="center"/>
              <w:ind w:right="1032"/>
              <w:spacing w:after="0"/>
              <w:rPr>
                <w:sz w:val="20"/>
                <w:szCs w:val="20"/>
                <w:color w:val="auto"/>
              </w:rPr>
            </w:pPr>
            <w:r>
              <w:rPr>
                <w:rFonts w:ascii="Arial" w:cs="Arial" w:eastAsia="Arial" w:hAnsi="Arial"/>
                <w:sz w:val="14"/>
                <w:szCs w:val="14"/>
                <w:b w:val="1"/>
                <w:bCs w:val="1"/>
                <w:color w:val="auto"/>
                <w:w w:val="87"/>
              </w:rPr>
              <w:t>Delaware</w:t>
            </w:r>
          </w:p>
        </w:tc>
        <w:tc>
          <w:tcPr>
            <w:tcW w:w="410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2836</w:t>
            </w:r>
          </w:p>
        </w:tc>
        <w:tc>
          <w:tcPr>
            <w:tcW w:w="2320" w:type="dxa"/>
            <w:vAlign w:val="bottom"/>
          </w:tcPr>
          <w:p>
            <w:pPr>
              <w:jc w:val="center"/>
              <w:ind w:left="1212"/>
              <w:spacing w:after="0"/>
              <w:rPr>
                <w:sz w:val="20"/>
                <w:szCs w:val="20"/>
                <w:color w:val="auto"/>
              </w:rPr>
            </w:pPr>
            <w:r>
              <w:rPr>
                <w:rFonts w:ascii="Arial" w:cs="Arial" w:eastAsia="Arial" w:hAnsi="Arial"/>
                <w:sz w:val="14"/>
                <w:szCs w:val="14"/>
                <w:b w:val="1"/>
                <w:bCs w:val="1"/>
                <w:color w:val="auto"/>
                <w:w w:val="85"/>
              </w:rPr>
              <w:t>46-4097528</w:t>
            </w:r>
          </w:p>
        </w:tc>
      </w:tr>
      <w:tr>
        <w:trPr>
          <w:trHeight w:val="149"/>
        </w:trPr>
        <w:tc>
          <w:tcPr>
            <w:tcW w:w="2880" w:type="dxa"/>
            <w:vAlign w:val="bottom"/>
          </w:tcPr>
          <w:p>
            <w:pPr>
              <w:jc w:val="center"/>
              <w:ind w:right="103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41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320" w:type="dxa"/>
            <w:vAlign w:val="bottom"/>
          </w:tcPr>
          <w:p>
            <w:pPr>
              <w:jc w:val="center"/>
              <w:ind w:left="11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80" w:type="dxa"/>
            <w:vAlign w:val="bottom"/>
          </w:tcPr>
          <w:p>
            <w:pPr>
              <w:jc w:val="center"/>
              <w:ind w:right="1032"/>
              <w:spacing w:after="0"/>
              <w:rPr>
                <w:sz w:val="20"/>
                <w:szCs w:val="20"/>
                <w:color w:val="auto"/>
              </w:rPr>
            </w:pPr>
            <w:r>
              <w:rPr>
                <w:rFonts w:ascii="Arial" w:cs="Arial" w:eastAsia="Arial" w:hAnsi="Arial"/>
                <w:sz w:val="14"/>
                <w:szCs w:val="14"/>
                <w:b w:val="1"/>
                <w:bCs w:val="1"/>
                <w:color w:val="auto"/>
                <w:w w:val="89"/>
              </w:rPr>
              <w:t>incorporation or organization)</w:t>
            </w:r>
          </w:p>
        </w:tc>
        <w:tc>
          <w:tcPr>
            <w:tcW w:w="4100" w:type="dxa"/>
            <w:vAlign w:val="bottom"/>
          </w:tcPr>
          <w:p>
            <w:pPr>
              <w:jc w:val="center"/>
              <w:ind w:right="112"/>
              <w:spacing w:after="0"/>
              <w:rPr>
                <w:sz w:val="20"/>
                <w:szCs w:val="20"/>
                <w:color w:val="auto"/>
              </w:rPr>
            </w:pPr>
            <w:r>
              <w:rPr>
                <w:rFonts w:ascii="Arial" w:cs="Arial" w:eastAsia="Arial" w:hAnsi="Arial"/>
                <w:sz w:val="14"/>
                <w:szCs w:val="14"/>
                <w:b w:val="1"/>
                <w:bCs w:val="1"/>
                <w:color w:val="auto"/>
                <w:w w:val="87"/>
              </w:rPr>
              <w:t>Classification Code Number)</w:t>
            </w:r>
          </w:p>
        </w:tc>
        <w:tc>
          <w:tcPr>
            <w:tcW w:w="2320" w:type="dxa"/>
            <w:vAlign w:val="bottom"/>
          </w:tcPr>
          <w:p>
            <w:pPr>
              <w:jc w:val="center"/>
              <w:ind w:left="1192"/>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300 Third Street, First Floor</w:t>
      </w:r>
    </w:p>
    <w:p>
      <w:pPr>
        <w:jc w:val="center"/>
        <w:spacing w:after="0" w:line="223" w:lineRule="auto"/>
        <w:rPr>
          <w:sz w:val="20"/>
          <w:szCs w:val="20"/>
          <w:color w:val="auto"/>
        </w:rPr>
      </w:pPr>
      <w:r>
        <w:rPr>
          <w:rFonts w:ascii="Arial" w:cs="Arial" w:eastAsia="Arial" w:hAnsi="Arial"/>
          <w:sz w:val="14"/>
          <w:szCs w:val="14"/>
          <w:b w:val="1"/>
          <w:bCs w:val="1"/>
          <w:color w:val="auto"/>
        </w:rPr>
        <w:t>Cambridge, Massachusetts 02142</w:t>
      </w:r>
    </w:p>
    <w:p>
      <w:pPr>
        <w:jc w:val="center"/>
        <w:spacing w:after="0" w:line="222" w:lineRule="auto"/>
        <w:rPr>
          <w:sz w:val="20"/>
          <w:szCs w:val="20"/>
          <w:color w:val="auto"/>
        </w:rPr>
      </w:pPr>
      <w:r>
        <w:rPr>
          <w:rFonts w:ascii="Arial" w:cs="Arial" w:eastAsia="Arial" w:hAnsi="Arial"/>
          <w:sz w:val="14"/>
          <w:szCs w:val="14"/>
          <w:b w:val="1"/>
          <w:bCs w:val="1"/>
          <w:color w:val="auto"/>
        </w:rPr>
        <w:t>(617) 401-9000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128905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Katrine S. Bosley</w:t>
      </w:r>
    </w:p>
    <w:p>
      <w:pPr>
        <w:jc w:val="center"/>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Editas Medicine, Inc.</w:t>
      </w:r>
    </w:p>
    <w:p>
      <w:pPr>
        <w:jc w:val="center"/>
        <w:spacing w:after="0" w:line="221" w:lineRule="auto"/>
        <w:rPr>
          <w:sz w:val="20"/>
          <w:szCs w:val="20"/>
          <w:color w:val="auto"/>
        </w:rPr>
      </w:pPr>
      <w:r>
        <w:rPr>
          <w:rFonts w:ascii="Arial" w:cs="Arial" w:eastAsia="Arial" w:hAnsi="Arial"/>
          <w:sz w:val="14"/>
          <w:szCs w:val="14"/>
          <w:b w:val="1"/>
          <w:bCs w:val="1"/>
          <w:color w:val="auto"/>
        </w:rPr>
        <w:t>300 Third Street, First Floor</w:t>
      </w:r>
    </w:p>
    <w:p>
      <w:pPr>
        <w:jc w:val="center"/>
        <w:spacing w:after="0" w:line="222" w:lineRule="auto"/>
        <w:rPr>
          <w:sz w:val="20"/>
          <w:szCs w:val="20"/>
          <w:color w:val="auto"/>
        </w:rPr>
      </w:pPr>
      <w:r>
        <w:rPr>
          <w:rFonts w:ascii="Arial" w:cs="Arial" w:eastAsia="Arial" w:hAnsi="Arial"/>
          <w:sz w:val="14"/>
          <w:szCs w:val="14"/>
          <w:b w:val="1"/>
          <w:bCs w:val="1"/>
          <w:color w:val="auto"/>
        </w:rPr>
        <w:t>Cambridge, Massachusetts 02142</w:t>
      </w:r>
    </w:p>
    <w:p>
      <w:pPr>
        <w:jc w:val="center"/>
        <w:spacing w:after="0" w:line="221" w:lineRule="auto"/>
        <w:rPr>
          <w:sz w:val="20"/>
          <w:szCs w:val="20"/>
          <w:color w:val="auto"/>
        </w:rPr>
      </w:pPr>
      <w:r>
        <w:rPr>
          <w:rFonts w:ascii="Arial" w:cs="Arial" w:eastAsia="Arial" w:hAnsi="Arial"/>
          <w:sz w:val="14"/>
          <w:szCs w:val="14"/>
          <w:b w:val="1"/>
          <w:bCs w:val="1"/>
          <w:color w:val="auto"/>
        </w:rPr>
        <w:t>(617) 401-9000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128905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32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5220" w:type="dxa"/>
            <w:vAlign w:val="bottom"/>
            <w:gridSpan w:val="2"/>
          </w:tcPr>
          <w:p>
            <w:pPr>
              <w:ind w:left="980"/>
              <w:spacing w:after="0"/>
              <w:rPr>
                <w:sz w:val="20"/>
                <w:szCs w:val="20"/>
                <w:color w:val="auto"/>
              </w:rPr>
            </w:pPr>
            <w:r>
              <w:rPr>
                <w:rFonts w:ascii="Arial" w:cs="Arial" w:eastAsia="Arial" w:hAnsi="Arial"/>
                <w:sz w:val="14"/>
                <w:szCs w:val="14"/>
                <w:i w:val="1"/>
                <w:iCs w:val="1"/>
                <w:color w:val="auto"/>
              </w:rPr>
              <w:t>Copies to:</w:t>
            </w:r>
          </w:p>
        </w:tc>
      </w:tr>
      <w:tr>
        <w:trPr>
          <w:trHeight w:val="366"/>
        </w:trPr>
        <w:tc>
          <w:tcPr>
            <w:tcW w:w="3140" w:type="dxa"/>
            <w:vAlign w:val="bottom"/>
          </w:tcPr>
          <w:p>
            <w:pPr>
              <w:jc w:val="center"/>
              <w:ind w:right="452"/>
              <w:spacing w:after="0"/>
              <w:rPr>
                <w:sz w:val="20"/>
                <w:szCs w:val="20"/>
                <w:color w:val="auto"/>
              </w:rPr>
            </w:pPr>
            <w:r>
              <w:rPr>
                <w:rFonts w:ascii="Arial" w:cs="Arial" w:eastAsia="Arial" w:hAnsi="Arial"/>
                <w:sz w:val="14"/>
                <w:szCs w:val="14"/>
                <w:b w:val="1"/>
                <w:bCs w:val="1"/>
                <w:color w:val="auto"/>
                <w:w w:val="84"/>
              </w:rPr>
              <w:t>Steven D. Singer, Esq.</w:t>
            </w:r>
          </w:p>
        </w:tc>
        <w:tc>
          <w:tcPr>
            <w:tcW w:w="2520" w:type="dxa"/>
            <w:vAlign w:val="bottom"/>
          </w:tcPr>
          <w:p>
            <w:pPr>
              <w:spacing w:after="0"/>
              <w:rPr>
                <w:sz w:val="24"/>
                <w:szCs w:val="24"/>
                <w:color w:val="auto"/>
              </w:rPr>
            </w:pPr>
          </w:p>
        </w:tc>
        <w:tc>
          <w:tcPr>
            <w:tcW w:w="2700" w:type="dxa"/>
            <w:vAlign w:val="bottom"/>
          </w:tcPr>
          <w:p>
            <w:pPr>
              <w:jc w:val="center"/>
              <w:ind w:left="872"/>
              <w:spacing w:after="0"/>
              <w:rPr>
                <w:sz w:val="20"/>
                <w:szCs w:val="20"/>
                <w:color w:val="auto"/>
              </w:rPr>
            </w:pPr>
            <w:r>
              <w:rPr>
                <w:rFonts w:ascii="Arial" w:cs="Arial" w:eastAsia="Arial" w:hAnsi="Arial"/>
                <w:sz w:val="14"/>
                <w:szCs w:val="14"/>
                <w:b w:val="1"/>
                <w:bCs w:val="1"/>
                <w:color w:val="auto"/>
                <w:w w:val="88"/>
              </w:rPr>
              <w:t>Richard D. Truesdell, Jr., Esq.</w:t>
            </w:r>
          </w:p>
        </w:tc>
      </w:tr>
      <w:tr>
        <w:trPr>
          <w:trHeight w:val="149"/>
        </w:trPr>
        <w:tc>
          <w:tcPr>
            <w:tcW w:w="3140" w:type="dxa"/>
            <w:vAlign w:val="bottom"/>
          </w:tcPr>
          <w:p>
            <w:pPr>
              <w:jc w:val="center"/>
              <w:ind w:right="472"/>
              <w:spacing w:after="0" w:line="149" w:lineRule="exact"/>
              <w:rPr>
                <w:sz w:val="20"/>
                <w:szCs w:val="20"/>
                <w:color w:val="auto"/>
              </w:rPr>
            </w:pPr>
            <w:r>
              <w:rPr>
                <w:rFonts w:ascii="Arial" w:cs="Arial" w:eastAsia="Arial" w:hAnsi="Arial"/>
                <w:sz w:val="14"/>
                <w:szCs w:val="14"/>
                <w:b w:val="1"/>
                <w:bCs w:val="1"/>
                <w:color w:val="auto"/>
                <w:w w:val="87"/>
              </w:rPr>
              <w:t>Rosemary G. Reilly, Esq.</w:t>
            </w:r>
          </w:p>
        </w:tc>
        <w:tc>
          <w:tcPr>
            <w:tcW w:w="2520" w:type="dxa"/>
            <w:vAlign w:val="bottom"/>
          </w:tcPr>
          <w:p>
            <w:pPr>
              <w:spacing w:after="0"/>
              <w:rPr>
                <w:sz w:val="12"/>
                <w:szCs w:val="12"/>
                <w:color w:val="auto"/>
              </w:rPr>
            </w:pPr>
          </w:p>
        </w:tc>
        <w:tc>
          <w:tcPr>
            <w:tcW w:w="270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90"/>
              </w:rPr>
              <w:t>Deanna L. Kirkpatrick, Esq.</w:t>
            </w:r>
          </w:p>
        </w:tc>
      </w:tr>
      <w:tr>
        <w:trPr>
          <w:trHeight w:val="149"/>
        </w:trPr>
        <w:tc>
          <w:tcPr>
            <w:tcW w:w="3140" w:type="dxa"/>
            <w:vAlign w:val="bottom"/>
          </w:tcPr>
          <w:p>
            <w:pPr>
              <w:jc w:val="center"/>
              <w:ind w:right="452"/>
              <w:spacing w:after="0" w:line="149" w:lineRule="exact"/>
              <w:rPr>
                <w:sz w:val="20"/>
                <w:szCs w:val="20"/>
                <w:color w:val="auto"/>
              </w:rPr>
            </w:pPr>
            <w:r>
              <w:rPr>
                <w:rFonts w:ascii="Arial" w:cs="Arial" w:eastAsia="Arial" w:hAnsi="Arial"/>
                <w:sz w:val="14"/>
                <w:szCs w:val="14"/>
                <w:b w:val="1"/>
                <w:bCs w:val="1"/>
                <w:color w:val="auto"/>
                <w:w w:val="92"/>
              </w:rPr>
              <w:t>Wilmer Cutler Pickering Hale and Dorr LLP</w:t>
            </w:r>
          </w:p>
        </w:tc>
        <w:tc>
          <w:tcPr>
            <w:tcW w:w="2520" w:type="dxa"/>
            <w:vAlign w:val="bottom"/>
          </w:tcPr>
          <w:p>
            <w:pPr>
              <w:spacing w:after="0"/>
              <w:rPr>
                <w:sz w:val="12"/>
                <w:szCs w:val="12"/>
                <w:color w:val="auto"/>
              </w:rPr>
            </w:pPr>
          </w:p>
        </w:tc>
        <w:tc>
          <w:tcPr>
            <w:tcW w:w="270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90"/>
              </w:rPr>
              <w:t>Davis Polk &amp; Wardwell LLP</w:t>
            </w:r>
          </w:p>
        </w:tc>
      </w:tr>
      <w:tr>
        <w:trPr>
          <w:trHeight w:val="149"/>
        </w:trPr>
        <w:tc>
          <w:tcPr>
            <w:tcW w:w="3140" w:type="dxa"/>
            <w:vAlign w:val="bottom"/>
          </w:tcPr>
          <w:p>
            <w:pPr>
              <w:jc w:val="center"/>
              <w:ind w:right="472"/>
              <w:spacing w:after="0" w:line="149" w:lineRule="exact"/>
              <w:rPr>
                <w:sz w:val="20"/>
                <w:szCs w:val="20"/>
                <w:color w:val="auto"/>
              </w:rPr>
            </w:pPr>
            <w:r>
              <w:rPr>
                <w:rFonts w:ascii="Arial" w:cs="Arial" w:eastAsia="Arial" w:hAnsi="Arial"/>
                <w:sz w:val="14"/>
                <w:szCs w:val="14"/>
                <w:b w:val="1"/>
                <w:bCs w:val="1"/>
                <w:color w:val="auto"/>
                <w:w w:val="86"/>
              </w:rPr>
              <w:t>60 State Street</w:t>
            </w:r>
          </w:p>
        </w:tc>
        <w:tc>
          <w:tcPr>
            <w:tcW w:w="2520" w:type="dxa"/>
            <w:vAlign w:val="bottom"/>
          </w:tcPr>
          <w:p>
            <w:pPr>
              <w:spacing w:after="0"/>
              <w:rPr>
                <w:sz w:val="12"/>
                <w:szCs w:val="12"/>
                <w:color w:val="auto"/>
              </w:rPr>
            </w:pPr>
          </w:p>
        </w:tc>
        <w:tc>
          <w:tcPr>
            <w:tcW w:w="270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86"/>
              </w:rPr>
              <w:t>450 Lexington Avenue</w:t>
            </w:r>
          </w:p>
        </w:tc>
      </w:tr>
      <w:tr>
        <w:trPr>
          <w:trHeight w:val="149"/>
        </w:trPr>
        <w:tc>
          <w:tcPr>
            <w:tcW w:w="3140" w:type="dxa"/>
            <w:vAlign w:val="bottom"/>
          </w:tcPr>
          <w:p>
            <w:pPr>
              <w:jc w:val="center"/>
              <w:ind w:right="452"/>
              <w:spacing w:after="0" w:line="149" w:lineRule="exact"/>
              <w:rPr>
                <w:sz w:val="20"/>
                <w:szCs w:val="20"/>
                <w:color w:val="auto"/>
              </w:rPr>
            </w:pPr>
            <w:r>
              <w:rPr>
                <w:rFonts w:ascii="Arial" w:cs="Arial" w:eastAsia="Arial" w:hAnsi="Arial"/>
                <w:sz w:val="14"/>
                <w:szCs w:val="14"/>
                <w:b w:val="1"/>
                <w:bCs w:val="1"/>
                <w:color w:val="auto"/>
                <w:w w:val="83"/>
              </w:rPr>
              <w:t>Boston, Massachusetts 02109</w:t>
            </w:r>
          </w:p>
        </w:tc>
        <w:tc>
          <w:tcPr>
            <w:tcW w:w="2520" w:type="dxa"/>
            <w:vAlign w:val="bottom"/>
          </w:tcPr>
          <w:p>
            <w:pPr>
              <w:spacing w:after="0"/>
              <w:rPr>
                <w:sz w:val="12"/>
                <w:szCs w:val="12"/>
                <w:color w:val="auto"/>
              </w:rPr>
            </w:pPr>
          </w:p>
        </w:tc>
        <w:tc>
          <w:tcPr>
            <w:tcW w:w="270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89"/>
              </w:rPr>
              <w:t>New York, New York 10017</w:t>
            </w:r>
          </w:p>
        </w:tc>
      </w:tr>
      <w:tr>
        <w:trPr>
          <w:trHeight w:val="174"/>
        </w:trPr>
        <w:tc>
          <w:tcPr>
            <w:tcW w:w="3140" w:type="dxa"/>
            <w:vAlign w:val="bottom"/>
          </w:tcPr>
          <w:p>
            <w:pPr>
              <w:jc w:val="center"/>
              <w:ind w:right="452"/>
              <w:spacing w:after="0"/>
              <w:rPr>
                <w:sz w:val="20"/>
                <w:szCs w:val="20"/>
                <w:color w:val="auto"/>
              </w:rPr>
            </w:pPr>
            <w:r>
              <w:rPr>
                <w:rFonts w:ascii="Arial" w:cs="Arial" w:eastAsia="Arial" w:hAnsi="Arial"/>
                <w:sz w:val="14"/>
                <w:szCs w:val="14"/>
                <w:b w:val="1"/>
                <w:bCs w:val="1"/>
                <w:color w:val="auto"/>
                <w:w w:val="89"/>
              </w:rPr>
              <w:t>(617) 526-6000</w:t>
            </w:r>
          </w:p>
        </w:tc>
        <w:tc>
          <w:tcPr>
            <w:tcW w:w="5220" w:type="dxa"/>
            <w:vAlign w:val="bottom"/>
            <w:gridSpan w:val="2"/>
          </w:tcPr>
          <w:p>
            <w:pPr>
              <w:jc w:val="center"/>
              <w:ind w:left="3392"/>
              <w:spacing w:after="0"/>
              <w:rPr>
                <w:sz w:val="20"/>
                <w:szCs w:val="20"/>
                <w:color w:val="auto"/>
              </w:rPr>
            </w:pPr>
            <w:r>
              <w:rPr>
                <w:rFonts w:ascii="Arial" w:cs="Arial" w:eastAsia="Arial" w:hAnsi="Arial"/>
                <w:sz w:val="14"/>
                <w:szCs w:val="14"/>
                <w:b w:val="1"/>
                <w:bCs w:val="1"/>
                <w:color w:val="auto"/>
                <w:w w:val="87"/>
              </w:rPr>
              <w:t>(212) 450-4000</w:t>
            </w:r>
          </w:p>
        </w:tc>
      </w:tr>
      <w:tr>
        <w:trPr>
          <w:trHeight w:val="203"/>
        </w:trPr>
        <w:tc>
          <w:tcPr>
            <w:tcW w:w="3140" w:type="dxa"/>
            <w:vAlign w:val="bottom"/>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70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206" w:lineRule="exact"/>
        <w:rPr>
          <w:sz w:val="24"/>
          <w:szCs w:val="24"/>
          <w:color w:val="auto"/>
        </w:rPr>
      </w:pPr>
    </w:p>
    <w:p>
      <w:pPr>
        <w:ind w:left="340"/>
        <w:spacing w:after="0"/>
        <w:tabs>
          <w:tab w:leader="none" w:pos="1034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100" w:firstLine="338"/>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0" w:firstLine="338"/>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0" w:firstLine="338"/>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52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85" w:right="239" w:bottom="0" w:gutter="0" w:footer="0" w:header="0"/>
        </w:sectPr>
      </w:pPr>
    </w:p>
    <w:p>
      <w:pPr>
        <w:spacing w:after="0" w:line="192" w:lineRule="exact"/>
        <w:rPr>
          <w:sz w:val="24"/>
          <w:szCs w:val="24"/>
          <w:color w:val="auto"/>
        </w:rPr>
      </w:pPr>
    </w:p>
    <w:p>
      <w:pPr>
        <w:spacing w:after="0"/>
        <w:tabs>
          <w:tab w:leader="none" w:pos="16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0"/>
          <w:szCs w:val="10"/>
          <w:color w:val="auto"/>
        </w:rPr>
        <w:t>o</w:t>
      </w:r>
    </w:p>
    <w:p>
      <w:pPr>
        <w:spacing w:after="0" w:line="161" w:lineRule="exact"/>
        <w:tabs>
          <w:tab w:leader="none" w:pos="16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rPr>
          <w:sz w:val="20"/>
          <w:szCs w:val="20"/>
          <w:color w:val="auto"/>
        </w:rPr>
      </w:pPr>
      <w:r>
        <w:rPr>
          <w:rFonts w:ascii="Arial" w:cs="Arial" w:eastAsia="Arial" w:hAnsi="Arial"/>
          <w:sz w:val="14"/>
          <w:szCs w:val="14"/>
          <w:color w:val="auto"/>
        </w:rPr>
        <w:t>o</w:t>
      </w:r>
    </w:p>
    <w:p>
      <w:pPr>
        <w:spacing w:after="0" w:line="10" w:lineRule="exact"/>
        <w:rPr>
          <w:sz w:val="24"/>
          <w:szCs w:val="24"/>
          <w:color w:val="auto"/>
        </w:rPr>
      </w:pPr>
    </w:p>
    <w:p>
      <w:pPr>
        <w:sectPr>
          <w:pgSz w:w="11900" w:h="16838" w:orient="portrait"/>
          <w:cols w:equalWidth="0" w:num="3">
            <w:col w:w="8580" w:space="720"/>
            <w:col w:w="1480" w:space="460"/>
            <w:col w:w="180"/>
          </w:cols>
          <w:pgMar w:left="240" w:top="685" w:right="239" w:bottom="0" w:gutter="0" w:footer="0" w:header="0"/>
          <w:type w:val="continuous"/>
        </w:sectPr>
      </w:pPr>
    </w:p>
    <w:p>
      <w:pPr>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685"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40" w:type="dxa"/>
            <w:vAlign w:val="bottom"/>
            <w:tcBorders>
              <w:top w:val="single" w:sz="8" w:color="auto"/>
              <w:bottom w:val="single" w:sz="8" w:color="auto"/>
            </w:tcBorders>
          </w:tcPr>
          <w:p>
            <w:pPr>
              <w:spacing w:after="0"/>
              <w:rPr>
                <w:sz w:val="3"/>
                <w:szCs w:val="3"/>
                <w:color w:val="auto"/>
              </w:rPr>
            </w:pPr>
          </w:p>
        </w:tc>
        <w:tc>
          <w:tcPr>
            <w:tcW w:w="216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560" w:type="dxa"/>
            <w:vAlign w:val="bottom"/>
          </w:tcPr>
          <w:p>
            <w:pPr>
              <w:jc w:val="center"/>
              <w:ind w:left="34"/>
              <w:spacing w:after="0" w:line="117" w:lineRule="exact"/>
              <w:rPr>
                <w:sz w:val="20"/>
                <w:szCs w:val="20"/>
                <w:color w:val="auto"/>
              </w:rPr>
            </w:pPr>
            <w:r>
              <w:rPr>
                <w:rFonts w:ascii="Arial" w:cs="Arial" w:eastAsia="Arial" w:hAnsi="Arial"/>
                <w:sz w:val="12"/>
                <w:szCs w:val="12"/>
                <w:b w:val="1"/>
                <w:bCs w:val="1"/>
                <w:color w:val="auto"/>
              </w:rPr>
              <w:t>Proposed Maximum</w:t>
            </w:r>
          </w:p>
        </w:tc>
        <w:tc>
          <w:tcPr>
            <w:tcW w:w="14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38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840" w:type="dxa"/>
            <w:vAlign w:val="bottom"/>
          </w:tcPr>
          <w:p>
            <w:pPr>
              <w:jc w:val="center"/>
              <w:ind w:left="632"/>
              <w:spacing w:after="0"/>
              <w:rPr>
                <w:sz w:val="20"/>
                <w:szCs w:val="20"/>
                <w:color w:val="auto"/>
              </w:rPr>
            </w:pPr>
            <w:r>
              <w:rPr>
                <w:rFonts w:ascii="Arial" w:cs="Arial" w:eastAsia="Arial" w:hAnsi="Arial"/>
                <w:sz w:val="14"/>
                <w:szCs w:val="14"/>
                <w:b w:val="1"/>
                <w:bCs w:val="1"/>
                <w:color w:val="auto"/>
                <w:w w:val="85"/>
              </w:rPr>
              <w:t>Title of Each Class of Securities</w:t>
            </w:r>
          </w:p>
        </w:tc>
        <w:tc>
          <w:tcPr>
            <w:tcW w:w="2160" w:type="dxa"/>
            <w:vAlign w:val="bottom"/>
          </w:tcPr>
          <w:p>
            <w:pPr>
              <w:jc w:val="center"/>
              <w:ind w:left="832"/>
              <w:spacing w:after="0"/>
              <w:rPr>
                <w:sz w:val="20"/>
                <w:szCs w:val="20"/>
                <w:color w:val="auto"/>
              </w:rPr>
            </w:pPr>
            <w:r>
              <w:rPr>
                <w:rFonts w:ascii="Arial" w:cs="Arial" w:eastAsia="Arial" w:hAnsi="Arial"/>
                <w:sz w:val="14"/>
                <w:szCs w:val="14"/>
                <w:b w:val="1"/>
                <w:bCs w:val="1"/>
                <w:color w:val="auto"/>
                <w:w w:val="86"/>
              </w:rPr>
              <w:t>Amount to be</w:t>
            </w:r>
          </w:p>
        </w:tc>
        <w:tc>
          <w:tcPr>
            <w:tcW w:w="1560" w:type="dxa"/>
            <w:vAlign w:val="bottom"/>
          </w:tcPr>
          <w:p>
            <w:pPr>
              <w:jc w:val="center"/>
              <w:ind w:left="34"/>
              <w:spacing w:after="0"/>
              <w:rPr>
                <w:sz w:val="20"/>
                <w:szCs w:val="20"/>
                <w:color w:val="auto"/>
              </w:rPr>
            </w:pPr>
            <w:r>
              <w:rPr>
                <w:rFonts w:ascii="Arial" w:cs="Arial" w:eastAsia="Arial" w:hAnsi="Arial"/>
                <w:sz w:val="14"/>
                <w:szCs w:val="14"/>
                <w:b w:val="1"/>
                <w:bCs w:val="1"/>
                <w:color w:val="auto"/>
                <w:w w:val="88"/>
              </w:rPr>
              <w:t>Offering Price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Aggregate Offering</w:t>
            </w:r>
          </w:p>
        </w:tc>
        <w:tc>
          <w:tcPr>
            <w:tcW w:w="138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tcPr>
          <w:p>
            <w:pPr>
              <w:jc w:val="center"/>
              <w:ind w:left="632"/>
              <w:spacing w:after="0"/>
              <w:rPr>
                <w:sz w:val="20"/>
                <w:szCs w:val="20"/>
                <w:color w:val="auto"/>
              </w:rPr>
            </w:pPr>
            <w:r>
              <w:rPr>
                <w:rFonts w:ascii="Arial" w:cs="Arial" w:eastAsia="Arial" w:hAnsi="Arial"/>
                <w:sz w:val="14"/>
                <w:szCs w:val="14"/>
                <w:b w:val="1"/>
                <w:bCs w:val="1"/>
                <w:color w:val="auto"/>
                <w:w w:val="85"/>
              </w:rPr>
              <w:t>To Be Registered</w:t>
            </w:r>
          </w:p>
        </w:tc>
        <w:tc>
          <w:tcPr>
            <w:tcW w:w="2160" w:type="dxa"/>
            <w:vAlign w:val="bottom"/>
            <w:tcBorders>
              <w:bottom w:val="single" w:sz="8" w:color="auto"/>
            </w:tcBorders>
          </w:tcPr>
          <w:p>
            <w:pPr>
              <w:jc w:val="center"/>
              <w:ind w:left="832"/>
              <w:spacing w:after="0" w:line="203"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1560" w:type="dxa"/>
            <w:vAlign w:val="bottom"/>
            <w:tcBorders>
              <w:bottom w:val="single" w:sz="8" w:color="auto"/>
            </w:tcBorders>
          </w:tcPr>
          <w:p>
            <w:pPr>
              <w:jc w:val="center"/>
              <w:ind w:left="34"/>
              <w:spacing w:after="0" w:line="203" w:lineRule="exact"/>
              <w:rPr>
                <w:sz w:val="20"/>
                <w:szCs w:val="20"/>
                <w:color w:val="auto"/>
              </w:rPr>
            </w:pPr>
            <w:r>
              <w:rPr>
                <w:rFonts w:ascii="Arial" w:cs="Arial" w:eastAsia="Arial" w:hAnsi="Arial"/>
                <w:sz w:val="14"/>
                <w:szCs w:val="14"/>
                <w:b w:val="1"/>
                <w:bCs w:val="1"/>
                <w:color w:val="auto"/>
                <w:w w:val="83"/>
              </w:rPr>
              <w:t>Per Share</w:t>
            </w:r>
            <w:r>
              <w:rPr>
                <w:rFonts w:ascii="Arial" w:cs="Arial" w:eastAsia="Arial" w:hAnsi="Arial"/>
                <w:sz w:val="22"/>
                <w:szCs w:val="22"/>
                <w:b w:val="1"/>
                <w:bCs w:val="1"/>
                <w:color w:val="auto"/>
                <w:w w:val="83"/>
                <w:vertAlign w:val="superscript"/>
              </w:rPr>
              <w:t>(2)</w:t>
            </w:r>
          </w:p>
        </w:tc>
        <w:tc>
          <w:tcPr>
            <w:tcW w:w="14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0"/>
              </w:rPr>
              <w:t>Price</w:t>
            </w:r>
            <w:r>
              <w:rPr>
                <w:rFonts w:ascii="Arial" w:cs="Arial" w:eastAsia="Arial" w:hAnsi="Arial"/>
                <w:sz w:val="22"/>
                <w:szCs w:val="22"/>
                <w:b w:val="1"/>
                <w:bCs w:val="1"/>
                <w:color w:val="auto"/>
                <w:w w:val="80"/>
                <w:vertAlign w:val="superscript"/>
              </w:rPr>
              <w:t>(2)</w:t>
            </w:r>
          </w:p>
        </w:tc>
        <w:tc>
          <w:tcPr>
            <w:tcW w:w="1380" w:type="dxa"/>
            <w:vAlign w:val="bottom"/>
            <w:tcBorders>
              <w:bottom w:val="single" w:sz="8" w:color="auto"/>
            </w:tcBorders>
          </w:tcPr>
          <w:p>
            <w:pPr>
              <w:jc w:val="center"/>
              <w:ind w:left="12"/>
              <w:spacing w:after="0" w:line="203" w:lineRule="exact"/>
              <w:rPr>
                <w:sz w:val="20"/>
                <w:szCs w:val="20"/>
                <w:color w:val="auto"/>
              </w:rPr>
            </w:pPr>
            <w:r>
              <w:rPr>
                <w:rFonts w:ascii="Arial" w:cs="Arial" w:eastAsia="Arial" w:hAnsi="Arial"/>
                <w:sz w:val="14"/>
                <w:szCs w:val="14"/>
                <w:b w:val="1"/>
                <w:bCs w:val="1"/>
                <w:color w:val="auto"/>
                <w:w w:val="83"/>
              </w:rPr>
              <w:t>Registration Fee</w:t>
            </w:r>
            <w:r>
              <w:rPr>
                <w:rFonts w:ascii="Arial" w:cs="Arial" w:eastAsia="Arial" w:hAnsi="Arial"/>
                <w:sz w:val="22"/>
                <w:szCs w:val="22"/>
                <w:b w:val="1"/>
                <w:bCs w:val="1"/>
                <w:color w:val="auto"/>
                <w:w w:val="83"/>
                <w:vertAlign w:val="superscript"/>
              </w:rPr>
              <w:t>(3)(4)</w:t>
            </w:r>
          </w:p>
        </w:tc>
      </w:tr>
      <w:tr>
        <w:trPr>
          <w:trHeight w:val="167"/>
        </w:trPr>
        <w:tc>
          <w:tcPr>
            <w:tcW w:w="2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2160" w:type="dxa"/>
            <w:vAlign w:val="bottom"/>
            <w:tcBorders>
              <w:bottom w:val="single" w:sz="8" w:color="auto"/>
            </w:tcBorders>
          </w:tcPr>
          <w:p>
            <w:pPr>
              <w:jc w:val="center"/>
              <w:ind w:left="832"/>
              <w:spacing w:after="0"/>
              <w:rPr>
                <w:sz w:val="20"/>
                <w:szCs w:val="20"/>
                <w:color w:val="auto"/>
              </w:rPr>
            </w:pPr>
            <w:r>
              <w:rPr>
                <w:rFonts w:ascii="Arial" w:cs="Arial" w:eastAsia="Arial" w:hAnsi="Arial"/>
                <w:sz w:val="14"/>
                <w:szCs w:val="14"/>
                <w:color w:val="auto"/>
                <w:w w:val="86"/>
              </w:rPr>
              <w:t>6,785,000</w:t>
            </w:r>
          </w:p>
        </w:tc>
        <w:tc>
          <w:tcPr>
            <w:tcW w:w="15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color w:val="auto"/>
                <w:w w:val="88"/>
              </w:rPr>
              <w:t>$18.00</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$122,130,000</w:t>
            </w:r>
          </w:p>
        </w:tc>
        <w:tc>
          <w:tcPr>
            <w:tcW w:w="13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88"/>
              </w:rPr>
              <w:t>$12,298.50</w:t>
            </w: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885,000 shares of common stock the underwriters have the option to purchase.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457(a) based on an estimate of the proposed maximum aggregate offering price.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 registration fee of $10,070 was previously paid in connection with the Registration Statement, and the additional amount of $2,228.50 is being paid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135890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60" w:firstLine="338"/>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PRELIMINARY PROSPECTUS (Subject to Completion)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Dated January 25, 2016</w:t>
      </w:r>
    </w:p>
    <w:p>
      <w:pPr>
        <w:spacing w:after="0" w:line="213"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F1665F"/>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5,900,000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161290</wp:posOffset>
            </wp:positionV>
            <wp:extent cx="2066925" cy="857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6692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161290</wp:posOffset>
            </wp:positionV>
            <wp:extent cx="1603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Editas Medicine, Inc. is offering 5,900,000 shares of its common stock. This is our initial public offering, and no public market currently exists for our shares. We anticipate that the initial public offering price will be between $16.00 and $18.00 per share.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applied to list our common stock on The NASDAQ Global Market under the trading symbol "EDIT."</w:t>
      </w:r>
    </w:p>
    <w:p>
      <w:pPr>
        <w:spacing w:after="0" w:line="225" w:lineRule="exact"/>
        <w:rPr>
          <w:sz w:val="20"/>
          <w:szCs w:val="20"/>
          <w:color w:val="auto"/>
        </w:rPr>
      </w:pPr>
    </w:p>
    <w:p>
      <w:pPr>
        <w:ind w:right="160" w:firstLine="611"/>
        <w:spacing w:after="0" w:line="25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 See "Prospectus Summary—Implications of Being an Emerging Growth Company."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Investing in our common stock involves risks. See "Risk Factors" beginning on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148590</wp:posOffset>
            </wp:positionV>
            <wp:extent cx="1603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2"/>
          <w:szCs w:val="22"/>
          <w:b w:val="1"/>
          <w:bCs w:val="1"/>
          <w:color w:val="auto"/>
        </w:rPr>
        <w:t>PRICE $</w:t>
      </w:r>
      <w:r>
        <w:rPr>
          <w:sz w:val="20"/>
          <w:szCs w:val="20"/>
          <w:color w:val="auto"/>
        </w:rPr>
        <w:tab/>
      </w:r>
      <w:r>
        <w:rPr>
          <w:rFonts w:ascii="Arial" w:cs="Arial" w:eastAsia="Arial" w:hAnsi="Arial"/>
          <w:sz w:val="21"/>
          <w:szCs w:val="21"/>
          <w:b w:val="1"/>
          <w:b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148590</wp:posOffset>
            </wp:positionV>
            <wp:extent cx="1603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Underwriting</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25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7"/>
              </w:rPr>
              <w:t>Price to</w:t>
            </w:r>
          </w:p>
        </w:tc>
        <w:tc>
          <w:tcPr>
            <w:tcW w:w="5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Discounts and</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3"/>
              </w:rPr>
              <w:t>Proceeds to</w:t>
            </w:r>
          </w:p>
        </w:tc>
      </w:tr>
      <w:tr>
        <w:trPr>
          <w:trHeight w:val="268"/>
        </w:trPr>
        <w:tc>
          <w:tcPr>
            <w:tcW w:w="254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Public</w:t>
            </w:r>
          </w:p>
        </w:tc>
        <w:tc>
          <w:tcPr>
            <w:tcW w:w="540" w:type="dxa"/>
            <w:vAlign w:val="bottom"/>
          </w:tcPr>
          <w:p>
            <w:pPr>
              <w:spacing w:after="0"/>
              <w:rPr>
                <w:sz w:val="23"/>
                <w:szCs w:val="23"/>
                <w:color w:val="auto"/>
              </w:rPr>
            </w:pPr>
          </w:p>
        </w:tc>
        <w:tc>
          <w:tcPr>
            <w:tcW w:w="122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b w:val="1"/>
                <w:bCs w:val="1"/>
                <w:color w:val="auto"/>
                <w:w w:val="81"/>
              </w:rPr>
              <w:t>Commissions</w:t>
            </w:r>
            <w:r>
              <w:rPr>
                <w:rFonts w:ascii="Arial" w:cs="Arial" w:eastAsia="Arial" w:hAnsi="Arial"/>
                <w:sz w:val="29"/>
                <w:szCs w:val="29"/>
                <w:b w:val="1"/>
                <w:bCs w:val="1"/>
                <w:color w:val="auto"/>
                <w:w w:val="81"/>
                <w:vertAlign w:val="superscript"/>
              </w:rPr>
              <w:t>(1)</w:t>
            </w:r>
          </w:p>
        </w:tc>
        <w:tc>
          <w:tcPr>
            <w:tcW w:w="400" w:type="dxa"/>
            <w:vAlign w:val="bottom"/>
          </w:tcPr>
          <w:p>
            <w:pPr>
              <w:spacing w:after="0"/>
              <w:rPr>
                <w:sz w:val="23"/>
                <w:szCs w:val="23"/>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Editas</w:t>
            </w:r>
          </w:p>
        </w:tc>
      </w:tr>
      <w:tr>
        <w:trPr>
          <w:trHeight w:val="201"/>
        </w:trPr>
        <w:tc>
          <w:tcPr>
            <w:tcW w:w="2540" w:type="dxa"/>
            <w:vAlign w:val="bottom"/>
          </w:tcPr>
          <w:p>
            <w:pPr>
              <w:ind w:left="1220"/>
              <w:spacing w:after="0" w:line="201" w:lineRule="exact"/>
              <w:rPr>
                <w:sz w:val="20"/>
                <w:szCs w:val="20"/>
                <w:color w:val="auto"/>
              </w:rPr>
            </w:pPr>
            <w:r>
              <w:rPr>
                <w:rFonts w:ascii="Arial" w:cs="Arial" w:eastAsia="Arial" w:hAnsi="Arial"/>
                <w:sz w:val="18"/>
                <w:szCs w:val="18"/>
                <w:color w:val="auto"/>
              </w:rPr>
              <w:t>Per Share</w:t>
            </w:r>
          </w:p>
        </w:tc>
        <w:tc>
          <w:tcPr>
            <w:tcW w:w="5000" w:type="dxa"/>
            <w:vAlign w:val="bottom"/>
          </w:tcPr>
          <w:p>
            <w:pPr>
              <w:ind w:left="4920"/>
              <w:spacing w:after="0"/>
              <w:rPr>
                <w:sz w:val="20"/>
                <w:szCs w:val="20"/>
                <w:color w:val="auto"/>
              </w:rPr>
            </w:pPr>
            <w:r>
              <w:rPr>
                <w:rFonts w:ascii="Arial" w:cs="Arial" w:eastAsia="Arial" w:hAnsi="Arial"/>
                <w:sz w:val="15"/>
                <w:szCs w:val="15"/>
                <w:color w:val="auto"/>
                <w:w w:val="71"/>
              </w:rPr>
              <w:t>$</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ind w:right="832"/>
              <w:spacing w:after="0" w:line="201"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ind w:right="692"/>
              <w:spacing w:after="0" w:line="201" w:lineRule="exact"/>
              <w:rPr>
                <w:sz w:val="20"/>
                <w:szCs w:val="20"/>
                <w:color w:val="auto"/>
              </w:rPr>
            </w:pPr>
            <w:r>
              <w:rPr>
                <w:rFonts w:ascii="Arial" w:cs="Arial" w:eastAsia="Arial" w:hAnsi="Arial"/>
                <w:sz w:val="18"/>
                <w:szCs w:val="18"/>
                <w:color w:val="auto"/>
              </w:rPr>
              <w:t>$</w:t>
            </w:r>
          </w:p>
        </w:tc>
      </w:tr>
      <w:tr>
        <w:trPr>
          <w:trHeight w:val="222"/>
        </w:trPr>
        <w:tc>
          <w:tcPr>
            <w:tcW w:w="2540" w:type="dxa"/>
            <w:vAlign w:val="bottom"/>
          </w:tcPr>
          <w:p>
            <w:pPr>
              <w:ind w:left="1220"/>
              <w:spacing w:after="0"/>
              <w:rPr>
                <w:sz w:val="20"/>
                <w:szCs w:val="20"/>
                <w:color w:val="auto"/>
              </w:rPr>
            </w:pPr>
            <w:r>
              <w:rPr>
                <w:rFonts w:ascii="Arial" w:cs="Arial" w:eastAsia="Arial" w:hAnsi="Arial"/>
                <w:sz w:val="18"/>
                <w:szCs w:val="18"/>
                <w:color w:val="auto"/>
              </w:rPr>
              <w:t>Total</w:t>
            </w:r>
          </w:p>
        </w:tc>
        <w:tc>
          <w:tcPr>
            <w:tcW w:w="5620" w:type="dxa"/>
            <w:vAlign w:val="bottom"/>
            <w:gridSpan w:val="2"/>
          </w:tcPr>
          <w:p>
            <w:pPr>
              <w:ind w:left="49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r>
      <w:tr>
        <w:trPr>
          <w:trHeight w:val="110"/>
        </w:trPr>
        <w:tc>
          <w:tcPr>
            <w:tcW w:w="254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FINRA-related expenses. See "Underwriters."</w:t>
      </w:r>
    </w:p>
    <w:p>
      <w:pPr>
        <w:spacing w:after="0" w:line="225"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We have granted the underwriters an option to purchase up to 885,000 additional shares of common stock to cover over-allotments. The underwriters can exercise this option at any time within 30 days after the date of this prospectus.</w:t>
      </w:r>
    </w:p>
    <w:p>
      <w:pPr>
        <w:spacing w:after="0" w:line="180" w:lineRule="exact"/>
        <w:rPr>
          <w:sz w:val="20"/>
          <w:szCs w:val="20"/>
          <w:color w:val="auto"/>
        </w:rPr>
      </w:pPr>
    </w:p>
    <w:p>
      <w:pPr>
        <w:ind w:right="180" w:firstLine="615"/>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134"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6360" w:type="dxa"/>
            <w:vAlign w:val="bottom"/>
            <w:gridSpan w:val="2"/>
          </w:tcPr>
          <w:p>
            <w:pPr>
              <w:spacing w:after="0"/>
              <w:rPr>
                <w:sz w:val="20"/>
                <w:szCs w:val="20"/>
                <w:color w:val="auto"/>
              </w:rPr>
            </w:pPr>
            <w:r>
              <w:rPr>
                <w:rFonts w:ascii="Arial" w:cs="Arial" w:eastAsia="Arial" w:hAnsi="Arial"/>
                <w:sz w:val="18"/>
                <w:szCs w:val="18"/>
                <w:color w:val="auto"/>
                <w:w w:val="89"/>
              </w:rPr>
              <w:t>The underwriters expect to deliver the shares of common stock to purchasers on or about</w:t>
            </w:r>
          </w:p>
        </w:tc>
        <w:tc>
          <w:tcPr>
            <w:tcW w:w="1420" w:type="dxa"/>
            <w:vAlign w:val="bottom"/>
          </w:tcPr>
          <w:p>
            <w:pPr>
              <w:jc w:val="right"/>
              <w:spacing w:after="0"/>
              <w:rPr>
                <w:sz w:val="20"/>
                <w:szCs w:val="20"/>
                <w:color w:val="auto"/>
              </w:rPr>
            </w:pPr>
            <w:r>
              <w:rPr>
                <w:rFonts w:ascii="Arial" w:cs="Arial" w:eastAsia="Arial" w:hAnsi="Arial"/>
                <w:sz w:val="18"/>
                <w:szCs w:val="18"/>
                <w:color w:val="auto"/>
              </w:rPr>
              <w:t>, 2016.</w:t>
            </w:r>
          </w:p>
        </w:tc>
      </w:tr>
      <w:tr>
        <w:trPr>
          <w:trHeight w:val="218"/>
        </w:trPr>
        <w:tc>
          <w:tcPr>
            <w:tcW w:w="384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420" w:type="dxa"/>
            <w:vAlign w:val="bottom"/>
          </w:tcPr>
          <w:p>
            <w:pPr>
              <w:spacing w:after="0"/>
              <w:rPr>
                <w:sz w:val="18"/>
                <w:szCs w:val="18"/>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tabs>
          <w:tab w:leader="none" w:pos="9140" w:val="left"/>
        </w:tabs>
        <w:rPr>
          <w:sz w:val="20"/>
          <w:szCs w:val="20"/>
          <w:color w:val="auto"/>
        </w:rPr>
      </w:pPr>
      <w:r>
        <w:rPr>
          <w:rFonts w:ascii="Arial" w:cs="Arial" w:eastAsia="Arial" w:hAnsi="Arial"/>
          <w:sz w:val="43"/>
          <w:szCs w:val="43"/>
          <w:b w:val="1"/>
          <w:bCs w:val="1"/>
          <w:color w:val="auto"/>
        </w:rPr>
        <w:t>Morgan Stanley</w:t>
      </w:r>
      <w:r>
        <w:rPr>
          <w:sz w:val="20"/>
          <w:szCs w:val="20"/>
          <w:color w:val="auto"/>
        </w:rPr>
        <w:tab/>
      </w:r>
      <w:r>
        <w:rPr>
          <w:rFonts w:ascii="Arial" w:cs="Arial" w:eastAsia="Arial" w:hAnsi="Arial"/>
          <w:sz w:val="39"/>
          <w:szCs w:val="39"/>
          <w:b w:val="1"/>
          <w:bCs w:val="1"/>
          <w:color w:val="auto"/>
        </w:rPr>
        <w:t>J.P. Morgan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Cowen and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JMP Securities</w:t>
      </w:r>
    </w:p>
    <w:p>
      <w:pPr>
        <w:sectPr>
          <w:pgSz w:w="11900" w:h="16838" w:orient="portrait"/>
          <w:cols w:equalWidth="0" w:num="1">
            <w:col w:w="11420"/>
          </w:cols>
          <w:pgMar w:left="240" w:top="131" w:right="239" w:bottom="236" w:gutter="0" w:footer="0" w:header="0"/>
        </w:sectPr>
      </w:pPr>
    </w:p>
    <w:p>
      <w:pPr>
        <w:spacing w:after="0" w:line="200" w:lineRule="exact"/>
        <w:rPr>
          <w:sz w:val="20"/>
          <w:szCs w:val="20"/>
          <w:color w:val="auto"/>
        </w:rPr>
      </w:pPr>
    </w:p>
    <w:p>
      <w:pPr>
        <w:spacing w:after="0" w:line="32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36" w:gutter="0" w:footer="0" w:header="0"/>
          <w:type w:val="continuous"/>
        </w:sectPr>
      </w:pPr>
    </w:p>
    <w:bookmarkStart w:id="3" w:name="page4"/>
    <w:bookmarkEnd w:id="3"/>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40" w:type="dxa"/>
            <w:vAlign w:val="bottom"/>
            <w:gridSpan w:val="6"/>
          </w:tcPr>
          <w:p>
            <w:pPr>
              <w:ind w:left="38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171"/>
        </w:trPr>
        <w:tc>
          <w:tcPr>
            <w:tcW w:w="1500" w:type="dxa"/>
            <w:vAlign w:val="bottom"/>
            <w:tcBorders>
              <w:bottom w:val="single" w:sz="8" w:color="0000EE"/>
            </w:tcBorders>
            <w:gridSpan w:val="10"/>
          </w:tcPr>
          <w:p>
            <w:pPr>
              <w:spacing w:after="0" w:line="171"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6980" w:type="dxa"/>
            <w:vAlign w:val="bottom"/>
            <w:gridSpan w:val="14"/>
          </w:tcPr>
          <w:p>
            <w:pPr>
              <w:spacing w:after="0"/>
              <w:rPr>
                <w:sz w:val="14"/>
                <w:szCs w:val="14"/>
                <w:color w:val="auto"/>
              </w:rPr>
            </w:pPr>
          </w:p>
        </w:tc>
        <w:tc>
          <w:tcPr>
            <w:tcW w:w="400" w:type="dxa"/>
            <w:vAlign w:val="bottom"/>
            <w:gridSpan w:val="3"/>
          </w:tcPr>
          <w:p>
            <w:pPr>
              <w:spacing w:after="0"/>
              <w:rPr>
                <w:sz w:val="14"/>
                <w:szCs w:val="14"/>
                <w:color w:val="auto"/>
              </w:rPr>
            </w:pPr>
          </w:p>
        </w:tc>
        <w:tc>
          <w:tcPr>
            <w:tcW w:w="100" w:type="dxa"/>
            <w:vAlign w:val="bottom"/>
            <w:tcBorders>
              <w:bottom w:val="single" w:sz="8" w:color="0000EE"/>
            </w:tcBorders>
          </w:tcPr>
          <w:p>
            <w:pPr>
              <w:jc w:val="right"/>
              <w:spacing w:after="0" w:line="171"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7580" w:type="dxa"/>
            <w:vAlign w:val="bottom"/>
            <w:gridSpan w:val="20"/>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r>
      <w:tr>
        <w:trPr>
          <w:trHeight w:val="196"/>
        </w:trPr>
        <w:tc>
          <w:tcPr>
            <w:tcW w:w="51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Special Note Regarding Forward-Looking Statements and Industry Data</w:t>
              </w:r>
            </w:hyperlink>
          </w:p>
        </w:tc>
        <w:tc>
          <w:tcPr>
            <w:tcW w:w="3380" w:type="dxa"/>
            <w:vAlign w:val="bottom"/>
            <w:gridSpan w:val="4"/>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68</w:t>
              </w:r>
            </w:hyperlink>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Use of Proceeds</w:t>
              </w:r>
            </w:hyperlink>
          </w:p>
        </w:tc>
        <w:tc>
          <w:tcPr>
            <w:tcW w:w="7320" w:type="dxa"/>
            <w:vAlign w:val="bottom"/>
            <w:gridSpan w:val="15"/>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69</w:t>
              </w:r>
            </w:hyperlink>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Dividend Policy</w:t>
              </w:r>
            </w:hyperlink>
          </w:p>
        </w:tc>
        <w:tc>
          <w:tcPr>
            <w:tcW w:w="7320" w:type="dxa"/>
            <w:vAlign w:val="bottom"/>
            <w:gridSpan w:val="15"/>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70</w:t>
              </w:r>
            </w:hyperlink>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Capitalization</w:t>
              </w:r>
            </w:hyperlink>
          </w:p>
        </w:tc>
        <w:tc>
          <w:tcPr>
            <w:tcW w:w="7480" w:type="dxa"/>
            <w:vAlign w:val="bottom"/>
            <w:gridSpan w:val="16"/>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71</w:t>
              </w:r>
            </w:hyperlink>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Dilution</w:t>
              </w:r>
            </w:hyperlink>
          </w:p>
        </w:tc>
        <w:tc>
          <w:tcPr>
            <w:tcW w:w="7880" w:type="dxa"/>
            <w:vAlign w:val="bottom"/>
            <w:gridSpan w:val="22"/>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73</w:t>
              </w:r>
            </w:hyperlink>
          </w:p>
        </w:tc>
      </w:tr>
      <w:tr>
        <w:trPr>
          <w:trHeight w:val="196"/>
        </w:trPr>
        <w:tc>
          <w:tcPr>
            <w:tcW w:w="16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Selected Financial Data</w:t>
              </w:r>
            </w:hyperlink>
          </w:p>
        </w:tc>
        <w:tc>
          <w:tcPr>
            <w:tcW w:w="6800" w:type="dxa"/>
            <w:vAlign w:val="bottom"/>
            <w:gridSpan w:val="12"/>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76</w:t>
              </w:r>
            </w:hyperlink>
          </w:p>
        </w:tc>
      </w:tr>
      <w:tr>
        <w:trPr>
          <w:trHeight w:val="196"/>
        </w:trPr>
        <w:tc>
          <w:tcPr>
            <w:tcW w:w="63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Management's Discussion and Analysis of Financial Condition and Results of Operations</w:t>
              </w:r>
            </w:hyperlink>
          </w:p>
        </w:tc>
        <w:tc>
          <w:tcPr>
            <w:tcW w:w="218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78</w:t>
              </w:r>
            </w:hyperlink>
          </w:p>
        </w:tc>
      </w:tr>
      <w:tr>
        <w:trPr>
          <w:trHeight w:val="196"/>
        </w:trPr>
        <w:tc>
          <w:tcPr>
            <w:tcW w:w="640" w:type="dxa"/>
            <w:vAlign w:val="bottom"/>
            <w:gridSpan w:val="3"/>
          </w:tcPr>
          <w:p>
            <w:pPr>
              <w:spacing w:after="0" w:line="196" w:lineRule="exact"/>
              <w:rPr>
                <w:rFonts w:ascii="Arial" w:cs="Arial" w:eastAsia="Arial" w:hAnsi="Arial"/>
                <w:sz w:val="18"/>
                <w:szCs w:val="18"/>
                <w:color w:val="0000EE"/>
                <w:w w:val="84"/>
              </w:rPr>
            </w:pPr>
            <w:hyperlink w:anchor="page105">
              <w:r>
                <w:rPr>
                  <w:rFonts w:ascii="Arial" w:cs="Arial" w:eastAsia="Arial" w:hAnsi="Arial"/>
                  <w:sz w:val="18"/>
                  <w:szCs w:val="18"/>
                  <w:color w:val="0000EE"/>
                  <w:w w:val="84"/>
                </w:rPr>
                <w:t>Business</w:t>
              </w:r>
            </w:hyperlink>
          </w:p>
        </w:tc>
        <w:tc>
          <w:tcPr>
            <w:tcW w:w="7840" w:type="dxa"/>
            <w:vAlign w:val="bottom"/>
            <w:gridSpan w:val="21"/>
          </w:tcPr>
          <w:p>
            <w:pPr>
              <w:spacing w:after="0"/>
              <w:rPr>
                <w:sz w:val="17"/>
                <w:szCs w:val="17"/>
                <w:color w:val="auto"/>
              </w:rPr>
            </w:pPr>
          </w:p>
        </w:tc>
        <w:tc>
          <w:tcPr>
            <w:tcW w:w="500" w:type="dxa"/>
            <w:vAlign w:val="bottom"/>
            <w:gridSpan w:val="4"/>
          </w:tcPr>
          <w:p>
            <w:pPr>
              <w:jc w:val="right"/>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101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8480" w:type="dxa"/>
            <w:vAlign w:val="bottom"/>
            <w:gridSpan w:val="24"/>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Management</w:t>
              </w:r>
            </w:hyperlink>
          </w:p>
        </w:tc>
        <w:tc>
          <w:tcPr>
            <w:tcW w:w="500" w:type="dxa"/>
            <w:vAlign w:val="bottom"/>
            <w:gridSpan w:val="4"/>
          </w:tcPr>
          <w:p>
            <w:pPr>
              <w:jc w:val="right"/>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162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2700" w:type="dxa"/>
            <w:vAlign w:val="bottom"/>
            <w:gridSpan w:val="16"/>
          </w:tcPr>
          <w:p>
            <w:pPr>
              <w:spacing w:after="0" w:line="196" w:lineRule="exact"/>
              <w:rPr>
                <w:rFonts w:ascii="Arial" w:cs="Arial" w:eastAsia="Arial" w:hAnsi="Arial"/>
                <w:sz w:val="18"/>
                <w:szCs w:val="18"/>
                <w:color w:val="0000EE"/>
                <w:w w:val="88"/>
              </w:rPr>
            </w:pPr>
            <w:hyperlink w:anchor="page174">
              <w:r>
                <w:rPr>
                  <w:rFonts w:ascii="Arial" w:cs="Arial" w:eastAsia="Arial" w:hAnsi="Arial"/>
                  <w:sz w:val="18"/>
                  <w:szCs w:val="18"/>
                  <w:color w:val="0000EE"/>
                  <w:w w:val="88"/>
                </w:rPr>
                <w:t>Executive and Director Compensation</w:t>
              </w:r>
            </w:hyperlink>
          </w:p>
        </w:tc>
        <w:tc>
          <w:tcPr>
            <w:tcW w:w="5780" w:type="dxa"/>
            <w:vAlign w:val="bottom"/>
            <w:gridSpan w:val="8"/>
          </w:tcPr>
          <w:p>
            <w:pPr>
              <w:spacing w:after="0"/>
              <w:rPr>
                <w:sz w:val="17"/>
                <w:szCs w:val="17"/>
                <w:color w:val="auto"/>
              </w:rPr>
            </w:pPr>
          </w:p>
        </w:tc>
        <w:tc>
          <w:tcPr>
            <w:tcW w:w="500" w:type="dxa"/>
            <w:vAlign w:val="bottom"/>
            <w:gridSpan w:val="4"/>
          </w:tcPr>
          <w:p>
            <w:pPr>
              <w:jc w:val="right"/>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170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3860" w:type="dxa"/>
            <w:vAlign w:val="bottom"/>
            <w:gridSpan w:val="19"/>
          </w:tcPr>
          <w:p>
            <w:pPr>
              <w:spacing w:after="0" w:line="196" w:lineRule="exact"/>
              <w:rPr>
                <w:rFonts w:ascii="Arial" w:cs="Arial" w:eastAsia="Arial" w:hAnsi="Arial"/>
                <w:sz w:val="18"/>
                <w:szCs w:val="18"/>
                <w:color w:val="0000EE"/>
                <w:w w:val="86"/>
              </w:rPr>
            </w:pPr>
            <w:hyperlink w:anchor="page187">
              <w:r>
                <w:rPr>
                  <w:rFonts w:ascii="Arial" w:cs="Arial" w:eastAsia="Arial" w:hAnsi="Arial"/>
                  <w:sz w:val="18"/>
                  <w:szCs w:val="18"/>
                  <w:color w:val="0000EE"/>
                  <w:w w:val="86"/>
                </w:rPr>
                <w:t>Certain Relationships and Related Person Transactions</w:t>
              </w:r>
            </w:hyperlink>
          </w:p>
        </w:tc>
        <w:tc>
          <w:tcPr>
            <w:tcW w:w="4620" w:type="dxa"/>
            <w:vAlign w:val="bottom"/>
            <w:gridSpan w:val="5"/>
          </w:tcPr>
          <w:p>
            <w:pPr>
              <w:spacing w:after="0"/>
              <w:rPr>
                <w:sz w:val="17"/>
                <w:szCs w:val="17"/>
                <w:color w:val="auto"/>
              </w:rPr>
            </w:pPr>
          </w:p>
        </w:tc>
        <w:tc>
          <w:tcPr>
            <w:tcW w:w="500" w:type="dxa"/>
            <w:vAlign w:val="bottom"/>
            <w:gridSpan w:val="4"/>
          </w:tcPr>
          <w:p>
            <w:pPr>
              <w:jc w:val="right"/>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183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3860" w:type="dxa"/>
            <w:vAlign w:val="bottom"/>
            <w:gridSpan w:val="19"/>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Principal Stockholders</w:t>
              </w:r>
            </w:hyperlink>
          </w:p>
        </w:tc>
        <w:tc>
          <w:tcPr>
            <w:tcW w:w="4620" w:type="dxa"/>
            <w:vAlign w:val="bottom"/>
            <w:gridSpan w:val="5"/>
          </w:tcPr>
          <w:p>
            <w:pPr>
              <w:spacing w:after="0"/>
              <w:rPr>
                <w:sz w:val="17"/>
                <w:szCs w:val="17"/>
                <w:color w:val="auto"/>
              </w:rPr>
            </w:pPr>
          </w:p>
        </w:tc>
        <w:tc>
          <w:tcPr>
            <w:tcW w:w="500" w:type="dxa"/>
            <w:vAlign w:val="bottom"/>
            <w:gridSpan w:val="4"/>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188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2020" w:type="dxa"/>
            <w:vAlign w:val="bottom"/>
            <w:gridSpan w:val="13"/>
          </w:tcPr>
          <w:p>
            <w:pPr>
              <w:spacing w:after="0" w:line="196"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Description of Capital Stock</w:t>
              </w:r>
            </w:hyperlink>
          </w:p>
        </w:tc>
        <w:tc>
          <w:tcPr>
            <w:tcW w:w="6460" w:type="dxa"/>
            <w:vAlign w:val="bottom"/>
            <w:gridSpan w:val="11"/>
          </w:tcPr>
          <w:p>
            <w:pPr>
              <w:spacing w:after="0"/>
              <w:rPr>
                <w:sz w:val="17"/>
                <w:szCs w:val="17"/>
                <w:color w:val="auto"/>
              </w:rPr>
            </w:pPr>
          </w:p>
        </w:tc>
        <w:tc>
          <w:tcPr>
            <w:tcW w:w="50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192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2180" w:type="dxa"/>
            <w:vAlign w:val="bottom"/>
            <w:gridSpan w:val="15"/>
          </w:tcPr>
          <w:p>
            <w:pPr>
              <w:spacing w:after="0" w:line="196" w:lineRule="exact"/>
              <w:rPr>
                <w:rFonts w:ascii="Arial" w:cs="Arial" w:eastAsia="Arial" w:hAnsi="Arial"/>
                <w:sz w:val="18"/>
                <w:szCs w:val="18"/>
                <w:color w:val="0000EE"/>
                <w:w w:val="88"/>
              </w:rPr>
            </w:pPr>
            <w:hyperlink w:anchor="page201">
              <w:r>
                <w:rPr>
                  <w:rFonts w:ascii="Arial" w:cs="Arial" w:eastAsia="Arial" w:hAnsi="Arial"/>
                  <w:sz w:val="18"/>
                  <w:szCs w:val="18"/>
                  <w:color w:val="0000EE"/>
                  <w:w w:val="88"/>
                </w:rPr>
                <w:t>Shares Eligible for Future Sale</w:t>
              </w:r>
            </w:hyperlink>
          </w:p>
        </w:tc>
        <w:tc>
          <w:tcPr>
            <w:tcW w:w="6300" w:type="dxa"/>
            <w:vAlign w:val="bottom"/>
            <w:gridSpan w:val="9"/>
          </w:tcPr>
          <w:p>
            <w:pPr>
              <w:spacing w:after="0"/>
              <w:rPr>
                <w:sz w:val="17"/>
                <w:szCs w:val="17"/>
                <w:color w:val="auto"/>
              </w:rPr>
            </w:pPr>
          </w:p>
        </w:tc>
        <w:tc>
          <w:tcPr>
            <w:tcW w:w="500" w:type="dxa"/>
            <w:vAlign w:val="bottom"/>
            <w:gridSpan w:val="4"/>
          </w:tcPr>
          <w:p>
            <w:pPr>
              <w:jc w:val="right"/>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197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8480" w:type="dxa"/>
            <w:vAlign w:val="bottom"/>
            <w:gridSpan w:val="24"/>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Material U.S. Federal Income and Estate Tax Considerations for Non-U.S. Holders of Common Stock</w:t>
              </w:r>
            </w:hyperlink>
          </w:p>
        </w:tc>
        <w:tc>
          <w:tcPr>
            <w:tcW w:w="500" w:type="dxa"/>
            <w:vAlign w:val="bottom"/>
            <w:gridSpan w:val="4"/>
          </w:tcPr>
          <w:p>
            <w:pPr>
              <w:jc w:val="right"/>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200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360" w:type="dxa"/>
            <w:vAlign w:val="bottom"/>
            <w:gridSpan w:val="6"/>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940" w:type="dxa"/>
            <w:vAlign w:val="bottom"/>
            <w:gridSpan w:val="6"/>
          </w:tcPr>
          <w:p>
            <w:pPr>
              <w:spacing w:after="0" w:line="196" w:lineRule="exact"/>
              <w:rPr>
                <w:rFonts w:ascii="Arial" w:cs="Arial" w:eastAsia="Arial" w:hAnsi="Arial"/>
                <w:sz w:val="18"/>
                <w:szCs w:val="18"/>
                <w:color w:val="0000EE"/>
                <w:w w:val="90"/>
              </w:rPr>
            </w:pPr>
            <w:hyperlink w:anchor="page209">
              <w:r>
                <w:rPr>
                  <w:rFonts w:ascii="Arial" w:cs="Arial" w:eastAsia="Arial" w:hAnsi="Arial"/>
                  <w:sz w:val="18"/>
                  <w:szCs w:val="18"/>
                  <w:color w:val="0000EE"/>
                  <w:w w:val="90"/>
                </w:rPr>
                <w:t>Underwriters</w:t>
              </w:r>
            </w:hyperlink>
          </w:p>
        </w:tc>
        <w:tc>
          <w:tcPr>
            <w:tcW w:w="6220" w:type="dxa"/>
            <w:vAlign w:val="bottom"/>
            <w:gridSpan w:val="17"/>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205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8480" w:type="dxa"/>
            <w:vAlign w:val="bottom"/>
            <w:gridSpan w:val="24"/>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Legal Matters</w:t>
              </w:r>
            </w:hyperlink>
          </w:p>
        </w:tc>
        <w:tc>
          <w:tcPr>
            <w:tcW w:w="500" w:type="dxa"/>
            <w:vAlign w:val="bottom"/>
            <w:gridSpan w:val="4"/>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217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980" w:type="dxa"/>
            <w:vAlign w:val="bottom"/>
            <w:gridSpan w:val="7"/>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Experts</w:t>
              </w:r>
            </w:hyperlink>
          </w:p>
        </w:tc>
        <w:tc>
          <w:tcPr>
            <w:tcW w:w="7500" w:type="dxa"/>
            <w:vAlign w:val="bottom"/>
            <w:gridSpan w:val="17"/>
          </w:tcPr>
          <w:p>
            <w:pPr>
              <w:spacing w:after="0"/>
              <w:rPr>
                <w:sz w:val="17"/>
                <w:szCs w:val="17"/>
                <w:color w:val="auto"/>
              </w:rPr>
            </w:pPr>
          </w:p>
        </w:tc>
        <w:tc>
          <w:tcPr>
            <w:tcW w:w="500" w:type="dxa"/>
            <w:vAlign w:val="bottom"/>
            <w:gridSpan w:val="4"/>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217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560" w:type="dxa"/>
            <w:vAlign w:val="bottom"/>
            <w:gridSpan w:val="1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8480" w:type="dxa"/>
            <w:vAlign w:val="bottom"/>
            <w:gridSpan w:val="24"/>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Where You Can Find More Information</w:t>
              </w:r>
            </w:hyperlink>
          </w:p>
        </w:tc>
        <w:tc>
          <w:tcPr>
            <w:tcW w:w="500" w:type="dxa"/>
            <w:vAlign w:val="bottom"/>
            <w:gridSpan w:val="4"/>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217</w:t>
              </w:r>
            </w:hyperlink>
          </w:p>
        </w:tc>
      </w:tr>
      <w:tr>
        <w:trPr>
          <w:trHeight w:val="196"/>
        </w:trPr>
        <w:tc>
          <w:tcPr>
            <w:tcW w:w="2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Index to Financial Statements</w:t>
              </w:r>
            </w:hyperlink>
          </w:p>
        </w:tc>
        <w:tc>
          <w:tcPr>
            <w:tcW w:w="5680" w:type="dxa"/>
            <w:vAlign w:val="bottom"/>
            <w:gridSpan w:val="7"/>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1"/>
              </w:rPr>
            </w:pPr>
            <w:hyperlink w:anchor="page222">
              <w:r>
                <w:rPr>
                  <w:rFonts w:ascii="Arial" w:cs="Arial" w:eastAsia="Arial" w:hAnsi="Arial"/>
                  <w:sz w:val="18"/>
                  <w:szCs w:val="18"/>
                  <w:color w:val="0000EE"/>
                  <w:w w:val="81"/>
                </w:rPr>
                <w:t>F-1</w:t>
              </w:r>
            </w:hyperlink>
          </w:p>
        </w:tc>
      </w:tr>
      <w:tr>
        <w:trPr>
          <w:trHeight w:val="237"/>
        </w:trPr>
        <w:tc>
          <w:tcPr>
            <w:tcW w:w="5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bl>
    <w:p>
      <w:pPr>
        <w:spacing w:after="0" w:line="200" w:lineRule="exact"/>
        <w:rPr>
          <w:sz w:val="20"/>
          <w:szCs w:val="20"/>
          <w:color w:val="auto"/>
        </w:rPr>
      </w:pPr>
    </w:p>
    <w:p>
      <w:pPr>
        <w:spacing w:after="0" w:line="332"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to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our common stock. Our business, financial condition, results of operations, and prospects may have changed since that date.</w:t>
      </w:r>
    </w:p>
    <w:p>
      <w:pPr>
        <w:spacing w:after="0" w:line="198"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930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right="160" w:firstLine="615"/>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You should also consider, among other things, the matters described under "Risk Factors" beginning on page 11.</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Business</w:t>
      </w:r>
    </w:p>
    <w:p>
      <w:pPr>
        <w:spacing w:after="0" w:line="231" w:lineRule="exact"/>
        <w:rPr>
          <w:sz w:val="20"/>
          <w:szCs w:val="20"/>
          <w:color w:val="auto"/>
        </w:rPr>
      </w:pPr>
    </w:p>
    <w:p>
      <w:pPr>
        <w:ind w:left="240" w:firstLine="611"/>
        <w:spacing w:after="0" w:line="288" w:lineRule="auto"/>
        <w:rPr>
          <w:sz w:val="20"/>
          <w:szCs w:val="20"/>
          <w:color w:val="auto"/>
        </w:rPr>
      </w:pPr>
      <w:r>
        <w:rPr>
          <w:rFonts w:ascii="Arial" w:cs="Arial" w:eastAsia="Arial" w:hAnsi="Arial"/>
          <w:sz w:val="16"/>
          <w:szCs w:val="16"/>
          <w:color w:val="auto"/>
        </w:rPr>
        <w:t>We are a leading genome editing company dedicated to treating patients with genetically defined diseases by correcting their disease-causing genes. We believe that we have entered a new era of genomic medicine as the growth of genomic information in recent decades has significantly expanded the understanding of genetically defined diseases. A new technology known as CRISPR (clustered, regularly interspaced short palindromic repeats)/Cas9 (CRISPR associated protein 9) has the potential to achieve precise, directed changes in DNA. The confluence of these two streams of scientific endeavor, understanding genetic defects and having the tools to be able to address them, creates the opportunity for us to achieve a longstanding goal of medicine: to treat the root causes of diseases at the genetic level. While genetic defects are now recognized as the causes of many diseases, the vast majority of these diseases lack effective treatments. Of the estimated 6,000 diseases that are known to be caused by genetic mutations, we believe fewer than 5% are served by approved therapies. Our mission is to translate the promise of our science into a broad class of transformative genomic medicines to benefit the greatest number of patients.</w:t>
      </w:r>
    </w:p>
    <w:p>
      <w:pPr>
        <w:spacing w:after="0" w:line="174" w:lineRule="exact"/>
        <w:rPr>
          <w:sz w:val="20"/>
          <w:szCs w:val="20"/>
          <w:color w:val="auto"/>
        </w:rPr>
      </w:pPr>
    </w:p>
    <w:p>
      <w:pPr>
        <w:ind w:left="240" w:right="60" w:firstLine="611"/>
        <w:spacing w:after="0" w:line="288" w:lineRule="auto"/>
        <w:rPr>
          <w:sz w:val="20"/>
          <w:szCs w:val="20"/>
          <w:color w:val="auto"/>
        </w:rPr>
      </w:pPr>
      <w:r>
        <w:rPr>
          <w:rFonts w:ascii="Arial" w:cs="Arial" w:eastAsia="Arial" w:hAnsi="Arial"/>
          <w:sz w:val="16"/>
          <w:szCs w:val="16"/>
          <w:color w:val="auto"/>
        </w:rPr>
        <w:t>We are developing a proprietary genome editing platform based on CRISPR/Cas9 technology. CRISPR/Cas9 uses a protein-RNA complex composed of the Cas9 enzyme bound to a guide RNA molecule designed to recognize a particular DNA sequence. The RNA molecule guides the Cas9 complex to the location in the genome that requires repair. Once there, the complex makes a specific cut in the DNA, ultimately triggering the cell's DNA repair machinery to address the genetic defect. Our platform consists of four interrelated components: nuclease engineering, delivery, control and specificity, and directed editing. These components are designed to develop medicines that specifically address a wide variety of genetic targets, reach the site of disease safely and effectively, tightly and specifically control the editing process, and drive the right kind of genetic repair. Our preclinical drug discovery platform uses the flexibility of CRISPR/Cas9 technology to enable rapid reprogramming of the Cas9-guide RNA complex with the potential to direct it to almost any site in the human genome. Using this platform, we aim to develop and advance a broad range of therapies for genetically defined diseases.</w:t>
      </w:r>
    </w:p>
    <w:p>
      <w:pPr>
        <w:spacing w:after="0" w:line="174" w:lineRule="exact"/>
        <w:rPr>
          <w:sz w:val="20"/>
          <w:szCs w:val="20"/>
          <w:color w:val="auto"/>
        </w:rPr>
      </w:pPr>
    </w:p>
    <w:p>
      <w:pPr>
        <w:ind w:left="240" w:firstLine="615"/>
        <w:spacing w:after="0" w:line="289" w:lineRule="auto"/>
        <w:rPr>
          <w:sz w:val="20"/>
          <w:szCs w:val="20"/>
          <w:color w:val="auto"/>
        </w:rPr>
      </w:pPr>
      <w:r>
        <w:rPr>
          <w:rFonts w:ascii="Arial" w:cs="Arial" w:eastAsia="Arial" w:hAnsi="Arial"/>
          <w:sz w:val="16"/>
          <w:szCs w:val="16"/>
          <w:color w:val="auto"/>
        </w:rPr>
        <w:t>Our product development strategy is to target genetically defined diseases with an initial focus on debilitating illnesses where there are no approved treatments and where the genetic basis of disease is well understood. We are advancing over a dozen discovery research programs that we have selected based on our proprietary assessment criteria. Our most advanced research program is designed to address Leber Congenital Amaurosis type 10, or LCA10, a specific genetic form of progressive blindness with no available therapies or potential treatments in clinical trials in either the United States or European Union. The localization of LCA10 disease in the eye allows us to efficiently apply our technology in a context that is confined and relatively uncomplicated compared to many of the systemic illnesses we also anticipate treating over time. We have tested combinations of Cas9 and guide RNA pairs in cells that were taken from patients with a specific mutation that causes LCA10 and demonstrated restoration of normal messenger RNA and protein expression, suggesting that we successfully corrected the LCA10 gene defect in these cells. We aim to initiate a clinical trial in this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color w:val="auto"/>
        </w:rPr>
        <w:t>program in 2017. We believe achievement of proof-of-concept in a disease of the eye has the potential to validate our platform technology, including its potential application to other organs and diseases.</w:t>
      </w:r>
    </w:p>
    <w:p>
      <w:pPr>
        <w:spacing w:after="0" w:line="186" w:lineRule="exact"/>
        <w:rPr>
          <w:sz w:val="20"/>
          <w:szCs w:val="20"/>
          <w:color w:val="auto"/>
        </w:rPr>
      </w:pPr>
    </w:p>
    <w:p>
      <w:pPr>
        <w:ind w:left="240" w:right="60" w:firstLine="615"/>
        <w:spacing w:after="0" w:line="288" w:lineRule="auto"/>
        <w:rPr>
          <w:sz w:val="20"/>
          <w:szCs w:val="20"/>
          <w:color w:val="auto"/>
        </w:rPr>
      </w:pPr>
      <w:r>
        <w:rPr>
          <w:rFonts w:ascii="Arial" w:cs="Arial" w:eastAsia="Arial" w:hAnsi="Arial"/>
          <w:sz w:val="16"/>
          <w:szCs w:val="16"/>
          <w:color w:val="auto"/>
        </w:rPr>
        <w:t xml:space="preserve">Our additional research programs address genetic, infectious, and oncologic diseases of the liver, lung, blood, eye, and muscle. For example, we believe our genome editing technologies have the potential to improve the characteristics of cellular therapies, including engineered T cells to treat cancer. To realize this potential, in May 2015, we entered into a collaboration with Juno Therapeutics, a leader in the emerging field of immuno-oncology. We believe that our genome editing technology has the potential to improve T cell persistence and overcome signals in the tumor microenvironment that reduce T cell activity. In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study under this collaboration, Cas9-guide RNA complexes directed against what we believe is an important T cell target gene demonstrated approximately 90% editing on average. By working with Juno Therapeutics, we hope that together we will be able to discover and develop the next generation of engineered T cell therapies that have the potential to substantially advance the field of cancer immunotherapy. We believe this collaboration exemplifies our strategy of selectively establishing alliances with leaders in their fields to realize the full therapeutic potential of genome editing.</w:t>
      </w:r>
    </w:p>
    <w:p>
      <w:pPr>
        <w:spacing w:after="0" w:line="174" w:lineRule="exact"/>
        <w:rPr>
          <w:sz w:val="20"/>
          <w:szCs w:val="20"/>
          <w:color w:val="auto"/>
        </w:rPr>
      </w:pPr>
    </w:p>
    <w:p>
      <w:pPr>
        <w:ind w:left="240" w:right="60" w:firstLine="615"/>
        <w:spacing w:after="0" w:line="289" w:lineRule="auto"/>
        <w:rPr>
          <w:sz w:val="20"/>
          <w:szCs w:val="20"/>
          <w:color w:val="auto"/>
        </w:rPr>
      </w:pPr>
      <w:r>
        <w:rPr>
          <w:rFonts w:ascii="Arial" w:cs="Arial" w:eastAsia="Arial" w:hAnsi="Arial"/>
          <w:sz w:val="16"/>
          <w:szCs w:val="16"/>
          <w:color w:val="auto"/>
        </w:rPr>
        <w:t>Our company was founded by world leaders in genome editing who have collectively made many fundamental discoveries in the field and have enabled the translation of CRISPR from its origins in bacterial systems to its application in mammalian cells. Through their service as consultants and advisors, our founders were instrumental in defining the initial scientific vision for our company. Among our founders, Drs. Feng Zhang, George Church, David Liu, and J. Keith Joung continue to provide important scientific guidance and insights to us through ongoing consulting and advisory arrangements. Their discoveries, along with inventions by scientists at our company, have led to our broad portfolio of intellectual property, including the patent estates licensed from those founders' institutions. Our portfolio includes 21 issued U.S. and European patents and over 200 pending patent applications. We believe the breadth and depth of our patent estate is a substantial asset and has the potential to provide us with a durable competitive position in the marketplace.</w:t>
      </w:r>
    </w:p>
    <w:p>
      <w:pPr>
        <w:spacing w:after="0" w:line="172" w:lineRule="exact"/>
        <w:rPr>
          <w:sz w:val="20"/>
          <w:szCs w:val="20"/>
          <w:color w:val="auto"/>
        </w:rPr>
      </w:pPr>
    </w:p>
    <w:p>
      <w:pPr>
        <w:ind w:left="240" w:right="40" w:firstLine="611"/>
        <w:spacing w:after="0" w:line="255" w:lineRule="auto"/>
        <w:rPr>
          <w:sz w:val="20"/>
          <w:szCs w:val="20"/>
          <w:color w:val="auto"/>
        </w:rPr>
      </w:pPr>
      <w:r>
        <w:rPr>
          <w:rFonts w:ascii="Arial" w:cs="Arial" w:eastAsia="Arial" w:hAnsi="Arial"/>
          <w:sz w:val="18"/>
          <w:szCs w:val="18"/>
          <w:color w:val="auto"/>
        </w:rPr>
        <w:t>The lifeblood of our company is exceptional scientists and company-builders with experience across leading biopharmaceutical companies and academic research laboratories. Our company is distinguished by our leaders' substantial experience in translating groundbreaking scientific platforms into therapeutic products and product candidates at many successful biopharmaceutical companies. We believe that our team and our culture are critical to our success, and we are building a company with the values and people needed to realize the potential of our platform and develop medicines for patients with many different genetically defined diseases.</w:t>
      </w:r>
    </w:p>
    <w:p>
      <w:pPr>
        <w:spacing w:after="0" w:line="197" w:lineRule="exact"/>
        <w:rPr>
          <w:sz w:val="20"/>
          <w:szCs w:val="20"/>
          <w:color w:val="auto"/>
        </w:rPr>
      </w:pPr>
    </w:p>
    <w:p>
      <w:pPr>
        <w:jc w:val="both"/>
        <w:ind w:left="240" w:right="360" w:firstLine="615"/>
        <w:spacing w:after="0" w:line="256" w:lineRule="auto"/>
        <w:rPr>
          <w:sz w:val="20"/>
          <w:szCs w:val="20"/>
          <w:color w:val="auto"/>
        </w:rPr>
      </w:pPr>
      <w:r>
        <w:rPr>
          <w:rFonts w:ascii="Arial" w:cs="Arial" w:eastAsia="Arial" w:hAnsi="Arial"/>
          <w:sz w:val="18"/>
          <w:szCs w:val="18"/>
          <w:color w:val="auto"/>
        </w:rPr>
        <w:t>Every decade over the past 40 years, an important class of medicines has emerged, such as recombinant proteins, monoclonal antibodies, and RNA-based drugs. These new categories of medicines have brought forth important therapies for previously untreated diseases. In our view, genome editing with CRISPR/Cas9 has the potential to be one of the next major new categories. At Editas Medicine, we believe we can make that potential a reality.</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Genome Editing Platform</w:t>
      </w:r>
    </w:p>
    <w:p>
      <w:pPr>
        <w:spacing w:after="0" w:line="231" w:lineRule="exact"/>
        <w:rPr>
          <w:sz w:val="20"/>
          <w:szCs w:val="20"/>
          <w:color w:val="auto"/>
        </w:rPr>
      </w:pPr>
    </w:p>
    <w:p>
      <w:pPr>
        <w:ind w:left="240" w:firstLine="611"/>
        <w:spacing w:after="0" w:line="294" w:lineRule="auto"/>
        <w:rPr>
          <w:sz w:val="20"/>
          <w:szCs w:val="20"/>
          <w:color w:val="auto"/>
        </w:rPr>
      </w:pPr>
      <w:r>
        <w:rPr>
          <w:rFonts w:ascii="Arial" w:cs="Arial" w:eastAsia="Arial" w:hAnsi="Arial"/>
          <w:sz w:val="16"/>
          <w:szCs w:val="16"/>
          <w:color w:val="auto"/>
        </w:rPr>
        <w:t>We have developed a proprietary genome editing platform consisting of four interrelated components designed to develop medicines that specifically address a wide variety of genetic targets, reach the site of disease safely and effectively, tightly and specifically control the editing process, and drive the right kind of genetic repair. Each component is underpinned by several specific technologies and capabilities. With our platform, we are able to design and optimize each element of the product configuration that we believe is necessary to create a CRISPR/Cas9-based genome editing medicine, including the Cas9 variant, the sequence and structure of the guide RNA(s), the delivery vector,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64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elements to control expression in cells or to drive the desired repair mechanism. Our platform components are:</w:t>
      </w:r>
    </w:p>
    <w:p>
      <w:pPr>
        <w:spacing w:after="0" w:line="252" w:lineRule="exact"/>
        <w:rPr>
          <w:sz w:val="20"/>
          <w:szCs w:val="20"/>
          <w:color w:val="auto"/>
        </w:rPr>
      </w:pPr>
    </w:p>
    <w:p>
      <w:pPr>
        <w:ind w:left="1320" w:right="140" w:hanging="538"/>
        <w:spacing w:after="0" w:line="256"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Nuclease Engineering</w:t>
      </w:r>
      <w:r>
        <w:rPr>
          <w:rFonts w:ascii="Arial" w:cs="Arial" w:eastAsia="Arial" w:hAnsi="Arial"/>
          <w:sz w:val="18"/>
          <w:szCs w:val="18"/>
          <w:color w:val="auto"/>
        </w:rPr>
        <w:t>: We use our genome editing platform to identify and optimize both Cas9 enzymes and guide RNA molecules to</w:t>
      </w:r>
      <w:r>
        <w:rPr>
          <w:rFonts w:ascii="Arial" w:cs="Arial" w:eastAsia="Arial" w:hAnsi="Arial"/>
          <w:sz w:val="18"/>
          <w:szCs w:val="18"/>
          <w:i w:val="1"/>
          <w:iCs w:val="1"/>
          <w:color w:val="auto"/>
        </w:rPr>
        <w:t xml:space="preserve"> </w:t>
      </w:r>
      <w:r>
        <w:rPr>
          <w:rFonts w:ascii="Arial" w:cs="Arial" w:eastAsia="Arial" w:hAnsi="Arial"/>
          <w:sz w:val="18"/>
          <w:szCs w:val="18"/>
          <w:color w:val="auto"/>
        </w:rPr>
        <w:t>create what we believe will be the optimal Cas9-guide RNA complex for a given disease target. We have made substantial advances in the characterization and modification of Cas9 enzymes and in the design, synthesis, modification, analysis, and characterization of guide RNAs.</w:t>
      </w:r>
    </w:p>
    <w:p>
      <w:pPr>
        <w:spacing w:after="0" w:line="210" w:lineRule="exact"/>
        <w:rPr>
          <w:rFonts w:ascii="Arial" w:cs="Arial" w:eastAsia="Arial" w:hAnsi="Arial"/>
          <w:sz w:val="18"/>
          <w:szCs w:val="18"/>
          <w:color w:val="auto"/>
        </w:rPr>
      </w:pPr>
    </w:p>
    <w:p>
      <w:pPr>
        <w:ind w:left="1320" w:right="60" w:hanging="538"/>
        <w:spacing w:after="0" w:line="306"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Delivery</w:t>
      </w:r>
      <w:r>
        <w:rPr>
          <w:rFonts w:ascii="Arial" w:cs="Arial" w:eastAsia="Arial" w:hAnsi="Arial"/>
          <w:sz w:val="16"/>
          <w:szCs w:val="16"/>
          <w:color w:val="auto"/>
        </w:rPr>
        <w:t>: An appropriate product configuration must be designed to provide efficient and tightly controlled delivery to the desired tissue or</w:t>
      </w:r>
      <w:r>
        <w:rPr>
          <w:rFonts w:ascii="Arial" w:cs="Arial" w:eastAsia="Arial" w:hAnsi="Arial"/>
          <w:sz w:val="16"/>
          <w:szCs w:val="16"/>
          <w:i w:val="1"/>
          <w:iCs w:val="1"/>
          <w:color w:val="auto"/>
        </w:rPr>
        <w:t xml:space="preserve"> </w:t>
      </w:r>
      <w:r>
        <w:rPr>
          <w:rFonts w:ascii="Arial" w:cs="Arial" w:eastAsia="Arial" w:hAnsi="Arial"/>
          <w:sz w:val="16"/>
          <w:szCs w:val="16"/>
          <w:color w:val="auto"/>
        </w:rPr>
        <w:t>cell type. Our genome editing platform includes multiple, modular delivery modes that can be efficiently adapted to deliver different CRISPR/Cas9 genome editing components to address the specific needs of each disease targeted.</w:t>
      </w:r>
    </w:p>
    <w:p>
      <w:pPr>
        <w:spacing w:after="0" w:line="174" w:lineRule="exact"/>
        <w:rPr>
          <w:rFonts w:ascii="Arial" w:cs="Arial" w:eastAsia="Arial" w:hAnsi="Arial"/>
          <w:sz w:val="16"/>
          <w:szCs w:val="16"/>
          <w:color w:val="auto"/>
        </w:rPr>
      </w:pPr>
    </w:p>
    <w:p>
      <w:pPr>
        <w:ind w:left="1320" w:right="160" w:hanging="538"/>
        <w:spacing w:after="0" w:line="259"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Control and Specificity</w:t>
      </w:r>
      <w:r>
        <w:rPr>
          <w:rFonts w:ascii="Arial" w:cs="Arial" w:eastAsia="Arial" w:hAnsi="Arial"/>
          <w:sz w:val="18"/>
          <w:szCs w:val="18"/>
          <w:color w:val="auto"/>
        </w:rPr>
        <w:t>: Control of cellular exposure to the Cas9-guide RNA complex and specificity of the DNA cut are important to</w:t>
      </w:r>
      <w:r>
        <w:rPr>
          <w:rFonts w:ascii="Arial" w:cs="Arial" w:eastAsia="Arial" w:hAnsi="Arial"/>
          <w:sz w:val="18"/>
          <w:szCs w:val="18"/>
          <w:i w:val="1"/>
          <w:iCs w:val="1"/>
          <w:color w:val="auto"/>
        </w:rPr>
        <w:t xml:space="preserve"> </w:t>
      </w:r>
      <w:r>
        <w:rPr>
          <w:rFonts w:ascii="Arial" w:cs="Arial" w:eastAsia="Arial" w:hAnsi="Arial"/>
          <w:sz w:val="18"/>
          <w:szCs w:val="18"/>
          <w:color w:val="auto"/>
        </w:rPr>
        <w:t>optimizing the location and duration of editing activity. We believe these features are critical to designing medicines that are both safe and effective, and we are developing and applying technologies in both areas.</w:t>
      </w:r>
    </w:p>
    <w:p>
      <w:pPr>
        <w:spacing w:after="0" w:line="221" w:lineRule="exact"/>
        <w:rPr>
          <w:rFonts w:ascii="Arial" w:cs="Arial" w:eastAsia="Arial" w:hAnsi="Arial"/>
          <w:sz w:val="18"/>
          <w:szCs w:val="18"/>
          <w:color w:val="auto"/>
        </w:rPr>
      </w:pPr>
    </w:p>
    <w:p>
      <w:pPr>
        <w:ind w:left="1320" w:right="160" w:hanging="538"/>
        <w:spacing w:after="0" w:line="259"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Directed Editing</w:t>
      </w:r>
      <w:r>
        <w:rPr>
          <w:rFonts w:ascii="Arial" w:cs="Arial" w:eastAsia="Arial" w:hAnsi="Arial"/>
          <w:sz w:val="18"/>
          <w:szCs w:val="18"/>
          <w:color w:val="auto"/>
        </w:rPr>
        <w:t>: There are different mechanisms that a cell can use to repair cuts in DNA. Each mechanism results in different kinds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 changes. We are developing approaches to selectively harness specific DNA repair mechanisms to be able to drive the appropriate type of repair for a given disease.</w:t>
      </w:r>
    </w:p>
    <w:p>
      <w:pPr>
        <w:spacing w:after="0" w:line="194" w:lineRule="exact"/>
        <w:rPr>
          <w:sz w:val="20"/>
          <w:szCs w:val="20"/>
          <w:color w:val="auto"/>
        </w:rPr>
      </w:pPr>
    </w:p>
    <w:p>
      <w:pPr>
        <w:ind w:left="240" w:firstLine="611"/>
        <w:spacing w:after="0" w:line="290" w:lineRule="auto"/>
        <w:rPr>
          <w:sz w:val="20"/>
          <w:szCs w:val="20"/>
          <w:color w:val="auto"/>
        </w:rPr>
      </w:pPr>
      <w:r>
        <w:rPr>
          <w:rFonts w:ascii="Arial" w:cs="Arial" w:eastAsia="Arial" w:hAnsi="Arial"/>
          <w:sz w:val="16"/>
          <w:szCs w:val="16"/>
          <w:color w:val="auto"/>
        </w:rPr>
        <w:t>We believe our systematic approach to developing medicines based on CRISPR/Cas9 technology provides opportunities across a range of different genetically defined diseases. We aim to develop and commercialize biologic medicines for patients with these types of diseases. Where appropriate or necessary, we may do so in collaboration with strategic partners. If successful, we believe our research programs have the potential to yield therapies comprising a combination of elements that may include protein, DNA, and RNA components, which are collectively often referred to as biologics, and which differ from traditional small molecule pharmaceuticals in their greater complexity of manufacturing and delivery. As shown below, as we expand the technical capabilities of our platform, we believe the number of potential patients and range of diseases that can potentially be addressed will grow. In this chart, each figure is intended to represent approximately 5,000 potential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50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05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240" w:right="80" w:firstLine="611"/>
        <w:spacing w:after="0" w:line="268" w:lineRule="auto"/>
        <w:rPr>
          <w:sz w:val="20"/>
          <w:szCs w:val="20"/>
          <w:color w:val="auto"/>
        </w:rPr>
      </w:pPr>
      <w:r>
        <w:rPr>
          <w:rFonts w:ascii="Arial" w:cs="Arial" w:eastAsia="Arial" w:hAnsi="Arial"/>
          <w:sz w:val="18"/>
          <w:szCs w:val="18"/>
          <w:color w:val="auto"/>
        </w:rPr>
        <w:t>We aim to transform the treatment of a broad range of genetically defined diseases by building an integrated genomic medicine company focused on creating a novel class of therapeutics to meet patients' needs. Key elements of our strategy are to:</w:t>
      </w:r>
    </w:p>
    <w:p>
      <w:pPr>
        <w:spacing w:after="0" w:line="213" w:lineRule="exact"/>
        <w:rPr>
          <w:sz w:val="20"/>
          <w:szCs w:val="20"/>
          <w:color w:val="auto"/>
        </w:rPr>
      </w:pPr>
    </w:p>
    <w:p>
      <w:pPr>
        <w:ind w:left="1320" w:right="24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the preeminent genomic medicine company through the continued assembly of world leaders in the fields of genome editing, gene therapy, nucleic acid pharmaceuticals, and orphan diseases;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 therapeutic programs rapidly and rigorously to address patients' needs;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Perfect the tools to repair any broken gene through continued investment of resources in our platform capabilities;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 the science of genome editing by maintaining and extending our leadership in this field;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Collaborate to realize the full potential of genome editing to create medicines;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Commercialize products to bring new medicines to patients, either alone or through selective partnerships.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right="80" w:firstLine="615"/>
        <w:spacing w:after="0" w:line="33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66" w:lineRule="exact"/>
        <w:rPr>
          <w:sz w:val="20"/>
          <w:szCs w:val="20"/>
          <w:color w:val="auto"/>
        </w:rPr>
      </w:pPr>
    </w:p>
    <w:p>
      <w:pPr>
        <w:ind w:left="1320" w:right="160" w:hanging="538"/>
        <w:spacing w:after="0" w:line="298"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intend to identify and develop product candidates based on a novel genome editing technology, which makes it difficult to predict the time and cost of product candidate development. No products that utilize genome editing technology have been approved in the United States or in Europe, and there have only been a limited number of human clinical trials of a genome editing product candidate. Moreover, none of those trials have involved CRISPR/Cas9 technology.</w:t>
      </w:r>
    </w:p>
    <w:p>
      <w:pPr>
        <w:spacing w:after="0" w:line="180" w:lineRule="exact"/>
        <w:rPr>
          <w:rFonts w:ascii="Arial" w:cs="Arial" w:eastAsia="Arial" w:hAnsi="Arial"/>
          <w:sz w:val="16"/>
          <w:szCs w:val="16"/>
          <w:color w:val="auto"/>
        </w:rPr>
      </w:pPr>
    </w:p>
    <w:p>
      <w:pPr>
        <w:ind w:left="1320" w:right="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We expect to incur losses and do not expect to generate any revenue from product sales for the foreseeable future and may never achieve or maintain profitability.</w:t>
      </w:r>
    </w:p>
    <w:p>
      <w:pPr>
        <w:spacing w:after="0" w:line="199" w:lineRule="exact"/>
        <w:rPr>
          <w:rFonts w:ascii="Arial" w:cs="Arial" w:eastAsia="Arial" w:hAnsi="Arial"/>
          <w:sz w:val="18"/>
          <w:szCs w:val="18"/>
          <w:color w:val="auto"/>
        </w:rPr>
      </w:pPr>
    </w:p>
    <w:p>
      <w:pPr>
        <w:ind w:left="1320" w:right="64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would be forced to delay, reduce, or eliminate our research and product development programs or commercialization efforts.</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short operating history may make it difficult for you to evaluate the success of our business to date and to assess our future viability.</w:t>
      </w:r>
    </w:p>
    <w:p>
      <w:pPr>
        <w:spacing w:after="0" w:line="261" w:lineRule="exact"/>
        <w:rPr>
          <w:rFonts w:ascii="Arial" w:cs="Arial" w:eastAsia="Arial" w:hAnsi="Arial"/>
          <w:sz w:val="16"/>
          <w:szCs w:val="16"/>
          <w:color w:val="auto"/>
        </w:rPr>
      </w:pPr>
    </w:p>
    <w:p>
      <w:pPr>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genome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157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50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public perception of genomic medicines, and genome editing in particular, may negatively impact regulatory approval of, or demand for, our potential products.</w:t>
      </w:r>
    </w:p>
    <w:p>
      <w:pPr>
        <w:spacing w:after="0" w:line="199" w:lineRule="exact"/>
        <w:rPr>
          <w:rFonts w:ascii="Arial" w:cs="Arial" w:eastAsia="Arial" w:hAnsi="Arial"/>
          <w:sz w:val="18"/>
          <w:szCs w:val="18"/>
          <w:color w:val="auto"/>
        </w:rPr>
      </w:pPr>
    </w:p>
    <w:p>
      <w:pPr>
        <w:ind w:left="1320" w:right="500" w:hanging="538"/>
        <w:spacing w:after="0" w:line="332"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152" w:lineRule="exact"/>
        <w:rPr>
          <w:rFonts w:ascii="Arial" w:cs="Arial" w:eastAsia="Arial" w:hAnsi="Arial"/>
          <w:sz w:val="16"/>
          <w:szCs w:val="16"/>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develop, or commercialize potential product candidates.</w:t>
      </w:r>
    </w:p>
    <w:p>
      <w:pPr>
        <w:spacing w:after="0" w:line="252" w:lineRule="exact"/>
        <w:rPr>
          <w:rFonts w:ascii="Arial" w:cs="Arial" w:eastAsia="Arial" w:hAnsi="Arial"/>
          <w:sz w:val="18"/>
          <w:szCs w:val="18"/>
          <w:color w:val="auto"/>
        </w:rPr>
      </w:pPr>
    </w:p>
    <w:p>
      <w:pPr>
        <w:ind w:left="1320" w:right="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genome editing field is relatively new and is evolving rapidly. We are focusing our research and development efforts on CRISPR/Cas9, but other genome editing technologies may be discovered that provide significant advantages over CRISPR/Cas9, which could materially harm our business.</w:t>
      </w:r>
    </w:p>
    <w:p>
      <w:pPr>
        <w:spacing w:after="0" w:line="207" w:lineRule="exact"/>
        <w:rPr>
          <w:rFonts w:ascii="Arial" w:cs="Arial" w:eastAsia="Arial" w:hAnsi="Arial"/>
          <w:sz w:val="18"/>
          <w:szCs w:val="18"/>
          <w:color w:val="auto"/>
        </w:rPr>
      </w:pPr>
    </w:p>
    <w:p>
      <w:pPr>
        <w:ind w:left="1320" w:right="420" w:hanging="538"/>
        <w:spacing w:after="0" w:line="256"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are developing product candidates for the treatment of diseases in which there is little clinical experience using new technologies, there is increased risk that the U.S. Food and Drug Administration, the European Medicines Agency, or other regulatory authorities may not consider the endpoints of our clinical trials to provide clinically meaningful results and that these results may be difficult to analyze.</w:t>
      </w:r>
    </w:p>
    <w:p>
      <w:pPr>
        <w:spacing w:after="0" w:line="210" w:lineRule="exact"/>
        <w:rPr>
          <w:rFonts w:ascii="Arial" w:cs="Arial" w:eastAsia="Arial" w:hAnsi="Arial"/>
          <w:sz w:val="18"/>
          <w:szCs w:val="18"/>
          <w:color w:val="auto"/>
        </w:rPr>
      </w:pPr>
    </w:p>
    <w:p>
      <w:pPr>
        <w:ind w:left="1320" w:right="20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 depend on collaborations with third parties for the research, development, and commercialization of any product candidates we may develop. If any such collaborations are not successful, we may not be able to capitalize on the market potential of these product candidates.</w:t>
      </w:r>
    </w:p>
    <w:p>
      <w:pPr>
        <w:spacing w:after="0" w:line="221" w:lineRule="exact"/>
        <w:rPr>
          <w:rFonts w:ascii="Arial" w:cs="Arial" w:eastAsia="Arial" w:hAnsi="Arial"/>
          <w:sz w:val="18"/>
          <w:szCs w:val="18"/>
          <w:color w:val="auto"/>
        </w:rPr>
      </w:pPr>
    </w:p>
    <w:p>
      <w:pPr>
        <w:ind w:left="1320" w:right="20" w:hanging="538"/>
        <w:spacing w:after="0" w:line="256"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210"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rights to develop and commercialize our technology and product candidates are subject, in part, to the terms and conditions of licenses granted to us by others.</w:t>
      </w:r>
    </w:p>
    <w:p>
      <w:pPr>
        <w:spacing w:after="0" w:line="199" w:lineRule="exact"/>
        <w:rPr>
          <w:rFonts w:ascii="Arial" w:cs="Arial" w:eastAsia="Arial" w:hAnsi="Arial"/>
          <w:sz w:val="18"/>
          <w:szCs w:val="18"/>
          <w:color w:val="auto"/>
        </w:rPr>
      </w:pPr>
    </w:p>
    <w:p>
      <w:pPr>
        <w:ind w:left="1320" w:hanging="538"/>
        <w:spacing w:after="0" w:line="255"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of our owned and in-licensed patents and other intellectual property are, and may in the future become, subject to priority or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223" w:lineRule="exact"/>
        <w:rPr>
          <w:rFonts w:ascii="Arial" w:cs="Arial" w:eastAsia="Arial" w:hAnsi="Arial"/>
          <w:sz w:val="18"/>
          <w:szCs w:val="18"/>
          <w:color w:val="auto"/>
        </w:rPr>
      </w:pPr>
    </w:p>
    <w:p>
      <w:pPr>
        <w:ind w:left="1320" w:hanging="538"/>
        <w:spacing w:after="0" w:line="291"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particular, some of our in-licensed patents and patent applications are subject to priority disputes with the University of California, acting on behalf of itself and the University of Vienna, and Emmanuelle Charpentier, and ToolGen, Inc. The priority dispute involving the University of California, et al., relates in part to rights held by the University of California to the work of one of our founders, Dr. Jennifer Doudna, who is no longer involved with our company, and Emmanuelle Charpentier. Dr. Doudna is a founder of Caribou Biosciences and has been publicly identified as an advisor to Intellia Therapeutics, each of which is one of our competitors. Caribou Biosciences has reported that it has an exclusive license to patent rights from the University of California and the University of Vienna.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75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607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20"/>
        <w:spacing w:after="0" w:line="289" w:lineRule="auto"/>
        <w:rPr>
          <w:sz w:val="20"/>
          <w:szCs w:val="20"/>
          <w:color w:val="auto"/>
        </w:rPr>
      </w:pPr>
      <w:r>
        <w:rPr>
          <w:rFonts w:ascii="Arial" w:cs="Arial" w:eastAsia="Arial" w:hAnsi="Arial"/>
          <w:sz w:val="16"/>
          <w:szCs w:val="16"/>
          <w:color w:val="auto"/>
        </w:rPr>
        <w:t>Intellia Therapeutics has reported that it has an exclusive license to such rights from Caribou Biosciences in certain fields. CRISPR Therapeutics, another of our competitors, has reported that it has an exclusive license to patent rights from Emmanuelle Charpentier. In addition, we are aware that the Rockefeller University, or Rockefeller, has independently filed a U.S. patent application as a continuation of a U.S. patent application that we have in-licensed from The Broad Institute, Inc., or Broad, which continuation patent application filed by Rockefeller lists one of its employees as a co-inventor alongside Dr. Feng Zhang, who is an employee of Broad in addition to being one of our founders. The priority dispute involving the University of California, et al., has resulted in the declaration of an interference proceeding. The priority disputes and the patents and patent applications described above may provoke the declaration of further interference proceedings or other proceedings or litigations. In addition, two of our in-licensed patents are subject to opposition proceedings in Europe.</w:t>
      </w:r>
    </w:p>
    <w:p>
      <w:pPr>
        <w:spacing w:after="0" w:line="199" w:lineRule="exact"/>
        <w:rPr>
          <w:sz w:val="20"/>
          <w:szCs w:val="20"/>
          <w:color w:val="auto"/>
        </w:rPr>
      </w:pPr>
    </w:p>
    <w:p>
      <w:pPr>
        <w:ind w:left="1320" w:hanging="538"/>
        <w:spacing w:after="0" w:line="256"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preparation for this offering, we identified a material weakness in our internal control over financial reporting. If we are unable to remedy our material weakness,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80" w:firstLine="605"/>
        <w:spacing w:after="0" w:line="286" w:lineRule="auto"/>
        <w:rPr>
          <w:sz w:val="20"/>
          <w:szCs w:val="20"/>
          <w:color w:val="auto"/>
        </w:rPr>
      </w:pPr>
      <w:r>
        <w:rPr>
          <w:rFonts w:ascii="Arial" w:cs="Arial" w:eastAsia="Arial" w:hAnsi="Arial"/>
          <w:sz w:val="16"/>
          <w:szCs w:val="16"/>
          <w:color w:val="auto"/>
        </w:rPr>
        <w:t>As a company with less than $1.0 billion of revenue during our last fiscal year, we qualify as an "emerging growth company" as defined in the Jumpstart Our Business Startups Act of 2012, or the JOBS Act, and we may remain an emerging growth company for up to five years from the date of the first sale in this offering. However, if certain events occur prior to the end of such five-year period, including if we become a "large accelerated filer," our annual gross revenue exceeds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and other requirements that are applicable to other public companies that are not emerging growth companies.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However, we have irrevocably elected not to avail ourselves of the extended transition period for complying with new or revised accounting standards, and, therefore, we will be subject to the same new or revised accounting standards as other public companies that are not emerging growth companies.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ind w:left="240" w:right="560" w:firstLine="611"/>
        <w:spacing w:after="0" w:line="305" w:lineRule="auto"/>
        <w:rPr>
          <w:sz w:val="20"/>
          <w:szCs w:val="20"/>
          <w:color w:val="auto"/>
        </w:rPr>
      </w:pPr>
      <w:r>
        <w:rPr>
          <w:rFonts w:ascii="Arial" w:cs="Arial" w:eastAsia="Arial" w:hAnsi="Arial"/>
          <w:sz w:val="15"/>
          <w:szCs w:val="15"/>
          <w:color w:val="auto"/>
        </w:rPr>
        <w:t>We were incorporated under the name Gengine, Inc. in Delaware in September 2013, and we changed our name to Editas Medicine, Inc. in November 2013. Our executive offices are located at 300 Third Street, First Floor, Cambridge, Massachusetts, 02142, and our telephone number is</w:t>
      </w:r>
    </w:p>
    <w:p>
      <w:pPr>
        <w:ind w:left="240" w:right="60" w:firstLine="2"/>
        <w:spacing w:after="0" w:line="261" w:lineRule="auto"/>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401-9000. Our website address is www.editasmedicine.com. We have included our website address in this prospectus as an inactive textual reference only. Information contained on, or that can be accessed through, our website is not part of this prospectus.</w:t>
      </w:r>
    </w:p>
    <w:p>
      <w:pPr>
        <w:spacing w:after="0" w:line="192" w:lineRule="exact"/>
        <w:rPr>
          <w:sz w:val="20"/>
          <w:szCs w:val="20"/>
          <w:color w:val="auto"/>
        </w:rPr>
      </w:pPr>
    </w:p>
    <w:p>
      <w:pPr>
        <w:ind w:left="240" w:right="120" w:firstLine="615"/>
        <w:spacing w:after="0" w:line="268" w:lineRule="auto"/>
        <w:rPr>
          <w:sz w:val="20"/>
          <w:szCs w:val="20"/>
          <w:color w:val="auto"/>
        </w:rPr>
      </w:pPr>
      <w:r>
        <w:rPr>
          <w:rFonts w:ascii="Arial" w:cs="Arial" w:eastAsia="Arial" w:hAnsi="Arial"/>
          <w:sz w:val="18"/>
          <w:szCs w:val="18"/>
          <w:color w:val="auto"/>
        </w:rPr>
        <w:t>In this prospectus, unless otherwise stated or the context otherwise requires, references to "Editas," "we," "us," "our," and similar references refer to Editas Medicine, Inc.</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Editas logo is our trademark. The other trademarks, trade names, and service marks appearing in this prospectus belong to their respective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52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652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80"/>
          </w:cols>
          <w:pgMar w:left="240" w:top="131" w:right="479" w:bottom="1440" w:gutter="0" w:footer="0" w:header="0"/>
        </w:sectPr>
      </w:pPr>
    </w:p>
    <w:p>
      <w:pPr>
        <w:spacing w:after="0" w:line="2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4060"/>
        <w:spacing w:after="0"/>
        <w:rPr>
          <w:sz w:val="20"/>
          <w:szCs w:val="20"/>
          <w:color w:val="auto"/>
        </w:rPr>
      </w:pPr>
      <w:r>
        <w:rPr>
          <w:rFonts w:ascii="Arial" w:cs="Arial" w:eastAsia="Arial" w:hAnsi="Arial"/>
          <w:sz w:val="15"/>
          <w:szCs w:val="15"/>
          <w:color w:val="auto"/>
        </w:rPr>
        <w:t>5,900,000 shares</w:t>
      </w:r>
    </w:p>
    <w:p>
      <w:pPr>
        <w:spacing w:after="0" w:line="211" w:lineRule="exact"/>
        <w:rPr>
          <w:sz w:val="20"/>
          <w:szCs w:val="20"/>
          <w:color w:val="auto"/>
        </w:rPr>
      </w:pPr>
    </w:p>
    <w:p>
      <w:pPr>
        <w:sectPr>
          <w:pgSz w:w="11900" w:h="16838" w:orient="portrait"/>
          <w:cols w:equalWidth="0" w:num="2">
            <w:col w:w="5220" w:space="720"/>
            <w:col w:w="5240"/>
          </w:cols>
          <w:pgMar w:left="240" w:top="131" w:right="479" w:bottom="1440" w:gutter="0" w:footer="0" w:header="0"/>
          <w:type w:val="continuous"/>
        </w:sectPr>
      </w:pPr>
    </w:p>
    <w:p>
      <w:pPr>
        <w:spacing w:after="0" w:line="4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35,699,538 shares (or 36,584,538 shares if the underwriters exercise their option to purchase additional shares in full)</w:t>
      </w:r>
    </w:p>
    <w:p>
      <w:pPr>
        <w:spacing w:after="0" w:line="186" w:lineRule="exact"/>
        <w:rPr>
          <w:sz w:val="20"/>
          <w:szCs w:val="20"/>
          <w:color w:val="auto"/>
        </w:rPr>
      </w:pPr>
    </w:p>
    <w:p>
      <w:pPr>
        <w:sectPr>
          <w:pgSz w:w="11900" w:h="16838" w:orient="portrait"/>
          <w:cols w:equalWidth="0" w:num="2">
            <w:col w:w="5220" w:space="720"/>
            <w:col w:w="5240"/>
          </w:cols>
          <w:pgMar w:left="240" w:top="131" w:right="47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have granted the underwriters an option for a period of 30 days to purchase up to 885,000 additional shares of our common stock to cover over-allotments.</w:t>
      </w:r>
    </w:p>
    <w:p>
      <w:pPr>
        <w:spacing w:after="0" w:line="194" w:lineRule="exact"/>
        <w:rPr>
          <w:sz w:val="20"/>
          <w:szCs w:val="20"/>
          <w:color w:val="auto"/>
        </w:rPr>
      </w:pPr>
    </w:p>
    <w:p>
      <w:pPr>
        <w:sectPr>
          <w:pgSz w:w="11900" w:h="16838" w:orient="portrait"/>
          <w:cols w:equalWidth="0" w:num="2">
            <w:col w:w="5220" w:space="720"/>
            <w:col w:w="5240"/>
          </w:cols>
          <w:pgMar w:left="240" w:top="131" w:right="47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91" w:lineRule="auto"/>
        <w:rPr>
          <w:sz w:val="20"/>
          <w:szCs w:val="20"/>
          <w:color w:val="auto"/>
        </w:rPr>
      </w:pPr>
      <w:r>
        <w:rPr>
          <w:rFonts w:ascii="Arial" w:cs="Arial" w:eastAsia="Arial" w:hAnsi="Arial"/>
          <w:sz w:val="16"/>
          <w:szCs w:val="16"/>
          <w:color w:val="auto"/>
        </w:rPr>
        <w:t>We intend to use the net proceeds to us from this offering to fund preclinical studies and clinical trials for our LCA10 program, preclinical studies in our collaboration with Juno Therapeutics, continued expansion of our platform technology, preclinical studies of our other research programs, and for working capital and other general corporate purposes. See "Use of Proceeds" for more information.</w:t>
      </w:r>
    </w:p>
    <w:p>
      <w:pPr>
        <w:spacing w:after="0" w:line="174" w:lineRule="exact"/>
        <w:rPr>
          <w:sz w:val="20"/>
          <w:szCs w:val="20"/>
          <w:color w:val="auto"/>
        </w:rPr>
      </w:pPr>
    </w:p>
    <w:p>
      <w:pPr>
        <w:sectPr>
          <w:pgSz w:w="11900" w:h="16838" w:orient="portrait"/>
          <w:cols w:equalWidth="0" w:num="2">
            <w:col w:w="5220" w:space="720"/>
            <w:col w:w="5240"/>
          </w:cols>
          <w:pgMar w:left="240" w:top="131" w:right="47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You should read the "Risk Factors" section of this prospectus for a discussion of factors to consider carefully before deciding to invest in shares of our common stock.</w:t>
      </w:r>
    </w:p>
    <w:p>
      <w:pPr>
        <w:spacing w:after="0" w:line="194" w:lineRule="exact"/>
        <w:rPr>
          <w:sz w:val="20"/>
          <w:szCs w:val="20"/>
          <w:color w:val="auto"/>
        </w:rPr>
      </w:pPr>
    </w:p>
    <w:p>
      <w:pPr>
        <w:sectPr>
          <w:pgSz w:w="11900" w:h="16838" w:orient="portrait"/>
          <w:cols w:equalWidth="0" w:num="2">
            <w:col w:w="5220" w:space="720"/>
            <w:col w:w="5240"/>
          </w:cols>
          <w:pgMar w:left="240" w:top="131" w:right="47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"EDIT"</w:t>
      </w:r>
    </w:p>
    <w:p>
      <w:pPr>
        <w:spacing w:after="0" w:line="200" w:lineRule="exact"/>
        <w:rPr>
          <w:sz w:val="20"/>
          <w:szCs w:val="20"/>
          <w:color w:val="auto"/>
        </w:rPr>
      </w:pPr>
    </w:p>
    <w:p>
      <w:pPr>
        <w:sectPr>
          <w:pgSz w:w="11900" w:h="16838" w:orient="portrait"/>
          <w:cols w:equalWidth="0" w:num="2">
            <w:col w:w="5220" w:space="720"/>
            <w:col w:w="5240"/>
          </w:cols>
          <w:pgMar w:left="240" w:top="131" w:right="479" w:bottom="1440" w:gutter="0" w:footer="0" w:header="0"/>
          <w:type w:val="continuous"/>
        </w:sectPr>
      </w:pPr>
    </w:p>
    <w:p>
      <w:pPr>
        <w:spacing w:after="0" w:line="25" w:lineRule="exact"/>
        <w:rPr>
          <w:sz w:val="20"/>
          <w:szCs w:val="20"/>
          <w:color w:val="auto"/>
        </w:rPr>
      </w:pPr>
    </w:p>
    <w:p>
      <w:pPr>
        <w:ind w:left="240" w:right="20" w:firstLine="611"/>
        <w:spacing w:after="0" w:line="256" w:lineRule="auto"/>
        <w:rPr>
          <w:sz w:val="20"/>
          <w:szCs w:val="20"/>
          <w:color w:val="auto"/>
        </w:rPr>
      </w:pPr>
      <w:r>
        <w:rPr>
          <w:rFonts w:ascii="Arial" w:cs="Arial" w:eastAsia="Arial" w:hAnsi="Arial"/>
          <w:sz w:val="18"/>
          <w:szCs w:val="18"/>
          <w:color w:val="auto"/>
        </w:rPr>
        <w:t>The number of shares of our common stock to be outstanding after this offering is based on the 4,869,829 shares of our common stock outstanding as of November 30, 2015, which includes 1,658,632 shares of unvested restricted stock subject to repurchase by us and 40,787 shares issued upon early exercise of stock options subject to repurchase by us, and 24,929,709 additional shares of our common stock issuable upon the automatic conversion of all outstanding shares of our preferred stock upon the closing of this offering.</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252" w:lineRule="exact"/>
        <w:rPr>
          <w:sz w:val="20"/>
          <w:szCs w:val="20"/>
          <w:color w:val="auto"/>
        </w:rPr>
      </w:pPr>
    </w:p>
    <w:p>
      <w:pPr>
        <w:ind w:left="1320" w:right="10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23,076 shares of common stock issuable upon exercise of a warrant outstanding as of November 30, 2015, at an exercise price of $2.60 per share;</w:t>
      </w:r>
    </w:p>
    <w:p>
      <w:pPr>
        <w:spacing w:after="0" w:line="199" w:lineRule="exact"/>
        <w:rPr>
          <w:rFonts w:ascii="Arial" w:cs="Arial" w:eastAsia="Arial" w:hAnsi="Arial"/>
          <w:sz w:val="18"/>
          <w:szCs w:val="18"/>
          <w:color w:val="auto"/>
        </w:rPr>
      </w:pPr>
    </w:p>
    <w:p>
      <w:pPr>
        <w:ind w:left="1320" w:right="30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1,688,470 shares of common stock issuable upon exercise of stock options outstanding as of November 30, 2015, at a weighted-average exercise price of $6.49 per share;</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2,834,207 additional shares of common stock reserved as of November 30, 2015 for future issuance under our 2013 Stock Incentive Plan, as amended;</w:t>
      </w:r>
    </w:p>
    <w:p>
      <w:pPr>
        <w:spacing w:after="0" w:line="212" w:lineRule="exact"/>
        <w:rPr>
          <w:rFonts w:ascii="Arial" w:cs="Arial" w:eastAsia="Arial" w:hAnsi="Arial"/>
          <w:sz w:val="18"/>
          <w:szCs w:val="18"/>
          <w:color w:val="auto"/>
        </w:rPr>
      </w:pPr>
    </w:p>
    <w:p>
      <w:pPr>
        <w:ind w:left="1320" w:right="52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1,461,538 additional shares of our common stock that will become available for future issuance under our 2015 Stock Incentive Plan immediately prior to the effectiveness of this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537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53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line="332" w:lineRule="auto"/>
        <w:rPr>
          <w:sz w:val="20"/>
          <w:szCs w:val="20"/>
          <w:color w:val="auto"/>
        </w:rPr>
      </w:pPr>
      <w:r>
        <w:rPr>
          <w:rFonts w:ascii="Arial" w:cs="Arial" w:eastAsia="Arial" w:hAnsi="Arial"/>
          <w:sz w:val="16"/>
          <w:szCs w:val="16"/>
          <w:color w:val="auto"/>
        </w:rPr>
        <w:t>Registration Statement, of which we expect to grant options to purchase an aggregate of 496,727 shares to certain of our employees and one of our non-employee directors upon the commencement of trading of our common stock on the NASDAQ Global Market; and</w:t>
      </w:r>
    </w:p>
    <w:p>
      <w:pPr>
        <w:spacing w:after="0" w:line="166" w:lineRule="exact"/>
        <w:rPr>
          <w:sz w:val="20"/>
          <w:szCs w:val="20"/>
          <w:color w:val="auto"/>
        </w:rPr>
      </w:pPr>
    </w:p>
    <w:p>
      <w:pPr>
        <w:ind w:left="1320" w:right="26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384,615 additional shares of our common stock that will become available for future issuance under our 2015 Employee Stock Purchase Plan upon the closing of this offering.</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39"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one-for-2.6 reverse stock split that was effected on January 15, 2016;</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options or warrant described above;</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to cover over-allotments;</w:t>
      </w:r>
    </w:p>
    <w:p>
      <w:pPr>
        <w:spacing w:after="0" w:line="238"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24,929,709 shares of our common stock upon the closing of this offering;</w:t>
      </w:r>
    </w:p>
    <w:p>
      <w:pPr>
        <w:spacing w:after="0" w:line="199" w:lineRule="exact"/>
        <w:rPr>
          <w:rFonts w:ascii="Arial" w:cs="Arial" w:eastAsia="Arial" w:hAnsi="Arial"/>
          <w:sz w:val="18"/>
          <w:szCs w:val="18"/>
          <w:color w:val="auto"/>
        </w:rPr>
      </w:pPr>
    </w:p>
    <w:p>
      <w:pPr>
        <w:ind w:left="1320" w:right="300" w:hanging="538"/>
        <w:spacing w:after="0" w:line="370" w:lineRule="auto"/>
        <w:tabs>
          <w:tab w:leader="none" w:pos="1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automatic conversion of a warrant to purchase 60,000 shares of preferred stock into a warrant to purchase 23,076 shares of common stock upon the closing of this offering and the related reclassification of our warrant liability to stockholders' (deficit) equity; and</w:t>
      </w:r>
    </w:p>
    <w:p>
      <w:pPr>
        <w:spacing w:after="0" w:line="143" w:lineRule="exact"/>
        <w:rPr>
          <w:rFonts w:ascii="Arial" w:cs="Arial" w:eastAsia="Arial" w:hAnsi="Arial"/>
          <w:sz w:val="15"/>
          <w:szCs w:val="15"/>
          <w:color w:val="auto"/>
        </w:rPr>
      </w:pPr>
    </w:p>
    <w:p>
      <w:pPr>
        <w:ind w:left="1320" w:hanging="538"/>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restatement of our certificate of incorporation and the amendment and restatement of our bylaws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796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79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We have derived the following summary of statements of operations data for the period ended December 31, 2013 and the year ended</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December 31, 2014 from audited financial statements appearing elsewhere in this prospectus. We have derived the following statements of operations data</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for the nine months ended September 30, 2014 and 2015 and the balance sheet data as of September 30, 2015 from unaudited interim financial statements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included elsewhere in this prospectus. In the opinion of management, the unaudited interim financial statements reflect all adjustments, which include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normal recurring adjustments, necessary for a fair presentation of the financial statements. Historical results are not necessarily indicative of the results that</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may be expected in the future, and the results for the nine months ended September 30, 2015 are not necessarily indicative of the results that may be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expected for the full year or any other period. The summary financial data set forth below should be read together with the financial statements and the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related notes to those statements, as well as the sections of this prospectus captioned "Selected Financial Data" and "Management's Discussion and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Analysis of Financial Condition and Results of Operations."</w:t>
      </w:r>
    </w:p>
    <w:p>
      <w:pPr>
        <w:spacing w:after="0" w:line="20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September 3, 2013</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9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3"/>
          </w:tcPr>
          <w:p>
            <w:pPr>
              <w:jc w:val="right"/>
              <w:ind w:right="554"/>
              <w:spacing w:after="0" w:line="129" w:lineRule="exact"/>
              <w:rPr>
                <w:sz w:val="20"/>
                <w:szCs w:val="20"/>
                <w:color w:val="auto"/>
              </w:rPr>
            </w:pPr>
            <w:r>
              <w:rPr>
                <w:rFonts w:ascii="Arial" w:cs="Arial" w:eastAsia="Arial" w:hAnsi="Arial"/>
                <w:sz w:val="12"/>
                <w:szCs w:val="12"/>
                <w:b w:val="1"/>
                <w:bCs w:val="1"/>
                <w:color w:val="auto"/>
                <w:w w:val="79"/>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gridSpan w:val="11"/>
          </w:tcPr>
          <w:p>
            <w:pPr>
              <w:jc w:val="right"/>
              <w:ind w:right="9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5,073</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2,678</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13,020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4,857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r>
        <w:trPr>
          <w:trHeight w:val="210"/>
        </w:trPr>
        <w:tc>
          <w:tcPr>
            <w:tcW w:w="40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(7,535)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(37,328)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(8,274)</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(60,267)</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Reconciliation of net loss to net loss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(8,274)</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(60,267)</w:t>
            </w:r>
          </w:p>
        </w:tc>
        <w:tc>
          <w:tcPr>
            <w:tcW w:w="0" w:type="dxa"/>
            <w:vAlign w:val="bottom"/>
          </w:tcPr>
          <w:p>
            <w:pPr>
              <w:spacing w:after="0"/>
              <w:rPr>
                <w:sz w:val="1"/>
                <w:szCs w:val="1"/>
                <w:color w:val="auto"/>
              </w:rPr>
            </w:pPr>
          </w:p>
        </w:tc>
      </w:tr>
      <w:tr>
        <w:trPr>
          <w:trHeight w:val="208"/>
        </w:trPr>
        <w:tc>
          <w:tcPr>
            <w:tcW w:w="4080" w:type="dxa"/>
            <w:vAlign w:val="bottom"/>
          </w:tcPr>
          <w:p>
            <w:pPr>
              <w:spacing w:after="0"/>
              <w:rPr>
                <w:sz w:val="20"/>
                <w:szCs w:val="20"/>
                <w:color w:val="auto"/>
              </w:rPr>
            </w:pPr>
            <w:r>
              <w:rPr>
                <w:rFonts w:ascii="Arial" w:cs="Arial" w:eastAsia="Arial" w:hAnsi="Arial"/>
                <w:sz w:val="18"/>
                <w:szCs w:val="18"/>
                <w:color w:val="auto"/>
                <w:w w:val="93"/>
              </w:rPr>
              <w:t>Accretion of redeemable convertible preferred stock to</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8"/>
                <w:szCs w:val="18"/>
                <w:color w:val="auto"/>
              </w:rPr>
              <w:t>redemption value</w:t>
            </w: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9"/>
                <w:szCs w:val="19"/>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(8,487)</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(60,562)</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w w:val="91"/>
              </w:rPr>
              <w:t>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
              <w:spacing w:after="0"/>
              <w:rPr>
                <w:sz w:val="20"/>
                <w:szCs w:val="20"/>
                <w:color w:val="auto"/>
              </w:rPr>
            </w:pPr>
            <w:r>
              <w:rPr>
                <w:rFonts w:ascii="Arial" w:cs="Arial" w:eastAsia="Arial" w:hAnsi="Arial"/>
                <w:sz w:val="18"/>
                <w:szCs w:val="18"/>
                <w:color w:val="auto"/>
              </w:rPr>
              <w:t>(8.74)</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Weighted-average common shares outstanding, basic</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300,480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1,123,098</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5"/>
              </w:rPr>
              <w:t>970,593</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2,371,976</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Pro-forma 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Pro-forma weighted-average common shares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basic and diluted (unaudited)</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4,038,660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15,440,679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40" w:right="200" w:firstLine="615"/>
        <w:spacing w:after="0" w:line="268" w:lineRule="auto"/>
        <w:rPr>
          <w:sz w:val="20"/>
          <w:szCs w:val="20"/>
          <w:color w:val="auto"/>
        </w:rPr>
      </w:pPr>
      <w:r>
        <w:rPr>
          <w:rFonts w:ascii="Arial" w:cs="Arial" w:eastAsia="Arial" w:hAnsi="Arial"/>
          <w:sz w:val="18"/>
          <w:szCs w:val="18"/>
          <w:color w:val="auto"/>
        </w:rPr>
        <w:t>See Note 2 in the notes to our financial statements appearing at the end of this prospectus for a description of the method used to calculate basic and diluted net loss per share and unaudited pro forma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944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94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sets forth summary balance sheet data as of September 30, 2015:</w:t>
      </w:r>
    </w:p>
    <w:p>
      <w:pPr>
        <w:spacing w:after="0" w:line="252" w:lineRule="exact"/>
        <w:rPr>
          <w:sz w:val="20"/>
          <w:szCs w:val="20"/>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38" w:lineRule="exact"/>
        <w:rPr>
          <w:rFonts w:ascii="Arial" w:cs="Arial" w:eastAsia="Arial" w:hAnsi="Arial"/>
          <w:sz w:val="18"/>
          <w:szCs w:val="18"/>
          <w:color w:val="auto"/>
        </w:rPr>
      </w:pPr>
    </w:p>
    <w:p>
      <w:pPr>
        <w:ind w:left="1320" w:right="120" w:hanging="538"/>
        <w:spacing w:after="0" w:line="256"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all outstanding shares of our preferred stock into 24,929,709 shares of our common stock, the conversion of our outstanding warrant to purchase 60,000 shares of preferred stock into a warrant to purchase 23,076 shares of common stock, and the resulting reclassification of our warrant liability to stockholders' (deficit) equity, upon the closing of this offering; and</w:t>
      </w:r>
    </w:p>
    <w:p>
      <w:pPr>
        <w:spacing w:after="0" w:line="210" w:lineRule="exact"/>
        <w:rPr>
          <w:rFonts w:ascii="Arial" w:cs="Arial" w:eastAsia="Arial" w:hAnsi="Arial"/>
          <w:sz w:val="18"/>
          <w:szCs w:val="18"/>
          <w:color w:val="auto"/>
        </w:rPr>
      </w:pPr>
    </w:p>
    <w:p>
      <w:pPr>
        <w:ind w:left="1320" w:hanging="538"/>
        <w:spacing w:after="0" w:line="306"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our issuance and sale of 5,900,000 shares of our common stock in this offering at an assumed initial public offering price of $17.00 per share, which is the midpoint of the estimated price range set forth on the cover page of this prospectus, after deducting estimated underwriting discounts and commissions and estimated offering expenses payable by us.</w:t>
      </w:r>
    </w:p>
    <w:p>
      <w:pPr>
        <w:spacing w:after="0" w:line="14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9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As of September 30, 2015</w:t>
            </w:r>
          </w:p>
        </w:tc>
      </w:tr>
      <w:tr>
        <w:trPr>
          <w:trHeight w:val="161"/>
        </w:trPr>
        <w:tc>
          <w:tcPr>
            <w:tcW w:w="5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9"/>
              </w:rPr>
              <w:t>(unaudited)</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1"/>
                <w:szCs w:val="11"/>
                <w:color w:val="auto"/>
              </w:rPr>
            </w:pPr>
          </w:p>
        </w:tc>
      </w:tr>
      <w:tr>
        <w:trPr>
          <w:trHeight w:val="161"/>
        </w:trPr>
        <w:tc>
          <w:tcPr>
            <w:tcW w:w="58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Pro Forma</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As Adjusted</w:t>
            </w:r>
          </w:p>
        </w:tc>
      </w:tr>
      <w:tr>
        <w:trPr>
          <w:trHeight w:val="142"/>
        </w:trPr>
        <w:tc>
          <w:tcPr>
            <w:tcW w:w="58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155,301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155,301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   245,380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151,465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151,465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241,544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159,745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159,745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249,824</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Equipment loan (net of current portion and discount)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199,816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127,616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217,695</w:t>
            </w:r>
          </w:p>
        </w:tc>
      </w:tr>
    </w:tbl>
    <w:p>
      <w:pPr>
        <w:spacing w:after="0" w:line="208" w:lineRule="exact"/>
        <w:rPr>
          <w:sz w:val="20"/>
          <w:szCs w:val="20"/>
          <w:color w:val="auto"/>
        </w:rPr>
      </w:pPr>
    </w:p>
    <w:p>
      <w:pPr>
        <w:ind w:left="240" w:right="40" w:firstLine="605"/>
        <w:spacing w:after="0" w:line="290" w:lineRule="auto"/>
        <w:rPr>
          <w:sz w:val="20"/>
          <w:szCs w:val="20"/>
          <w:color w:val="auto"/>
        </w:rPr>
      </w:pPr>
      <w:r>
        <w:rPr>
          <w:rFonts w:ascii="Arial" w:cs="Arial" w:eastAsia="Arial" w:hAnsi="Arial"/>
          <w:sz w:val="16"/>
          <w:szCs w:val="16"/>
          <w:color w:val="auto"/>
        </w:rPr>
        <w:t>A $1.00 increase (decrease) in the assumed initial public offering price of $17.00 per share, which is the midpoint of the range listed on the cover page of this prospectus, would increase (decrease) the pro forma as adjusted amount of each of cash and cash equivalents, working capital, total assets, and total stockholders' equity by approximately $5.5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our net proceeds from this offering by approximately $15.8 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60" w:firstLine="615"/>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Before investing in our common stock, you should consider carefully the risks described below, together with the other information contained in this prospectus, including our financial statements and the related notes appearing at the end of this prospectus. If any of the following risks occur, our business, financial condition, results of operations, and prospects could be materially adversely affected. In these circumstances, the market price of our common stock could decline, and you may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inception. We expect to incur losses for the foreseeable future and may never achieve or maintain profitability.</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Since inception, we have incurred significant operating losses. Our net loss was $1.8 million and $13.7 million for the period and year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2013 and 2014, respectively, and $60.3 million for the nine months ended September 30, 2015. As of September 30, 2015, we had an accumulated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deficit of $75.7 million. We have financed our operations primarily through private placements of our preferred stock and our collaboration with Juno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Therapeutics. We have devoted all of our efforts to research and development. We expect to continue to incur significant expenses and increasing operating losses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for the foreseeable future. The net losses we incur may fluctuate significantly from quarter to quarter. We anticipate that our expenses will increase substantially if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as we:</w:t>
      </w:r>
    </w:p>
    <w:p>
      <w:pPr>
        <w:spacing w:after="0" w:line="23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continue our current research programs and our preclinical development of product candidates from our current research programs;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 and provide reimbursement of third-party expenses related to our patent portfolio;</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medicines for which we may obtain marketing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develop our genome editing platform;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or in-license other medicines and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validate a commercial-scale current Good Manufacturing Practices, or cGMP, manufacturing facility;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11"/>
        <w:spacing w:after="0" w:line="288" w:lineRule="auto"/>
        <w:rPr>
          <w:sz w:val="20"/>
          <w:szCs w:val="20"/>
          <w:color w:val="auto"/>
        </w:rPr>
      </w:pPr>
      <w:r>
        <w:rPr>
          <w:rFonts w:ascii="Arial" w:cs="Arial" w:eastAsia="Arial" w:hAnsi="Arial"/>
          <w:sz w:val="16"/>
          <w:szCs w:val="16"/>
          <w:color w:val="auto"/>
        </w:rPr>
        <w:t>We have not initiated clinical development of any product candidate and expect that it will be many years, if ever, before we have a product candidate ready for commercialization. To become and remain profitable, we must develop and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We are currently only in the preclinical testing stages for our most advanced research programs.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would be forced to delay, reduce, or eliminate our research and product development programs or commercialization efforts.</w:t>
      </w:r>
    </w:p>
    <w:p>
      <w:pPr>
        <w:spacing w:after="0" w:line="186" w:lineRule="exact"/>
        <w:rPr>
          <w:sz w:val="20"/>
          <w:szCs w:val="20"/>
          <w:color w:val="auto"/>
        </w:rPr>
      </w:pPr>
    </w:p>
    <w:p>
      <w:pPr>
        <w:ind w:right="300" w:firstLine="611"/>
        <w:spacing w:after="0" w:line="290" w:lineRule="auto"/>
        <w:rPr>
          <w:sz w:val="20"/>
          <w:szCs w:val="20"/>
          <w:color w:val="auto"/>
        </w:rPr>
      </w:pPr>
      <w:r>
        <w:rPr>
          <w:rFonts w:ascii="Arial" w:cs="Arial" w:eastAsia="Arial" w:hAnsi="Arial"/>
          <w:sz w:val="16"/>
          <w:szCs w:val="16"/>
          <w:color w:val="auto"/>
        </w:rPr>
        <w:t>We expect our expenses to increase in connection with our ongoing activities, particularly as we identify, continue the research and development of, initiate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172" w:lineRule="exact"/>
        <w:rPr>
          <w:sz w:val="20"/>
          <w:szCs w:val="20"/>
          <w:color w:val="auto"/>
        </w:rPr>
      </w:pPr>
    </w:p>
    <w:p>
      <w:pPr>
        <w:ind w:right="200" w:firstLine="611"/>
        <w:spacing w:after="0" w:line="259" w:lineRule="auto"/>
        <w:rPr>
          <w:sz w:val="20"/>
          <w:szCs w:val="20"/>
          <w:color w:val="auto"/>
        </w:rPr>
      </w:pPr>
      <w:r>
        <w:rPr>
          <w:rFonts w:ascii="Arial" w:cs="Arial" w:eastAsia="Arial" w:hAnsi="Arial"/>
          <w:sz w:val="18"/>
          <w:szCs w:val="18"/>
          <w:color w:val="auto"/>
        </w:rPr>
        <w:t>We expect that the net proceeds from this offering, together with our existing cash and cash equivalents, anticipated interest income, and anticipated research support under our collaboration agreement with Juno Therapeutics, will enable us to fund our operating expenses and capital expenditure requirements for at least the next 24 months. Our future capital requirements will depend on many factors, including:</w:t>
      </w:r>
    </w:p>
    <w:p>
      <w:pPr>
        <w:spacing w:after="0" w:line="208" w:lineRule="exact"/>
        <w:rPr>
          <w:sz w:val="20"/>
          <w:szCs w:val="20"/>
          <w:color w:val="auto"/>
        </w:rPr>
      </w:pPr>
    </w:p>
    <w:p>
      <w:pPr>
        <w:ind w:left="1080" w:right="1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the product candidates we may develop;</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product candidates for which we receive regulatory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collaboration with Juno Therapeutics;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Juno Therapeutics exercises either or both of its options to extend the research program term under our collaboration (each of which would trigger an extension payment to 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medicines and technologies;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86"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other than our collaboration with Juno Therapeutics, which is limited in scope and duration.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7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you to evaluate the success of our business to date and to assess our future viability.</w:t>
      </w:r>
    </w:p>
    <w:p>
      <w:pPr>
        <w:spacing w:after="0" w:line="248"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We are an early-stage company. We were founded and commenced operations in the second half of 2013. Our operations to date have been limited to organizing and staffing our company, business planning, raising capital, acquiring and developing our technology, identifying potential product candidates, and undertaking preclinical studies. All of our research programs are still in the preclinical or research stage of development, and their risk of failure is high. We have not yet demonstrated an ability to initiate or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time it is discovered to when it is available for treating patients. Consequently, any predictions you make about our future success or viability may not be as accurate as they could be if we had a longer operating history.</w:t>
      </w:r>
    </w:p>
    <w:p>
      <w:pPr>
        <w:spacing w:after="0" w:line="186" w:lineRule="exact"/>
        <w:rPr>
          <w:sz w:val="20"/>
          <w:szCs w:val="20"/>
          <w:color w:val="auto"/>
        </w:rPr>
      </w:pPr>
    </w:p>
    <w:p>
      <w:pPr>
        <w:ind w:right="240" w:firstLine="615"/>
        <w:spacing w:after="0" w:line="259"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21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identify product candidates and complete research and preclinical and clinical development of any product candidates we may identify;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and obtain regulatory and marketing approvals for any of our product candidates for which we complete clinical trials;</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152"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qualify for adequate coverage and reimbursement by government and third-party payors for any our product candidates for which we obtain regulatory and marketing approval;</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maintain, and enhance a sustainable, scalable, reproducible, and transferable manufacturing process for the product candidates we may develop;</w:t>
      </w:r>
    </w:p>
    <w:p>
      <w:pPr>
        <w:spacing w:after="0" w:line="199"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that can provide adequate, in both amount and quality, products and services to support clinical development and the market demand for any of our product candidates for which we obtain regulatory and marketing approval;</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market acceptance of any product candidates we may develop as viable treatment options;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competing technological and market developments;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internal systems and infrastructure, as needed;</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performing our obligations in such collaborations;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portfolio of intellectual property rights, including patents, trade secrets, and know-how;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avoid and defend against third-party interference or infringement claims;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Even if one or more of the product candidates we may develop is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w:t>
      </w:r>
    </w:p>
    <w:p>
      <w:pPr>
        <w:spacing w:after="0" w:line="2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We intend to identify and develop product candidates based on a novel genome editing technology, which makes it difficult to predict the time and cost of product candidate development. No products that utilize genome editing technology have been approved in the United States or in Europe, and there have only been a limited number of human clinical trials of a genome editing product candidate. Moreover, none of those trials has involved CRISPR/Cas9 technology.</w:t>
      </w:r>
    </w:p>
    <w:p>
      <w:pPr>
        <w:spacing w:after="0" w:line="197"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We have concentrated our research and development efforts on our genome editing platform, which uses CRISPR/Cas9 technology. Our future success depends on the successful development of this novel genome editing therapeutic approach. To date, no product that utilizes genome editing has been approved in the United States or Europe. There have been a limited number of clinical trials of genome editing technologies, however no product candidates have been approved, and none of these clinical trials involved product candidates that utilize CRISPR/Cas9 genome editing technology. In addition, because our programs are all in the research or preclinical stage, we have not yet been able to assess safety in humans, and there may be long-term effects from treatment with any of our future product candidates that we cannot predict at this time. Any product candidates we may develop will act at the level of DNA, and, because animal DNA differs from human DNA, it will be difficult for us to test our future product candidates in animal models for either safety or efficacy. Also, animal models do not exist for some of the diseases we expect to pursue in our programs. As a result of these factors, it is more difficult for us to predict the time and cost of product candidate development, and we cannot predict whether the application of our genome editing platform, or any similar or competitive genome editing platforms, will result in the identification, development, and regulatory approval of any medicines. There can be no assurance that any development problems we experience in the future related to our genome editing platform or any of our research programs will not cause significant delays or unanticipated costs, or that such development problems can be solved. We may also experience delays in developing a sustainable, reproducible, and scalable manufacturing process or transferring that process to commercial partners. Any of these factors may prevent us from completing our preclinical studies or any clinical trials that we may initiate or commercializing any product candidates we may develop on a timely or profitable basis, if at all.</w:t>
      </w:r>
    </w:p>
    <w:p>
      <w:pPr>
        <w:spacing w:after="0" w:line="18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Because genome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139" w:lineRule="exact"/>
        <w:rPr>
          <w:sz w:val="20"/>
          <w:szCs w:val="20"/>
          <w:color w:val="auto"/>
        </w:rPr>
      </w:pPr>
    </w:p>
    <w:p>
      <w:pPr>
        <w:ind w:right="20" w:firstLine="611"/>
        <w:spacing w:after="0" w:line="318" w:lineRule="auto"/>
        <w:rPr>
          <w:sz w:val="20"/>
          <w:szCs w:val="20"/>
          <w:color w:val="auto"/>
        </w:rPr>
      </w:pPr>
      <w:r>
        <w:rPr>
          <w:rFonts w:ascii="Arial" w:cs="Arial" w:eastAsia="Arial" w:hAnsi="Arial"/>
          <w:sz w:val="15"/>
          <w:szCs w:val="15"/>
          <w:color w:val="auto"/>
        </w:rPr>
        <w:t>The regulatory requirements that will govern any novel genome editing product candidates we develop are not entirely clear and may change. Within the broader genome medicine field, only one gene therapy product, uniQure N.V.'s Glybera, has received marketing authorization from the European Commission, and no gene therapy products have received marketing approval in the United States.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responsible for regulation of existing gene therapy products and cell therapy products. For example, in the United States, the FDA has established the Office of Cellular, Tissue and Gene Therapies within its Center for Biologics Evaluation and Research, or CBER, to consolidate the review of gene therapy and related products, and the Cellular, Tissue and Gene Therapies Advisory Committee to advise CBER on its review. Gene therapy clinical trials are also subject to review and oversight by an institutional biosafety committee, or IBC, a local institutional committee that reviews and oversees basic and clinical research conducted at the institution participating in the clinical trial. Gene therapy clinical trials conducted at institutions that receive funding for recombinant DNA research from the United States National Institutes of Health, or the NIH, are also subject to review by the NIH Office of Biotechnology Activities' Recombinant DNA Advisory Committee. Although the FDA decides whether individual gene therapy protocols may proceed, the review process and determinations of other reviewing bodies can impede or delay the initiation of a clinical trial, even if the FDA has reviewed the trial and approved its initiation. The same applies in the European Union. The EMA's Committee for Advanced Therapies, or CAT, is responsible for assessing the quality, safety, and efficacy of advanced-therapy medicinal products.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European Union guidelines. The EMA may issue new guidelines concerning the development and marketing authorization for gene therapy medicinal products and require that we comply with these new guidelines. As a result, the procedures and standards applied to gene therapy products and cell therapy products may be applied to any CRISPR/Cas9 product candidates we may develop, but that remains uncertain at this point.</w:t>
      </w:r>
    </w:p>
    <w:p>
      <w:pPr>
        <w:spacing w:after="0" w:line="182" w:lineRule="exact"/>
        <w:rPr>
          <w:sz w:val="20"/>
          <w:szCs w:val="20"/>
          <w:color w:val="auto"/>
        </w:rPr>
      </w:pPr>
    </w:p>
    <w:p>
      <w:pPr>
        <w:ind w:right="100" w:firstLine="605"/>
        <w:spacing w:after="0" w:line="287" w:lineRule="auto"/>
        <w:rPr>
          <w:sz w:val="20"/>
          <w:szCs w:val="20"/>
          <w:color w:val="auto"/>
        </w:rPr>
      </w:pPr>
      <w:r>
        <w:rPr>
          <w:rFonts w:ascii="Arial" w:cs="Arial" w:eastAsia="Arial" w:hAnsi="Arial"/>
          <w:sz w:val="16"/>
          <w:szCs w:val="16"/>
          <w:color w:val="auto"/>
        </w:rPr>
        <w:t>Adverse developments in clinical trials conducted by others of gene therapy products, cell therapy products, or products developed through the application of a CRISPR/Cas9 or other genome editing technology may cause the FDA, the EMA, and other regulatory bodies to revise the requirements for approval of any product candidates we may develop or limit the use of products utilizing genome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genome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177"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The regulatory review committees and advisory groups described above and the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Adverse public perception of genomic medicines, and genome editing in particular, may negatively impact regulatory approval of, or demand for, our potential products.</w:t>
      </w:r>
    </w:p>
    <w:p>
      <w:pPr>
        <w:spacing w:after="0" w:line="186" w:lineRule="exact"/>
        <w:rPr>
          <w:sz w:val="20"/>
          <w:szCs w:val="20"/>
          <w:color w:val="auto"/>
        </w:rPr>
      </w:pPr>
    </w:p>
    <w:p>
      <w:pPr>
        <w:ind w:right="100" w:firstLine="615"/>
        <w:spacing w:after="0" w:line="291" w:lineRule="auto"/>
        <w:rPr>
          <w:sz w:val="20"/>
          <w:szCs w:val="20"/>
          <w:color w:val="auto"/>
        </w:rPr>
      </w:pPr>
      <w:r>
        <w:rPr>
          <w:rFonts w:ascii="Arial" w:cs="Arial" w:eastAsia="Arial" w:hAnsi="Arial"/>
          <w:sz w:val="16"/>
          <w:szCs w:val="16"/>
          <w:color w:val="auto"/>
        </w:rPr>
        <w:t>Our potential therapeutic products involve editing the human genome. The clinical and commercial success of our potential products will depend in part on public acceptance of the use of genome editing therapy for the prevention or treatment of human diseases. Public attitudes may be influenced by claims that genome editing is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74"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In addition, genome editing technology is subject to public debate and heightened regulatory scrutiny due to ethical concerns relating to the application of genome editing technology to human embryos or the human germline. For example, in April 2015, Chinese scientists reported on their attempts to edit the genome of human embryos to modify the gene for hemoglobin beta. This is the gene in which a mutation occurs in patients with the inherited blood disorder beta thalassemia. Although this research was purposefully conducted in embryos that were not viable, the work prompted calls for a moratorium or other types of restrictions on genome editing of human eggs, sperm, and embryos. The Alliance for Regenerative Medicine in Washington has called for a voluntary moratorium on the use of genome editing technologies, including CRISPR/Cas9, in research that involved altering human embryos or human germline cells. Similarly, the NIH has announced that it would not fund any use of genome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United Kingdom prohibit genetically modified embryos from being implanted into women, but embryos can be altered in research labs under license from the Human Fertilisation and Embryology Authority. Research on embryos is more tightly controlled in many other European countries.</w:t>
      </w:r>
    </w:p>
    <w:p>
      <w:pPr>
        <w:spacing w:after="0" w:line="181" w:lineRule="exact"/>
        <w:rPr>
          <w:sz w:val="20"/>
          <w:szCs w:val="20"/>
          <w:color w:val="auto"/>
        </w:rPr>
      </w:pPr>
    </w:p>
    <w:p>
      <w:pPr>
        <w:ind w:firstLine="605"/>
        <w:spacing w:after="0" w:line="289" w:lineRule="auto"/>
        <w:rPr>
          <w:sz w:val="20"/>
          <w:szCs w:val="20"/>
          <w:color w:val="auto"/>
        </w:rPr>
      </w:pPr>
      <w:r>
        <w:rPr>
          <w:rFonts w:ascii="Arial" w:cs="Arial" w:eastAsia="Arial" w:hAnsi="Arial"/>
          <w:sz w:val="16"/>
          <w:szCs w:val="16"/>
          <w:color w:val="auto"/>
        </w:rPr>
        <w:t>Although we do not use our technologies to edit human embryos or the human germline, such public debate about the use of genome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products we may develop. Adverse events in our preclinical studies or clinical trials or those of our competitors or of academic researchers utilizing genome editing technologies, even if not ultimately attributable to product candidates we may identify and develop, and the resulting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develop, or commercialize potential product candidates.</w:t>
      </w:r>
    </w:p>
    <w:p>
      <w:pPr>
        <w:spacing w:after="0" w:line="225"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products based on our genome editing platform. All of our product development programs are still in the preclinical or research stage of development. Our research programs, including those subject to our collaboration with Juno Therapeutics, may fail to identify potential product candidates for clinical development for a number of reasons. Our research methodology may be unsuccessful in identifying potential product candidates, or our potential product candidates may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shown to have harmful side effects or may have other characteristics that may make the products impractical to manufacture, unmarketable, or unlikely to receive marketing approval.</w:t>
      </w:r>
    </w:p>
    <w:p>
      <w:pPr>
        <w:spacing w:after="0" w:line="186" w:lineRule="exact"/>
        <w:rPr>
          <w:sz w:val="20"/>
          <w:szCs w:val="20"/>
          <w:color w:val="auto"/>
        </w:rPr>
      </w:pPr>
    </w:p>
    <w:p>
      <w:pPr>
        <w:ind w:right="340" w:firstLine="615"/>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The genome editing field is relatively new and is evolving rapidly. We are focusing our research and development efforts on CRISPR/Cas9, but other genome editing technologies may be discovered that provide significant advantages over CRISPR/Cas9, which could materially harm our business.</w:t>
      </w:r>
    </w:p>
    <w:p>
      <w:pPr>
        <w:spacing w:after="0" w:line="139"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To date, we have focused our efforts on genome editing technologies using CRISPR/Cas9. Other companies have previously undertaken research and development of genome editing technologies using zinc finger nucleases, engineered meganucleases, and transcription activator-like effector nucleases, or TALENs, but to date none has obtained marketing approval for a product candidate. There can be no certainty that the CRISPR/Cas9 technology will lead to the development of genomic medicines or that other genome editing technologies will not be considered better or more attractive for the development of medicines. For example, researchers, including Feng Zhang, Ph.D., one of our founders, recently announced the discovery of a CRISPR system involving a different protein, Cpf1, which can also edit human DNA. These researchers have asserted that Cpf1 may work better than Cas9 in some cases. Cas9 may be determined to be less attractive than Cpf1 or other CRISPR proteins that have yet to be discovered. Similarly, a new genome editing technology that has not been discovered yet may be determined to be more attractive than CRISPR. Moreover, if we decide to develop genome technologies other than CRISPR/Cas9, we cannot be certain we will be able to obtain rights to such technologies. Although all of our founders who currently provide consulting and advisory services to us in the areas of Cas9 and TALEN genome editing technologies have assignment of inventions obligations to us with respect to the services they perform for us, these assignment of inventions obligations are subject to limitations and do not extend to their work in other fields or to the intellectual property arising from their employment with their respective academic and research institutions. To obtain intellectual property rights assigned by these founders to such institutions, we would need to enter into license agreements with such institutions. For example, we do not have rights to Cpf1, and, if we were to seek such rights, there can be no assurance we could obtain such rights on commercially reasonable terms, or at all. Any of these factors could reduce or eliminate our commercial opportunity, and could have a material adverse effect on our business, financial condition, results of operations, and prospects.</w:t>
      </w:r>
    </w:p>
    <w:p>
      <w:pPr>
        <w:spacing w:after="0" w:line="18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We depend heavily on the success of our most advanced program. All of our product development programs are at the preclinical or research stage. Preclinical testing and clinical trials of product candidates may not be successful. If we are unable to commercialize any product candidates we may develop or experience significant delays in doing so, our business will be materially harmed.</w:t>
      </w:r>
    </w:p>
    <w:p>
      <w:pPr>
        <w:spacing w:after="0" w:line="161"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We have invested a significant portion of our efforts and financial resources in the identification of our most advanced product development program for the treatment of Leber Congenital Amaurosis, or LCA, type 10, or LCA10. Our ability to generate product revenues, which we do not expect will occur for many years, if ever, will depend heavily on the successful development and eventual commercialization of a product candidate for the treatment of LCA10 and other product candidates that we may identify in the future. The success of product candidates we may identify and develop will depend on many factors, including the following:</w:t>
      </w:r>
    </w:p>
    <w:p>
      <w:pPr>
        <w:spacing w:after="0" w:line="210" w:lineRule="exact"/>
        <w:rPr>
          <w:sz w:val="20"/>
          <w:szCs w:val="20"/>
          <w:color w:val="auto"/>
        </w:rPr>
      </w:pPr>
    </w:p>
    <w:p>
      <w:pPr>
        <w:ind w:left="5560" w:right="260" w:hanging="5012"/>
        <w:spacing w:after="0" w:line="519" w:lineRule="auto"/>
        <w:tabs>
          <w:tab w:leader="none" w:pos="10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for our most advanced program;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completion of preclinical studies and IND-enabling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non-patent exclusivity for our medicines;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the medicines, if and when approved, whether alone or in collaboration with others;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medicines, if and when approved, by patients, the medical community, and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continued acceptable safety profile of the medicines following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225" w:lineRule="exact"/>
        <w:rPr>
          <w:sz w:val="20"/>
          <w:szCs w:val="20"/>
          <w:color w:val="auto"/>
        </w:rPr>
      </w:pPr>
    </w:p>
    <w:p>
      <w:pPr>
        <w:ind w:right="420" w:firstLine="615"/>
        <w:spacing w:after="0" w:line="26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any product candidates we may develop, which would materially harm our business.</w:t>
      </w:r>
    </w:p>
    <w:p>
      <w:pPr>
        <w:spacing w:after="0" w:line="186"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Of the large number of biologics and drugs in development in the pharmaceutical industry, only a small percentage result in the submission of a Biologics License Application, or BLA, to the FDA or a marketing authorization application, or MAA, to the EMA. Not all BLAs or MAAs that are submitted to a regulatory agency are approved for commercialization. Furthermore, even if we do receive regulatory approval to market any product candidates that we may identify and develop, any such approval may be subject to limitations on the indicated uses for which we may market the product. Accordingly, even if we are able to obtain the requisite financing to continue to fund our research programs, we cannot assure you that we will successfully develop or commercialize our most advanced program, or any of our other research programs. If we or any of our future development partners are unable to develop, or obtain regulatory approval for, or, if approved, successfully commercialize, any product candidates we may identify and develop, we may not be able to generate sufficient revenue to continue our business.</w:t>
      </w:r>
    </w:p>
    <w:p>
      <w:pPr>
        <w:spacing w:after="0" w:line="172"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139"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We have not evaluated any product candidates in human clinical trials, and many of our proposed delivery modes have never been evaluated in human clinical trials. Moreover, we are not aware of any clinical trials involving CRISPR/Cas9 technology. It is impossible to predict when or if any product candidates we may develop will prove safe in humans. In the genomic medicine field, there have been several significant adverse events from gene therapy treatments in the past, including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reported cases of leukemia and death. There can be no assurance that genome editing technologies will not cause undesirable side effects.</w:t>
      </w:r>
    </w:p>
    <w:p>
      <w:pPr>
        <w:spacing w:after="0" w:line="225" w:lineRule="exact"/>
        <w:rPr>
          <w:sz w:val="20"/>
          <w:szCs w:val="20"/>
          <w:color w:val="auto"/>
        </w:rPr>
      </w:pPr>
    </w:p>
    <w:p>
      <w:pPr>
        <w:ind w:firstLine="605"/>
        <w:spacing w:after="0" w:line="253" w:lineRule="auto"/>
        <w:rPr>
          <w:sz w:val="20"/>
          <w:szCs w:val="20"/>
          <w:color w:val="auto"/>
        </w:rPr>
      </w:pPr>
      <w:r>
        <w:rPr>
          <w:rFonts w:ascii="Arial" w:cs="Arial" w:eastAsia="Arial" w:hAnsi="Arial"/>
          <w:sz w:val="18"/>
          <w:szCs w:val="18"/>
          <w:color w:val="auto"/>
        </w:rPr>
        <w:t>A significant risk in any genome editing product is that the edit will be "off-target" and cause serious adverse events, undesirable side effects, or unexpected characteristics. For example, off-target cuts could lead to 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 gene or genomic element. We cannot be certain that off-target editing will not occur in any of our planned or future clinical studies. There is also the potential risk of delayed adverse events following exposure to genome editing therapy due to the potential for persistent biological activity of the genetic material or other components of products used to carry the genetic material.</w:t>
      </w:r>
    </w:p>
    <w:p>
      <w:pPr>
        <w:spacing w:after="0" w:line="201" w:lineRule="exact"/>
        <w:rPr>
          <w:sz w:val="20"/>
          <w:szCs w:val="20"/>
          <w:color w:val="auto"/>
        </w:rPr>
      </w:pPr>
    </w:p>
    <w:p>
      <w:pPr>
        <w:ind w:right="40" w:firstLine="615"/>
        <w:spacing w:after="0" w:line="318" w:lineRule="auto"/>
        <w:rPr>
          <w:sz w:val="20"/>
          <w:szCs w:val="20"/>
          <w:color w:val="auto"/>
        </w:rPr>
      </w:pPr>
      <w:r>
        <w:rPr>
          <w:rFonts w:ascii="Arial" w:cs="Arial" w:eastAsia="Arial" w:hAnsi="Arial"/>
          <w:sz w:val="15"/>
          <w:szCs w:val="15"/>
          <w:color w:val="auto"/>
        </w:rPr>
        <w:t>If any product candidates we develop are associated with serious adverse events, or undesirable side effects, or have characteristics that are unexpected,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15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If any of the product candidates we may develop or the delivery modes we rely on cause undesirable side effects, it could delay or prevent their regulatory approval, limit the commercial potential, or result in significant negative consequences following any potential marketing approval.</w:t>
      </w:r>
    </w:p>
    <w:p>
      <w:pPr>
        <w:spacing w:after="0" w:line="139" w:lineRule="exact"/>
        <w:rPr>
          <w:sz w:val="20"/>
          <w:szCs w:val="20"/>
          <w:color w:val="auto"/>
        </w:rPr>
      </w:pPr>
    </w:p>
    <w:p>
      <w:pPr>
        <w:ind w:right="280" w:firstLine="615"/>
        <w:spacing w:after="0" w:line="255" w:lineRule="auto"/>
        <w:rPr>
          <w:sz w:val="20"/>
          <w:szCs w:val="20"/>
          <w:color w:val="auto"/>
        </w:rPr>
      </w:pPr>
      <w:r>
        <w:rPr>
          <w:rFonts w:ascii="Arial" w:cs="Arial" w:eastAsia="Arial" w:hAnsi="Arial"/>
          <w:sz w:val="18"/>
          <w:szCs w:val="18"/>
          <w:color w:val="auto"/>
        </w:rPr>
        <w:t>Product candidates we may develop may be associated with off-target editing or other serious adverse events, undesirable side effects, or unexpected characteristics. There also is the potential risk of delayed adverse events following exposure to gene editing therapy due to persistent biologic activity of the genetic material or other components of products used to carry the genetic material. In addition to serious adverse events or side effects caused by any product candidate we may develop, the administration process or related procedures also can cause undesirable side effects. If any such events occur, our clinical trials could be suspended or terminated.</w:t>
      </w:r>
    </w:p>
    <w:p>
      <w:pPr>
        <w:spacing w:after="0" w:line="197" w:lineRule="exact"/>
        <w:rPr>
          <w:sz w:val="20"/>
          <w:szCs w:val="20"/>
          <w:color w:val="auto"/>
        </w:rPr>
      </w:pPr>
    </w:p>
    <w:p>
      <w:pPr>
        <w:ind w:right="120" w:firstLine="615"/>
        <w:spacing w:after="0" w:line="290" w:lineRule="auto"/>
        <w:rPr>
          <w:sz w:val="20"/>
          <w:szCs w:val="20"/>
          <w:color w:val="auto"/>
        </w:rPr>
      </w:pPr>
      <w:r>
        <w:rPr>
          <w:rFonts w:ascii="Arial" w:cs="Arial" w:eastAsia="Arial" w:hAnsi="Arial"/>
          <w:sz w:val="16"/>
          <w:szCs w:val="16"/>
          <w:color w:val="auto"/>
        </w:rPr>
        <w:t>If in the future we are unable to demonstrate that such adverse events were caused by factors other than our product candidate, the FDA, the European Commission,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05"/>
        <w:spacing w:after="0" w:line="254" w:lineRule="auto"/>
        <w:rPr>
          <w:sz w:val="20"/>
          <w:szCs w:val="20"/>
          <w:color w:val="auto"/>
        </w:rPr>
      </w:pPr>
      <w:r>
        <w:rPr>
          <w:rFonts w:ascii="Arial" w:cs="Arial" w:eastAsia="Arial" w:hAnsi="Arial"/>
          <w:sz w:val="18"/>
          <w:szCs w:val="18"/>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to develop, several potentially significant negative consequences could result, including:</w:t>
      </w:r>
    </w:p>
    <w:p>
      <w:pPr>
        <w:spacing w:after="0" w:line="21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 candidates we may identify and develop and could have a material adverse effect on our business, financial condition, results of operations, and prospectus.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tested any of our proposed delivery modes and product candidates in clinical trials.</w:t>
      </w:r>
    </w:p>
    <w:p>
      <w:pPr>
        <w:spacing w:after="0" w:line="225" w:lineRule="exact"/>
        <w:rPr>
          <w:sz w:val="20"/>
          <w:szCs w:val="20"/>
          <w:color w:val="auto"/>
        </w:rPr>
      </w:pPr>
    </w:p>
    <w:p>
      <w:pPr>
        <w:ind w:right="380" w:firstLine="615"/>
        <w:spacing w:after="0" w:line="259" w:lineRule="auto"/>
        <w:rPr>
          <w:sz w:val="20"/>
          <w:szCs w:val="20"/>
          <w:color w:val="auto"/>
        </w:rPr>
      </w:pPr>
      <w:r>
        <w:rPr>
          <w:rFonts w:ascii="Arial" w:cs="Arial" w:eastAsia="Arial" w:hAnsi="Arial"/>
          <w:sz w:val="18"/>
          <w:szCs w:val="18"/>
          <w:color w:val="auto"/>
        </w:rPr>
        <w:t>Our proposed delivery modes and product candidates have never been evaluated in human clinical trials. Moreover, we are not aware of any clinical trials involving CRISPR/Cas9 technology. Any product candidates we develop may fail to show the desired safety and efficacy in later stages of clinical development despite having successfully advanced through initial clinical trials.</w:t>
      </w:r>
    </w:p>
    <w:p>
      <w:pPr>
        <w:spacing w:after="0" w:line="194" w:lineRule="exact"/>
        <w:rPr>
          <w:sz w:val="20"/>
          <w:szCs w:val="20"/>
          <w:color w:val="auto"/>
        </w:rPr>
      </w:pPr>
    </w:p>
    <w:p>
      <w:pPr>
        <w:jc w:val="both"/>
        <w:ind w:right="180" w:firstLine="611"/>
        <w:spacing w:after="0" w:line="298" w:lineRule="auto"/>
        <w:rPr>
          <w:sz w:val="20"/>
          <w:szCs w:val="20"/>
          <w:color w:val="auto"/>
        </w:rPr>
      </w:pPr>
      <w:r>
        <w:rPr>
          <w:rFonts w:ascii="Arial" w:cs="Arial" w:eastAsia="Arial" w:hAnsi="Arial"/>
          <w:sz w:val="16"/>
          <w:szCs w:val="16"/>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67" w:lineRule="exact"/>
        <w:rPr>
          <w:sz w:val="20"/>
          <w:szCs w:val="20"/>
          <w:color w:val="auto"/>
        </w:rPr>
      </w:pPr>
    </w:p>
    <w:p>
      <w:pPr>
        <w:ind w:right="440" w:firstLine="605"/>
        <w:spacing w:after="0" w:line="268" w:lineRule="auto"/>
        <w:rPr>
          <w:sz w:val="20"/>
          <w:szCs w:val="20"/>
          <w:color w:val="auto"/>
        </w:rPr>
      </w:pPr>
      <w:r>
        <w:rPr>
          <w:rFonts w:ascii="Arial" w:cs="Arial" w:eastAsia="Arial" w:hAnsi="Arial"/>
          <w:sz w:val="18"/>
          <w:szCs w:val="18"/>
          <w:color w:val="auto"/>
        </w:rPr>
        <w:t>Any such adverse events may cause us to delay, limit, or terminate planned clinical trials, any of which would have a material adverse effect on our business, financial condition, results of operations, and prospects.</w:t>
      </w:r>
    </w:p>
    <w:p>
      <w:pPr>
        <w:spacing w:after="0" w:line="18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Because we are developing product candidates for the treatment of diseases in which there is little clinical experience using new technologies, there is increased risk that the FDA, the EMA, or other regulatory authorities may not consider the endpoints of our clinical trials to provide clinically meaningful results and that these results may be difficult to analyze.</w:t>
      </w:r>
    </w:p>
    <w:p>
      <w:pPr>
        <w:spacing w:after="0" w:line="194" w:lineRule="exact"/>
        <w:rPr>
          <w:sz w:val="20"/>
          <w:szCs w:val="20"/>
          <w:color w:val="auto"/>
        </w:rPr>
      </w:pPr>
    </w:p>
    <w:p>
      <w:pPr>
        <w:ind w:right="20" w:firstLine="615"/>
        <w:spacing w:after="0" w:line="332" w:lineRule="auto"/>
        <w:rPr>
          <w:sz w:val="20"/>
          <w:szCs w:val="20"/>
          <w:color w:val="auto"/>
        </w:rPr>
      </w:pPr>
      <w:r>
        <w:rPr>
          <w:rFonts w:ascii="Arial" w:cs="Arial" w:eastAsia="Arial" w:hAnsi="Arial"/>
          <w:sz w:val="16"/>
          <w:szCs w:val="16"/>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As we are initially seeking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identify and develop product candidates to treat diseases in which there is little clinical experience using new technologies,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have small patient populations, and designing and executing a rigorous clinical trial with appropriate statistical power is more difficult than with diseases that have larger patient populations.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such as the CAT, may make similar comments with respect to these endpoints and data. Any product candidates we may develop will be based on a novel technology that makes it difficult to predict the time and cost of development and of subsequently obtaining regulatory approval. No genome editing product has been approved in the United States or in Europe.</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94"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Before obtaining marketing approval from regulatory authorities for the sale of any product candidates we may identify and develop,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197" w:lineRule="exact"/>
        <w:rPr>
          <w:sz w:val="20"/>
          <w:szCs w:val="20"/>
          <w:color w:val="auto"/>
        </w:rPr>
      </w:pPr>
    </w:p>
    <w:p>
      <w:pPr>
        <w:ind w:right="260" w:firstLine="615"/>
        <w:spacing w:after="0" w:line="370" w:lineRule="auto"/>
        <w:rPr>
          <w:sz w:val="20"/>
          <w:szCs w:val="20"/>
          <w:color w:val="auto"/>
        </w:rPr>
      </w:pPr>
      <w:r>
        <w:rPr>
          <w:rFonts w:ascii="Arial" w:cs="Arial" w:eastAsia="Arial" w:hAnsi="Arial"/>
          <w:sz w:val="15"/>
          <w:szCs w:val="15"/>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16" w:lineRule="exact"/>
        <w:rPr>
          <w:sz w:val="20"/>
          <w:szCs w:val="20"/>
          <w:color w:val="auto"/>
        </w:rPr>
      </w:pPr>
    </w:p>
    <w:p>
      <w:pPr>
        <w:ind w:right="380" w:firstLine="611"/>
        <w:spacing w:after="0" w:line="268" w:lineRule="auto"/>
        <w:rPr>
          <w:sz w:val="20"/>
          <w:szCs w:val="20"/>
          <w:color w:val="auto"/>
        </w:rPr>
      </w:pPr>
      <w:r>
        <w:rPr>
          <w:rFonts w:ascii="Arial" w:cs="Arial" w:eastAsia="Arial" w:hAnsi="Arial"/>
          <w:sz w:val="18"/>
          <w:szCs w:val="18"/>
          <w:color w:val="auto"/>
        </w:rPr>
        <w:t>We or our collaborators may experience numerous unforeseen events during, or as a result of, clinical trials that could delay or prevent our ability to receive marketing approval or commercialize any product candidates we may identify and develop, including:</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regulators on trial design;</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IRBs, or independent ethics committees may not authorize us or our investigators to commence a clinical trial or conduct a clinical trial at a prospective trial site;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clinical trial contracts or clinical trial protocols with prospective contract research organizations, or CROs, and clinical trial sites;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designing clinical trials and selecting endpoints for diseases that have not been well-studied and for which the natural history and course of the disease is poorly understood;</w:t>
      </w:r>
    </w:p>
    <w:p>
      <w:pPr>
        <w:spacing w:after="0" w:line="199"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subjects may drop out of these clinical trials at a higher rate than we anticipate;</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261" w:lineRule="exact"/>
        <w:rPr>
          <w:rFonts w:ascii="Arial" w:cs="Arial" w:eastAsia="Arial" w:hAnsi="Arial"/>
          <w:sz w:val="16"/>
          <w:szCs w:val="16"/>
          <w:color w:val="auto"/>
        </w:rPr>
      </w:pPr>
    </w:p>
    <w:p>
      <w:pPr>
        <w:ind w:left="1080" w:right="2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any product candidates we may develop may be greater than we anticipate;</w:t>
      </w:r>
    </w:p>
    <w:p>
      <w:pPr>
        <w:spacing w:after="0" w:line="252" w:lineRule="exact"/>
        <w:rPr>
          <w:rFonts w:ascii="Arial" w:cs="Arial" w:eastAsia="Arial" w:hAnsi="Arial"/>
          <w:sz w:val="18"/>
          <w:szCs w:val="18"/>
          <w:color w:val="auto"/>
        </w:rPr>
      </w:pPr>
    </w:p>
    <w:p>
      <w:pPr>
        <w:ind w:left="1080" w:right="22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any product candidates we may develop or other materials necessary to conduct clinical trials of any product candidates we may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post-treatment follow-up;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dropping out of a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occurrence of serious adverse events associated with any product candidates we may develop that are viewed to outweigh their potential benefits;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of any product candidates we may develop or other testing, or if the results of these trials or tests are not positive or are only modestly positive or if there are safety concerns, we or our collaborators may:</w:t>
      </w:r>
    </w:p>
    <w:p>
      <w:pPr>
        <w:spacing w:after="0" w:line="18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 delayed in obtaining marketing approval for any such product candidates we may develop or not obtain marketing approval at all;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risk evaluation and mitigation strategy;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Product development costs will also increase if we or our collaborators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19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or analogous regulatory authorities outside the United States, or as needed to provide appropriate statistical power for a given trial. Enrollment may be particularly challenging for some of the rare genetically defined diseases we are targeting in our most advanced programs. In addition, if patients are unwilling to participate in our gene editing trials because of negative publicity from adverse events related to the biotechnology, gene therapy, or genome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some of our competitors may have ongoing clinical 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risks and benefits of genome editing as a therapeutic approach;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25"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In particular, our most advanced programs are focused on rare genetically defined diseases with limited patient pools from which to draw for enrollment in clinical trials. For example, the global incidence of LCA10 is estimated to be two to three per 100,000 live births worldwide. The eligibility criteria of our clinical trials will further limit the pool of available trial participants. Additionally, the process of finding and diagnosing patients may prove costly.</w:t>
      </w:r>
    </w:p>
    <w:p>
      <w:pPr>
        <w:spacing w:after="0" w:line="161"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Our ability to successfully initiate, enroll, and complete a clinical trial in any foreign country is subject to numerous risks unique to conducting business in foreign countries, including:</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standard-of-care for patients with a particular disease;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locate qualified local consultants, physicians, and partners; 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burden of complying with a variety of foreign laws, medical standards, and regulatory requirements, including the regulation of pharmaceutical and biotechnology products and treatment.</w:t>
      </w:r>
    </w:p>
    <w:p>
      <w:pPr>
        <w:spacing w:after="0" w:line="186"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6"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medicines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identify patients who are likely to benefit from therapy with any medicines we develop, or experience significant delays in doing so, we may not realize the full commercial potential of any medicines we may develop.</w:t>
      </w:r>
    </w:p>
    <w:p>
      <w:pPr>
        <w:spacing w:after="0" w:line="186"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For example, although LCA can be diagnosed based on a patient's symptoms and retinal scans, DNA samples are taken from LCA patients in order to test for the presence of the known gene mutations that cause LCA and, where possible, to identify the specific genetically defined disease, such as LCA10. If we, or any third parties that we engage to assist us, are unable to successfully identify such patients, or experience delays in doing so, then:</w:t>
      </w:r>
    </w:p>
    <w:p>
      <w:pPr>
        <w:spacing w:after="0" w:line="197" w:lineRule="exact"/>
        <w:rPr>
          <w:sz w:val="20"/>
          <w:szCs w:val="20"/>
          <w:color w:val="auto"/>
        </w:rPr>
      </w:pPr>
    </w:p>
    <w:p>
      <w:pPr>
        <w:ind w:left="1080" w:right="3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any product candidates may be adversely affected if we are unable to appropriately select patients for enrollment in our clinical trials;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any product candidates we develop may not receive marketing approval if safe and effective use of such product candidates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05"/>
        <w:spacing w:after="0" w:line="268" w:lineRule="auto"/>
        <w:rPr>
          <w:sz w:val="20"/>
          <w:szCs w:val="20"/>
          <w:color w:val="auto"/>
        </w:rPr>
      </w:pPr>
      <w:r>
        <w:rPr>
          <w:rFonts w:ascii="Arial" w:cs="Arial" w:eastAsia="Arial" w:hAnsi="Arial"/>
          <w:sz w:val="18"/>
          <w:szCs w:val="18"/>
          <w:color w:val="auto"/>
        </w:rPr>
        <w:t>As a result, we may be unable to successfully develop and realize the commercial potential of any product candidates we may identify and develop, and our business, financial condition, results of operations, and prospects would be materially adversely effected.</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regulatory approval to commercialize a product candidate we may develop, and any such approval may be for a more narrow indication than we seek.</w:t>
      </w:r>
    </w:p>
    <w:p>
      <w:pPr>
        <w:spacing w:after="0" w:line="186" w:lineRule="exact"/>
        <w:rPr>
          <w:sz w:val="20"/>
          <w:szCs w:val="20"/>
          <w:color w:val="auto"/>
        </w:rPr>
      </w:pPr>
    </w:p>
    <w:p>
      <w:pPr>
        <w:ind w:right="40" w:firstLine="611"/>
        <w:spacing w:after="0" w:line="254"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98"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Regulatory authorities also may approve a product candidate for more limited indications than requested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186" w:lineRule="exact"/>
        <w:rPr>
          <w:sz w:val="20"/>
          <w:szCs w:val="20"/>
          <w:color w:val="auto"/>
        </w:rPr>
      </w:pPr>
    </w:p>
    <w:p>
      <w:pPr>
        <w:ind w:right="160" w:firstLine="611"/>
        <w:spacing w:after="0" w:line="294" w:lineRule="auto"/>
        <w:rPr>
          <w:sz w:val="20"/>
          <w:szCs w:val="20"/>
          <w:color w:val="auto"/>
        </w:rPr>
      </w:pPr>
      <w:r>
        <w:rPr>
          <w:rFonts w:ascii="Arial" w:cs="Arial" w:eastAsia="Arial" w:hAnsi="Arial"/>
          <w:sz w:val="16"/>
          <w:szCs w:val="16"/>
          <w:color w:val="auto"/>
        </w:rPr>
        <w:t>The commercial success of any of our product candidates will depend upon its degree of market acceptance by physicians, patients, third-party payors, and others in the medical community. Ethical, social, and legal concerns about genomic medicines generally and genome editing technologies specifically could result in additional regulations restricting or prohibiting our products.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183"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limitation to our targeted patient population and limitations or warnings contained in approved labeling by the FDA or other regulatory authority;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offer our medicines for sale at competitive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clinical indications for which the product candidate is approved by FDA, the European Commission, or other regulatory agencies;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attitudes regarding genomic medicine generally and genome editing technologies specifically;</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as well as their willingness to accept a therapeutic intervention that involves the editing of the patient's genome;</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revenues, and we may not become profitable.</w:t>
      </w:r>
    </w:p>
    <w:p>
      <w:pPr>
        <w:spacing w:after="0" w:line="18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39"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67" w:lineRule="exact"/>
        <w:rPr>
          <w:sz w:val="20"/>
          <w:szCs w:val="20"/>
          <w:color w:val="auto"/>
        </w:rPr>
      </w:pPr>
    </w:p>
    <w:p>
      <w:pPr>
        <w:ind w:right="60" w:firstLine="611"/>
        <w:spacing w:after="0" w:line="294" w:lineRule="auto"/>
        <w:rPr>
          <w:sz w:val="20"/>
          <w:szCs w:val="20"/>
          <w:color w:val="auto"/>
        </w:rPr>
      </w:pPr>
      <w:r>
        <w:rPr>
          <w:rFonts w:ascii="Arial" w:cs="Arial" w:eastAsia="Arial" w:hAnsi="Arial"/>
          <w:sz w:val="16"/>
          <w:szCs w:val="16"/>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Factors that may inhibit our efforts to commercialize our medicines on our own include:</w:t>
      </w:r>
    </w:p>
    <w:p>
      <w:pPr>
        <w:spacing w:after="0" w:line="239" w:lineRule="exact"/>
        <w:rPr>
          <w:sz w:val="20"/>
          <w:szCs w:val="20"/>
          <w:color w:val="auto"/>
        </w:rPr>
      </w:pPr>
    </w:p>
    <w:p>
      <w:pPr>
        <w:ind w:left="1080" w:right="3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medicines;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25"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w:t>
      </w:r>
    </w:p>
    <w:p>
      <w:pPr>
        <w:spacing w:after="0" w:line="19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161" w:lineRule="exact"/>
        <w:rPr>
          <w:sz w:val="20"/>
          <w:szCs w:val="20"/>
          <w:color w:val="auto"/>
        </w:rPr>
      </w:pPr>
    </w:p>
    <w:p>
      <w:pPr>
        <w:ind w:right="200" w:firstLine="611"/>
        <w:spacing w:after="0" w:line="294" w:lineRule="auto"/>
        <w:rPr>
          <w:sz w:val="20"/>
          <w:szCs w:val="20"/>
          <w:color w:val="auto"/>
        </w:rPr>
      </w:pPr>
      <w:r>
        <w:rPr>
          <w:rFonts w:ascii="Arial" w:cs="Arial" w:eastAsia="Arial" w:hAnsi="Arial"/>
          <w:sz w:val="16"/>
          <w:szCs w:val="16"/>
          <w:color w:val="auto"/>
        </w:rPr>
        <w:t>The development and commercialization of new drug products is highly competitive. Moreover, the genome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0"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including LCA10, Duchenne muscular dystrophy, and cystic fibrosis. Some of these competitive products and therapies are based on scientific approaches that are the same as or similar to our approach, and others are based on entirely different approaches.</w:t>
      </w:r>
    </w:p>
    <w:p>
      <w:pPr>
        <w:spacing w:after="0" w:line="197" w:lineRule="exact"/>
        <w:rPr>
          <w:sz w:val="20"/>
          <w:szCs w:val="20"/>
          <w:color w:val="auto"/>
        </w:rPr>
      </w:pPr>
    </w:p>
    <w:p>
      <w:pPr>
        <w:ind w:right="760" w:firstLine="615"/>
        <w:spacing w:after="0" w:line="268" w:lineRule="auto"/>
        <w:rPr>
          <w:sz w:val="20"/>
          <w:szCs w:val="20"/>
          <w:color w:val="auto"/>
        </w:rPr>
      </w:pPr>
      <w:r>
        <w:rPr>
          <w:rFonts w:ascii="Arial" w:cs="Arial" w:eastAsia="Arial" w:hAnsi="Arial"/>
          <w:sz w:val="18"/>
          <w:szCs w:val="18"/>
          <w:color w:val="auto"/>
        </w:rPr>
        <w:t>Our platform and product focus is the development of therapies using the CRISPR/Cas9 technology. Companies developing the CRISPR/Cas9 technology include Caribou Biosciences, CRISPR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Therapeutics, and Intellia Therapeutics. There are additional companies developing therapies using additional genome editing technologies, including transcription activator-like effector nucleases, meganucleases, Mega-TALs, and zinc finger nucleases. These companies include bluebird bio, Cellectis, Poseida Therapeutics, Precision Biosciences, and Sangamo Biosciences. Additional companies developing gene therapy products include Abeona Therapeutics, AGTC Therapeutics, Avalanche Biotechnologies, Dimension Therapeutics, REGENXBIO, Spark Therapeutics, uniQure, and Voyager Therapeutics. In addition to competition from other genome editing therapies or gene therapies, any products we may develop may also face competition from other types of therapies, such as small molecule, antibody, or protein therapies.</w:t>
      </w:r>
    </w:p>
    <w:p>
      <w:pPr>
        <w:spacing w:after="0" w:line="174"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178" w:lineRule="exact"/>
        <w:rPr>
          <w:sz w:val="20"/>
          <w:szCs w:val="20"/>
          <w:color w:val="auto"/>
        </w:rPr>
      </w:pPr>
    </w:p>
    <w:p>
      <w:pPr>
        <w:ind w:right="240" w:firstLine="615"/>
        <w:spacing w:after="0" w:line="259"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194"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186" w:lineRule="exact"/>
        <w:rPr>
          <w:sz w:val="20"/>
          <w:szCs w:val="20"/>
          <w:color w:val="auto"/>
        </w:rPr>
      </w:pPr>
    </w:p>
    <w:p>
      <w:pPr>
        <w:ind w:right="80" w:firstLine="611"/>
        <w:spacing w:after="0" w:line="289" w:lineRule="auto"/>
        <w:rPr>
          <w:sz w:val="20"/>
          <w:szCs w:val="20"/>
          <w:color w:val="auto"/>
        </w:rPr>
      </w:pPr>
      <w:r>
        <w:rPr>
          <w:rFonts w:ascii="Arial" w:cs="Arial" w:eastAsia="Arial" w:hAnsi="Arial"/>
          <w:sz w:val="16"/>
          <w:szCs w:val="16"/>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any product candidates we may develop obtain marketing approval.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medicine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74" w:lineRule="exact"/>
        <w:rPr>
          <w:sz w:val="20"/>
          <w:szCs w:val="20"/>
          <w:color w:val="auto"/>
        </w:rPr>
      </w:pPr>
    </w:p>
    <w:p>
      <w:pPr>
        <w:ind w:right="40" w:firstLine="611"/>
        <w:spacing w:after="0" w:line="286" w:lineRule="auto"/>
        <w:rPr>
          <w:sz w:val="20"/>
          <w:szCs w:val="20"/>
          <w:color w:val="auto"/>
        </w:rPr>
      </w:pPr>
      <w:r>
        <w:rPr>
          <w:rFonts w:ascii="Arial" w:cs="Arial" w:eastAsia="Arial" w:hAnsi="Arial"/>
          <w:sz w:val="16"/>
          <w:szCs w:val="16"/>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18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139" w:lineRule="exact"/>
        <w:rPr>
          <w:sz w:val="20"/>
          <w:szCs w:val="20"/>
          <w:color w:val="auto"/>
        </w:rPr>
      </w:pPr>
    </w:p>
    <w:p>
      <w:pPr>
        <w:ind w:right="100" w:firstLine="615"/>
        <w:spacing w:after="0" w:line="289" w:lineRule="auto"/>
        <w:rPr>
          <w:sz w:val="20"/>
          <w:szCs w:val="20"/>
          <w:color w:val="auto"/>
        </w:rPr>
      </w:pPr>
      <w:r>
        <w:rPr>
          <w:rFonts w:ascii="Arial" w:cs="Arial" w:eastAsia="Arial" w:hAnsi="Arial"/>
          <w:sz w:val="16"/>
          <w:szCs w:val="16"/>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to patients) is also important. Inadequate reimbursement for such services may lead to physician resistance and adversely affect our ability to market or sell our products. In addition, it may be necessary for us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expect the cost of a single administration of genomic medicine products,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18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170" w:lineRule="exact"/>
        <w:rPr>
          <w:sz w:val="20"/>
          <w:szCs w:val="20"/>
          <w:color w:val="auto"/>
        </w:rPr>
      </w:pPr>
    </w:p>
    <w:p>
      <w:pPr>
        <w:ind w:right="200" w:firstLine="615"/>
        <w:spacing w:after="0" w:line="306" w:lineRule="auto"/>
        <w:rPr>
          <w:sz w:val="20"/>
          <w:szCs w:val="20"/>
          <w:color w:val="auto"/>
        </w:rPr>
      </w:pPr>
      <w:r>
        <w:rPr>
          <w:rFonts w:ascii="Arial" w:cs="Arial" w:eastAsia="Arial" w:hAnsi="Arial"/>
          <w:sz w:val="16"/>
          <w:szCs w:val="16"/>
          <w:color w:val="auto"/>
        </w:rPr>
        <w:t>Moreover, the downward pressure on healthcare costs in general, particularly prescription drugs and surgical procedures and other treatments, has become intense. As a result, increasingly high barriers are being erected to the entry of new products such as ours. If we are unable to obtain adequate levels of reimbursement, our ability to successfully market and sell any product candidates we may develop will be harmed.</w:t>
      </w:r>
    </w:p>
    <w:p>
      <w:pPr>
        <w:spacing w:after="0" w:line="16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If the market opportunities for any product candidates we may develop are smaller than we believe they are, our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161"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We focus our research and product development on treatments for rare genetically defined diseases.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products, or may become increasingly difficult to identify or gain access to, all of which would adversely affect our business, financial condition, results of operations, and prospects.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could limit commercialization of any medicines that we may develop.</w:t>
      </w:r>
    </w:p>
    <w:p>
      <w:pPr>
        <w:spacing w:after="0" w:line="260"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174"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medicines that we may develop;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medicines that we may develop.</w:t>
      </w:r>
    </w:p>
    <w:p>
      <w:pPr>
        <w:spacing w:after="0" w:line="225" w:lineRule="exact"/>
        <w:rPr>
          <w:sz w:val="20"/>
          <w:szCs w:val="20"/>
          <w:color w:val="auto"/>
        </w:rPr>
      </w:pPr>
    </w:p>
    <w:p>
      <w:pPr>
        <w:ind w:right="240" w:firstLine="605"/>
        <w:spacing w:after="0" w:line="306"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16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39"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72"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materials, this insurance may not provide adequate coverage against potential liabilities. We do not carry specific biological or hazardous waste insurance coverage, and our property, casualty, and general liability insurance policies (under which we currently have an aggregate of approximately $9.0 million in coverage)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70"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67" w:lineRule="exact"/>
        <w:rPr>
          <w:sz w:val="20"/>
          <w:szCs w:val="20"/>
          <w:color w:val="auto"/>
        </w:rPr>
      </w:pPr>
    </w:p>
    <w:p>
      <w:pPr>
        <w:ind w:right="460" w:firstLine="605"/>
        <w:spacing w:after="0" w:line="259" w:lineRule="auto"/>
        <w:rPr>
          <w:sz w:val="20"/>
          <w:szCs w:val="20"/>
          <w:color w:val="auto"/>
        </w:rPr>
      </w:pPr>
      <w:r>
        <w:rPr>
          <w:rFonts w:ascii="Arial" w:cs="Arial" w:eastAsia="Arial" w:hAnsi="Arial"/>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94"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b w:val="1"/>
          <w:bCs w:val="1"/>
          <w:i w:val="1"/>
          <w:iCs w:val="1"/>
          <w:color w:val="auto"/>
        </w:rPr>
        <w:t>Genomic medicines are novel, and any product candidates we develop may be complex and difficult to manufacture. We could experience production problems that result in delays in our development or commercialization programs, limit the supply of our products, or otherwise harm our business.</w:t>
      </w:r>
    </w:p>
    <w:p>
      <w:pPr>
        <w:spacing w:after="0" w:line="116" w:lineRule="exact"/>
        <w:rPr>
          <w:sz w:val="20"/>
          <w:szCs w:val="20"/>
          <w:color w:val="auto"/>
        </w:rPr>
      </w:pPr>
    </w:p>
    <w:p>
      <w:pPr>
        <w:ind w:right="60" w:firstLine="605"/>
        <w:spacing w:after="0" w:line="288" w:lineRule="auto"/>
        <w:rPr>
          <w:sz w:val="20"/>
          <w:szCs w:val="20"/>
          <w:color w:val="auto"/>
        </w:rPr>
      </w:pPr>
      <w:r>
        <w:rPr>
          <w:rFonts w:ascii="Arial" w:cs="Arial" w:eastAsia="Arial" w:hAnsi="Arial"/>
          <w:sz w:val="16"/>
          <w:szCs w:val="16"/>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may not be sufficient to ensure that the product will perform in the intended manner. Problems with the manufacturing process, even minor deviations from the normal process, could result in product defects or manufacturing failures that result in lot failures, product recalls, product liability claims, or insufficient inventory. If we successfully develop product candidates, we may encounter problems achieving adequate quantities and quality of clinical-grade materials that meet FDA, European Union or other comparable applicable foreign standards or specifications with consistent and acceptable production yields and costs. To date, no cGMP gene therapy manufacturing facility in the United States has received approval from the FDA for the manufacture of an approved genome editing or gene therapy product, and, therefore, the timeframe required for us to obtain such approval is uncertain.</w:t>
      </w:r>
    </w:p>
    <w:p>
      <w:pPr>
        <w:spacing w:after="0" w:line="174" w:lineRule="exact"/>
        <w:rPr>
          <w:sz w:val="20"/>
          <w:szCs w:val="20"/>
          <w:color w:val="auto"/>
        </w:rPr>
      </w:pPr>
    </w:p>
    <w:p>
      <w:pPr>
        <w:jc w:val="both"/>
        <w:ind w:right="80" w:firstLine="615"/>
        <w:spacing w:after="0" w:line="294" w:lineRule="auto"/>
        <w:rPr>
          <w:sz w:val="20"/>
          <w:szCs w:val="20"/>
          <w:color w:val="auto"/>
        </w:rPr>
      </w:pPr>
      <w:r>
        <w:rPr>
          <w:rFonts w:ascii="Arial" w:cs="Arial" w:eastAsia="Arial" w:hAnsi="Arial"/>
          <w:sz w:val="16"/>
          <w:szCs w:val="16"/>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70" w:lineRule="exact"/>
        <w:rPr>
          <w:sz w:val="20"/>
          <w:szCs w:val="20"/>
          <w:color w:val="auto"/>
        </w:rPr>
      </w:pPr>
    </w:p>
    <w:p>
      <w:pPr>
        <w:ind w:right="360" w:firstLine="611"/>
        <w:spacing w:after="0" w:line="332"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174" w:lineRule="exact"/>
        <w:rPr>
          <w:sz w:val="20"/>
          <w:szCs w:val="20"/>
          <w:color w:val="auto"/>
        </w:rPr>
      </w:pPr>
    </w:p>
    <w:p>
      <w:pPr>
        <w:ind w:right="40" w:firstLine="605"/>
        <w:spacing w:after="0" w:line="306" w:lineRule="auto"/>
        <w:rPr>
          <w:sz w:val="20"/>
          <w:szCs w:val="20"/>
          <w:color w:val="auto"/>
        </w:rPr>
      </w:pPr>
      <w:r>
        <w:rPr>
          <w:rFonts w:ascii="Arial" w:cs="Arial" w:eastAsia="Arial" w:hAnsi="Arial"/>
          <w:sz w:val="16"/>
          <w:szCs w:val="16"/>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meet market demand for any products we develop and commercialize.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116" w:lineRule="exact"/>
        <w:rPr>
          <w:sz w:val="20"/>
          <w:szCs w:val="20"/>
          <w:color w:val="auto"/>
        </w:rPr>
      </w:pPr>
    </w:p>
    <w:p>
      <w:pPr>
        <w:ind w:right="20" w:firstLine="611"/>
        <w:spacing w:after="0" w:line="253" w:lineRule="auto"/>
        <w:rPr>
          <w:sz w:val="20"/>
          <w:szCs w:val="20"/>
          <w:color w:val="auto"/>
        </w:rPr>
      </w:pPr>
      <w:r>
        <w:rPr>
          <w:rFonts w:ascii="Arial" w:cs="Arial" w:eastAsia="Arial" w:hAnsi="Arial"/>
          <w:sz w:val="18"/>
          <w:szCs w:val="18"/>
          <w:color w:val="auto"/>
        </w:rPr>
        <w:t>We anticipate seeking third-party collaborators for the research, development, and commercialization of certain of the product candidates we may develop. For example, in May 2015, we entered into a collaboration with Juno Therapeutics focused on research and development of engineered T cell immunotherapies that utilize or incorporate our genome editing technologies. Our likely collaborators for any other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99"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Collaborations involving our research programs or any product candidates we may develop, including our collaboration with Juno Therapeutics, pose the following risks to us:</w:t>
      </w:r>
    </w:p>
    <w:p>
      <w:pPr>
        <w:spacing w:after="0" w:line="199" w:lineRule="exact"/>
        <w:rPr>
          <w:sz w:val="20"/>
          <w:szCs w:val="20"/>
          <w:color w:val="auto"/>
        </w:rPr>
      </w:pPr>
    </w:p>
    <w:p>
      <w:pPr>
        <w:ind w:left="1080" w:right="12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Juno Therapeutics, development and commercialization plans and strategies for licensed programs will be conducted in accordance with a plan and budget approved by a joint research committee, or JRC, comprised of equal numbers of representatives from each of us and Juno Therapeutics.</w:t>
      </w:r>
    </w:p>
    <w:p>
      <w:pPr>
        <w:spacing w:after="0" w:line="224"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For example, it is possible for Juno Therapeutics to elect not to submit an IND for a product candidate that we have nominated and the JRC confirmed without triggering a termination of the collaboration arrangement.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1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207"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medicines may not commit sufficient resources to the marketing and distribution of such medicine or medicines.</w:t>
      </w:r>
    </w:p>
    <w:p>
      <w:pPr>
        <w:spacing w:after="0" w:line="199"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For example, Juno Therapeutics has the first right to enforce or defend certain of our intellectual property rights under our collaboration arrangement with respect to certain licensed programs, and although we may have the right to assume the enforcement and defense of such intellectual property rights if Juno Therapeutics does not, our ability to do so may be compromised by Juno Therapeutics' actions.</w:t>
      </w:r>
    </w:p>
    <w:p>
      <w:pPr>
        <w:spacing w:after="0" w:line="196"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lose certain valuable rights under circumstances identified in our collaborations, including if we undergo a change of control.</w:t>
      </w:r>
    </w:p>
    <w:p>
      <w:pPr>
        <w:spacing w:after="0" w:line="261" w:lineRule="exact"/>
        <w:rPr>
          <w:rFonts w:ascii="Arial" w:cs="Arial" w:eastAsia="Arial" w:hAnsi="Arial"/>
          <w:sz w:val="16"/>
          <w:szCs w:val="16"/>
          <w:color w:val="auto"/>
        </w:rPr>
      </w:pPr>
    </w:p>
    <w:p>
      <w:pPr>
        <w:ind w:left="1080" w:right="180" w:hanging="532"/>
        <w:spacing w:after="0" w:line="25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For example, Juno Therapeutics can terminate its agreement with us in its entirety upon six months' notice and can terminate the entire agreement with us in connection with a material breach of the agreement by us that remains uncured for a specified period of time.</w:t>
      </w:r>
    </w:p>
    <w:p>
      <w:pPr>
        <w:spacing w:after="0" w:line="224" w:lineRule="exact"/>
        <w:rPr>
          <w:rFonts w:ascii="Arial" w:cs="Arial" w:eastAsia="Arial" w:hAnsi="Arial"/>
          <w:sz w:val="18"/>
          <w:szCs w:val="18"/>
          <w:color w:val="auto"/>
        </w:rPr>
      </w:pPr>
    </w:p>
    <w:p>
      <w:pPr>
        <w:ind w:left="1080" w:right="400" w:hanging="532"/>
        <w:spacing w:after="0" w:line="30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1"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risks relating to product development, regulatory approval, and commercialization described in this prospectus apply to the activities of our collaborators.</w:t>
      </w:r>
    </w:p>
    <w:p>
      <w:pPr>
        <w:spacing w:after="0" w:line="248" w:lineRule="exact"/>
        <w:rPr>
          <w:sz w:val="20"/>
          <w:szCs w:val="20"/>
          <w:color w:val="auto"/>
        </w:rPr>
      </w:pPr>
    </w:p>
    <w:p>
      <w:pPr>
        <w:ind w:right="160" w:firstLine="611"/>
        <w:spacing w:after="0" w:line="312" w:lineRule="auto"/>
        <w:rPr>
          <w:sz w:val="20"/>
          <w:szCs w:val="20"/>
          <w:color w:val="auto"/>
        </w:rPr>
      </w:pPr>
      <w:r>
        <w:rPr>
          <w:rFonts w:ascii="Arial" w:cs="Arial" w:eastAsia="Arial" w:hAnsi="Arial"/>
          <w:sz w:val="15"/>
          <w:szCs w:val="15"/>
          <w:color w:val="auto"/>
        </w:rPr>
        <w:t>We may in the future decide to collaborate with pharmaceutical and biotechnology companies for the development and potential commercialization of any product candidates we may develop. 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establish collaborations on commercially reasonable terms, we may have to alter our development and commercialization plans.</w:t>
      </w:r>
    </w:p>
    <w:p>
      <w:pPr>
        <w:spacing w:after="0" w:line="24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194"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72"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during the research program term of our collaboration with Juno Therapeutics, we may not directly or indirectly license, fund, enable, or participate in any research, development, manufacture, or commercialization of engineered T cells with chimeric antigen receptors and T cell receptors in the field of diagnosis, treatment, or prevention of cancer in humans through the use of engineered T cells, excluding the diagnosis, treatment, or prevention of medullary cystic kidney disease.</w:t>
      </w:r>
    </w:p>
    <w:p>
      <w:pPr>
        <w:spacing w:after="0" w:line="197" w:lineRule="exact"/>
        <w:rPr>
          <w:sz w:val="20"/>
          <w:szCs w:val="20"/>
          <w:color w:val="auto"/>
        </w:rPr>
      </w:pPr>
    </w:p>
    <w:p>
      <w:pPr>
        <w:ind w:right="640" w:firstLine="615"/>
        <w:spacing w:after="0" w:line="33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39" w:lineRule="exact"/>
        <w:rPr>
          <w:sz w:val="20"/>
          <w:szCs w:val="20"/>
          <w:color w:val="auto"/>
        </w:rPr>
      </w:pPr>
    </w:p>
    <w:p>
      <w:pPr>
        <w:ind w:right="400" w:firstLine="611"/>
        <w:spacing w:after="0" w:line="332"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6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39" w:lineRule="exact"/>
        <w:rPr>
          <w:sz w:val="20"/>
          <w:szCs w:val="20"/>
          <w:color w:val="auto"/>
        </w:rPr>
      </w:pPr>
    </w:p>
    <w:p>
      <w:pPr>
        <w:ind w:right="40" w:firstLine="611"/>
        <w:spacing w:after="0" w:line="335" w:lineRule="auto"/>
        <w:rPr>
          <w:sz w:val="20"/>
          <w:szCs w:val="20"/>
          <w:color w:val="auto"/>
        </w:rPr>
      </w:pPr>
      <w:r>
        <w:rPr>
          <w:rFonts w:ascii="Arial" w:cs="Arial" w:eastAsia="Arial" w:hAnsi="Arial"/>
          <w:sz w:val="15"/>
          <w:szCs w:val="15"/>
          <w:color w:val="auto"/>
        </w:rPr>
        <w:t>We expect to rely on third parties, such as CROs, clinical data management organizations, medical institutions, and clinical investigators, to conduct our clinical trials. We currently rely and expect to continue to rely on third parties to conduct some aspects of our research and preclinical testing. Any of these third parties may terminate their engagements with us at any time. If we need to enter into alternative arrangements, it would delay our product development activities.</w:t>
      </w:r>
    </w:p>
    <w:p>
      <w:pPr>
        <w:spacing w:after="0" w:line="142" w:lineRule="exact"/>
        <w:rPr>
          <w:sz w:val="20"/>
          <w:szCs w:val="20"/>
          <w:color w:val="auto"/>
        </w:rPr>
      </w:pPr>
    </w:p>
    <w:p>
      <w:pPr>
        <w:ind w:right="180" w:firstLine="615"/>
        <w:spacing w:after="0" w:line="253"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1"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97"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research programs and preclinical studies and expect to continue to do so for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67"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We do not have any manufacturing facilities. We currently rely on third-party manufacturers for the manufacture of our materials for preclinical studies and expect to continue to do so for clinical testing and for commercial supply of any product candidates that we may develop and for which we or our collaborators obtain marketing approval. We do not have a long term supply agreement with any of the third-party manufacturers, and we purchase our required supply on a purchase order basis.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firstLine="611"/>
        <w:spacing w:after="0" w:line="332" w:lineRule="auto"/>
        <w:rPr>
          <w:sz w:val="20"/>
          <w:szCs w:val="20"/>
          <w:color w:val="auto"/>
        </w:rPr>
      </w:pPr>
      <w:r>
        <w:rPr>
          <w:rFonts w:ascii="Arial" w:cs="Arial" w:eastAsia="Arial" w:hAnsi="Arial"/>
          <w:sz w:val="16"/>
          <w:szCs w:val="16"/>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53"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w:t>
      </w:r>
    </w:p>
    <w:p>
      <w:pPr>
        <w:spacing w:after="0" w:line="225"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197" w:lineRule="exact"/>
        <w:rPr>
          <w:sz w:val="20"/>
          <w:szCs w:val="20"/>
          <w:color w:val="auto"/>
        </w:rPr>
      </w:pPr>
    </w:p>
    <w:p>
      <w:pPr>
        <w:ind w:right="140" w:firstLine="605"/>
        <w:spacing w:after="0" w:line="268"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86" w:lineRule="exact"/>
        <w:rPr>
          <w:sz w:val="20"/>
          <w:szCs w:val="20"/>
          <w:color w:val="auto"/>
        </w:rPr>
      </w:pPr>
    </w:p>
    <w:p>
      <w:pPr>
        <w:ind w:right="60" w:firstLine="605"/>
        <w:spacing w:after="0" w:line="298"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 cannot perform as agreed, we may be required to replace that manufacturer. Although we believe that there are several potential alternative manufacturers who could manufacture any product candidates we may develop, we may incur added costs and delays in identifying and qualifying any such replacement.</w:t>
      </w:r>
    </w:p>
    <w:p>
      <w:pPr>
        <w:spacing w:after="0" w:line="167" w:lineRule="exact"/>
        <w:rPr>
          <w:sz w:val="20"/>
          <w:szCs w:val="20"/>
          <w:color w:val="auto"/>
        </w:rPr>
      </w:pPr>
    </w:p>
    <w:p>
      <w:pPr>
        <w:ind w:right="180" w:firstLine="615"/>
        <w:spacing w:after="0" w:line="332" w:lineRule="auto"/>
        <w:rPr>
          <w:sz w:val="20"/>
          <w:szCs w:val="20"/>
          <w:color w:val="auto"/>
        </w:rPr>
      </w:pPr>
      <w:r>
        <w:rPr>
          <w:rFonts w:ascii="Arial" w:cs="Arial" w:eastAsia="Arial" w:hAnsi="Arial"/>
          <w:sz w:val="16"/>
          <w:szCs w:val="16"/>
          <w:color w:val="auto"/>
        </w:rPr>
        <w:t>Our current and anticipated future dependence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61" w:lineRule="exact"/>
        <w:rPr>
          <w:sz w:val="20"/>
          <w:szCs w:val="20"/>
          <w:color w:val="auto"/>
        </w:rPr>
      </w:pPr>
    </w:p>
    <w:p>
      <w:pPr>
        <w:ind w:right="200" w:firstLine="615"/>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CRISPR/Cas9 platform technology and any proprietary product candidates and technology we develop. We seek to protect our proprietary position by in-licensing intellectual property relating to our platform technology and filing patent applications in the United States and abroad related to our technologies and product candidates that are important to our business. If we or our licensors are unable to obtain or maintain patent protection with respect to our CRISPR/Cas9 platform technology and any proprietary products and technology we develop, our business, financial condition, results of operations, and prospects could be materially harmed.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15"/>
        <w:spacing w:after="0" w:line="291" w:lineRule="auto"/>
        <w:rPr>
          <w:sz w:val="20"/>
          <w:szCs w:val="20"/>
          <w:color w:val="auto"/>
        </w:rPr>
      </w:pPr>
      <w:r>
        <w:rPr>
          <w:rFonts w:ascii="Arial" w:cs="Arial" w:eastAsia="Arial" w:hAnsi="Arial"/>
          <w:sz w:val="16"/>
          <w:szCs w:val="16"/>
          <w:color w:val="auto"/>
        </w:rPr>
        <w:t>No consistent policy regarding the scope of claims allowable in the field of genome editing, including CRISPR/Cas9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74" w:lineRule="exact"/>
        <w:rPr>
          <w:sz w:val="20"/>
          <w:szCs w:val="20"/>
          <w:color w:val="auto"/>
        </w:rPr>
      </w:pPr>
    </w:p>
    <w:p>
      <w:pPr>
        <w:ind w:right="40" w:firstLine="611"/>
        <w:spacing w:after="0" w:line="288"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74"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w:t>
      </w:r>
    </w:p>
    <w:p>
      <w:pPr>
        <w:spacing w:after="0" w:line="167"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platform advances and product candidates will be protectable or remain protected by valid and enforceable patents. Our competitors or other third parties may be able to circumvent our patents by developing similar or alternative technologies or products in a non-infringing manner. For example, we are aware that third parties have suggested the use of the CRISPR technology in conjunction with a protein other than Cas9. Our owned and in-licensed patents may not cover such technology. If our competitors commercialize the CRISPR technology in conjunction with a protein other than Cas9, our business, financial condition, results of operations, and prospects could be materially adversely affected.</w:t>
      </w:r>
    </w:p>
    <w:p>
      <w:pPr>
        <w:spacing w:after="0" w:line="174"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may be challenged in the courts or patent offices in the United States and abroad. We may be subject to a third party preissuance submission of prior art to the United States Patent and Trademark Office, or USPTO, or become involved in opposition, derivation, revocation, reexamination, post-grant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challenging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As discussed below, some of our in-licensed patents are subject to interference and opposition proceedings and therefore subject to these risks.</w:t>
      </w:r>
    </w:p>
    <w:p>
      <w:pPr>
        <w:spacing w:after="0" w:line="174"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72"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are subject, in part, to the terms and conditions of licenses granted to us by others.</w:t>
      </w:r>
    </w:p>
    <w:p>
      <w:pPr>
        <w:spacing w:after="0" w:line="186" w:lineRule="exact"/>
        <w:rPr>
          <w:sz w:val="20"/>
          <w:szCs w:val="20"/>
          <w:color w:val="auto"/>
        </w:rPr>
      </w:pPr>
    </w:p>
    <w:p>
      <w:pPr>
        <w:ind w:right="480" w:firstLine="611"/>
        <w:spacing w:after="0" w:line="256" w:lineRule="auto"/>
        <w:rPr>
          <w:sz w:val="20"/>
          <w:szCs w:val="20"/>
          <w:color w:val="auto"/>
        </w:rPr>
      </w:pPr>
      <w:r>
        <w:rPr>
          <w:rFonts w:ascii="Arial" w:cs="Arial" w:eastAsia="Arial" w:hAnsi="Arial"/>
          <w:sz w:val="18"/>
          <w:szCs w:val="18"/>
          <w:color w:val="auto"/>
        </w:rPr>
        <w:t>We are heavily reliant upon licenses to certain patent rights and proprietary technology from third parties that are important or necessary to the development of our genome editing technology, including our CRISPR/Cas9 technology, and product candidates. These and other licenses may not provide exclusive rights to use such intellectual property and technology in all relevant fields of use and in all territories in which we may wish to develop or commercialize our technology and products in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future. As a result, we may not be able to prevent competitors from developing and commercializing competitive products in territories included in all of our licenses. For example, pursuant to our license agreement with The Broad Institute, Inc., or Broad, and the President and Fellows of Harvard College, or Harvard, or the Broad-Harvard License Agreement, under certain circumstances, Broad and Harvard may grant a license to the patents that are the subject of our license agreement to a third party. Such third party would have full rights to the patent rights that are the subject of our Broad-Harvard License Agreement, which could impact our competitive position and enable a third party to commercialize products similar to our future product candidates and technology.</w:t>
      </w:r>
    </w:p>
    <w:p>
      <w:pPr>
        <w:spacing w:after="0" w:line="170"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For example, pursuant to each of our intellectual property licenses with Broad and Harvard, The General Hospital Corporation, d/b/a Massachusetts General Hospital, or MGH, and Duke University, or Duke, our licensors retain control of preparation, filing, prosecution, and maintenance, and, in certain circumstances, enforcement and defense of their patents and patent applications.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72" w:lineRule="exact"/>
        <w:rPr>
          <w:sz w:val="20"/>
          <w:szCs w:val="20"/>
          <w:color w:val="auto"/>
        </w:rPr>
      </w:pPr>
    </w:p>
    <w:p>
      <w:pPr>
        <w:ind w:right="100" w:firstLine="615"/>
        <w:spacing w:after="0" w:line="290" w:lineRule="auto"/>
        <w:rPr>
          <w:sz w:val="20"/>
          <w:szCs w:val="20"/>
          <w:color w:val="auto"/>
        </w:rPr>
      </w:pPr>
      <w:r>
        <w:rPr>
          <w:rFonts w:ascii="Arial" w:cs="Arial" w:eastAsia="Arial" w:hAnsi="Arial"/>
          <w:sz w:val="16"/>
          <w:szCs w:val="16"/>
          <w:color w:val="auto"/>
        </w:rPr>
        <w:t>Our licensors may have relied on third party consultants or collaborators or on funds from third parties such that our licensors are not the sole and exclusive owners of the patents we in-licensed. For example, the Rockefeller University, or Rockefeller, is a joint applicant on certain patent applications (including a continuation of one of these applications) that we have in-licensed from Broad. Broad does not and does not purport to grant any rights in Rockefeller's interest in these patent applications under our agreement. As a result, Broad may not be the sole and exclusive owner of any patents that issue from these patent applications.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5"/>
          <w:szCs w:val="15"/>
          <w:b w:val="1"/>
          <w:bCs w:val="1"/>
          <w:i w:val="1"/>
          <w:iCs w:val="1"/>
          <w:color w:val="auto"/>
        </w:rPr>
        <w:t>Some of our in-licensed patents are subject to priority disputes. In addition, our owned and in-licensed patents and other intellectual property may be subject to further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152" w:lineRule="exact"/>
        <w:rPr>
          <w:sz w:val="20"/>
          <w:szCs w:val="20"/>
          <w:color w:val="auto"/>
        </w:rPr>
      </w:pPr>
    </w:p>
    <w:p>
      <w:pPr>
        <w:ind w:right="180" w:firstLine="615"/>
        <w:spacing w:after="0" w:line="291" w:lineRule="auto"/>
        <w:rPr>
          <w:sz w:val="20"/>
          <w:szCs w:val="20"/>
          <w:color w:val="auto"/>
        </w:rPr>
      </w:pPr>
      <w:r>
        <w:rPr>
          <w:rFonts w:ascii="Arial" w:cs="Arial" w:eastAsia="Arial" w:hAnsi="Arial"/>
          <w:sz w:val="16"/>
          <w:szCs w:val="16"/>
          <w:color w:val="auto"/>
        </w:rPr>
        <w:t>On January 11, 2016, the Patent Trial and Appeal Board of the USPTO, or PTAB, declared an interference between a pending U.S. patent application (U.S. Serial No. 13/842,859) that is owned by the University of California, the University of Vienna, and Emmanuelle Charpentier and 12 U.S. patents (U.S. Patent Nos. 8,697,359; 8,771,945; 8,795,965; 8,865,406; 8,871,445; 8,889,356; 8,895,308; 8,906,616; 8,932,814; 8,945,839; 8,993,233; and 8,999,641) that are co-owned by Broad and MIT, and in some cases Harvard, and in-licensed by us. An interference is a proceeding within the USPTO to determine priority of invention of the subject matter of patent claims filed by different parties. This proceeding is only potentially available for patent applications filed in the United States on or before March 15, 2013 and related continuing patent applications.</w:t>
      </w:r>
    </w:p>
    <w:p>
      <w:pPr>
        <w:spacing w:after="0" w:line="174" w:lineRule="exact"/>
        <w:rPr>
          <w:sz w:val="20"/>
          <w:szCs w:val="20"/>
          <w:color w:val="auto"/>
        </w:rPr>
      </w:pPr>
    </w:p>
    <w:p>
      <w:pPr>
        <w:ind w:right="40" w:firstLine="615"/>
        <w:spacing w:after="0" w:line="282" w:lineRule="auto"/>
        <w:rPr>
          <w:sz w:val="20"/>
          <w:szCs w:val="20"/>
          <w:color w:val="auto"/>
        </w:rPr>
      </w:pPr>
      <w:r>
        <w:rPr>
          <w:rFonts w:ascii="Arial" w:cs="Arial" w:eastAsia="Arial" w:hAnsi="Arial"/>
          <w:sz w:val="16"/>
          <w:szCs w:val="16"/>
          <w:color w:val="auto"/>
        </w:rPr>
        <w:t>In the declared interference, the University of California, acting on behalf of itself and the University of Vienna, and Emmanuelle Charpentier have been designated as the senior party and Broad has been designated as the junior party. In an interference proceeding, the junior party has the burden of proof and presents its priority evidence first. The declaration of interference defines the invention that is subject to the declaration of interference, also referred to as "the count," as relating to a method that involves contacting a target DNA in a eukaryotic cell with certain defined CRISPR/Cas9 components for the purpose of cleaving or editing a target DNA molecule or modulating transcription of at least one gene encoded thereon. All of the claims in the pending U.S. patent application that is owned by the University of California, the University of Vienna, and Emmanuelle Charpentier and all of the claims in the 12 U.S. patents that are co-owned by Broad and MIT, and in some cases Harvard, and in-licensed by us are currently implicated in the interference. Prior to the declaration of interference, the University of California, acting on behalf of itself and the University of Vienna, and Emmanuelle Charpentier filed a "Suggestion of Interference" in the USPTO on April 13, 2015, which requested that an interference be declared between certain claims in this same pending U.S. patent application (U.S. Serial No. 13/842,859) and certain claims in 10 U.S. patents, which we have in-licensed from Broad, acting on behalf of itself, Massachusetts Institute of Technology, or MIT, and Harvard. A Supplemental Suggestion of Interference was filed by the University of California and Emmanuelle Charpentier on November 5, 2015, which requested that an interference be declared between certain claims in their same pending U.S. patent application (U.S. Serial</w:t>
      </w:r>
    </w:p>
    <w:p>
      <w:pPr>
        <w:spacing w:after="0" w:line="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 13/842,859) and certain claims in two additional U.S. patents and five pending U.S. applications, which we have in-licensed from Broad, acting on behalf of itself, MIT, and Harvard. The 12 U.S. patents referred to in the Suggestion of Interference and Supplemental Suggestion of Interference are the same as those included in the declaration of interference. The Suggestion of Interference and Supplemental Suggestion of Interference assert that the inventors from the University of California and the University of Vienna, and Emmanuelle Charpentier made certain inventions before the inventors from Broad and MIT and, in certain cases, Harvard, which will be evaluated by the PTAB in the interference discussed above. The University of California, the University of Vienna, and Emmanuelle Charpentier are listed as applicants on U.S. Serial No. 13/842,859. The University of California derives rights in U.S. Serial No. 13/842,859 from an assignment by Dr. Jennifer Doudna and certain other inventors listed on such application. Caribou Biosciences has reported that it has an exclusive license to patent rights from the University of California and the University of Vienna. Intellia Therapeutics has reported that it has an exclusive license to such rights from Caribou Biosciences in certain fields. CRISPR Therapeutics has reported that it has an exclusive license to patent rights from Emmanuelle Charpentier. Further, Dr. Doudna was a founder of our company and entered into a consulting agreement with us at the time of our founding. However, Dr. Doudna gave notice of termination of that agreement in May 2014</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after less than seven months of service, and she has had no further engagement in our business since that time. Dr. Doudna is also a founder of Caribou Biosciences and has been publicly identified as an advisor to Intellia Therapeutics, each of which is one of our competitors.</w:t>
      </w:r>
    </w:p>
    <w:p>
      <w:pPr>
        <w:spacing w:after="0" w:line="139"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As a result of the declaration of interference, an adversarial proceeding in the USPTO before the PTAB has been initiated. An interference is declared to ultimately determine priority, specifically which party was first to invent the commonly claimed invention. An interference is typically divided into two phases. The first phase is typically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Although we cannot predict with any certainty how long each phase will actually take, each phase may take approximately a year or longer before a decision is made by the PTAB. It is possible for motions filed in the preliminary motions phase to be dispositive of the interference proceeding, such that the second priority phase is not reached. It is also possible that other third parties may seek to become a party to this interference or a future interference or that the University of California and Emmanuelle Charpentier or other third parties may file a separate Suggestion of Interference against the Broad patents subject to the interference or other U.S. patents and patent applications that we own or in-license.</w:t>
      </w:r>
    </w:p>
    <w:p>
      <w:pPr>
        <w:spacing w:after="0" w:line="181" w:lineRule="exact"/>
        <w:rPr>
          <w:sz w:val="20"/>
          <w:szCs w:val="20"/>
          <w:color w:val="auto"/>
        </w:rPr>
      </w:pPr>
    </w:p>
    <w:p>
      <w:pPr>
        <w:ind w:right="840" w:firstLine="615"/>
        <w:spacing w:after="0" w:line="286" w:lineRule="auto"/>
        <w:rPr>
          <w:sz w:val="20"/>
          <w:szCs w:val="20"/>
          <w:color w:val="auto"/>
        </w:rPr>
      </w:pPr>
      <w:r>
        <w:rPr>
          <w:rFonts w:ascii="Arial" w:cs="Arial" w:eastAsia="Arial" w:hAnsi="Arial"/>
          <w:sz w:val="16"/>
          <w:szCs w:val="16"/>
          <w:color w:val="auto"/>
        </w:rPr>
        <w:t>Separately, ToolGen Inc., or ToolGen, filed Suggestions of Interference in the USPTO on April 13, 2015, which became publicly available on November 12, 2015 and December 3, 2015, suggesting that they believe some of the claims in pending U.S. applications owned by ToolGen (U.S.</w:t>
      </w:r>
    </w:p>
    <w:p>
      <w:pPr>
        <w:ind w:right="120"/>
        <w:spacing w:after="0" w:line="331" w:lineRule="auto"/>
        <w:rPr>
          <w:sz w:val="20"/>
          <w:szCs w:val="20"/>
          <w:color w:val="auto"/>
        </w:rPr>
      </w:pPr>
      <w:r>
        <w:rPr>
          <w:rFonts w:ascii="Arial" w:cs="Arial" w:eastAsia="Arial" w:hAnsi="Arial"/>
          <w:sz w:val="15"/>
          <w:szCs w:val="15"/>
          <w:color w:val="auto"/>
        </w:rPr>
        <w:t>Serial No. 14/685,568 and U.S. Serial No. 14/685,510, respectively) interfere with certain claims in five U.S. patents, which we have in-licensed from Broad, acting on behalf of itself, MIT, and Harvard. These five U.S. patents are among the 12 U.S. patents with respect to which the PTAB has declared an interference. The Suggestions of Interference that were filed by ToolGen are still pending and it is uncertain when and in what manner the USPTO will act on them.</w:t>
      </w:r>
    </w:p>
    <w:p>
      <w:pPr>
        <w:spacing w:after="0" w:line="144"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color w:val="auto"/>
        </w:rPr>
        <w:t xml:space="preserve">The 12 in-licensed U.S. patents that are the subject of the interference with the pending U.S. patent application (U.S. Serial No. 13/842,859) that is owned by the University of California, the University of Vienna, and Emmanuelle Charpentier (which includes the five in-licensed U.S. patents that are the subject of the Suggestions of Interference filed by ToolGen) relate generally to the CRISPR/Cas9 system and its use in eukaryotic cells. The claims of the 12 in-licensed U.S. patents vary in scope and coverage and include claims that are directed to CRISPR/Cas9 systems that employ viral vectors for delivery, single guide RNAs, modified guide RNAs,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Cas9, or a Cas9 nickase and are relevant to our genome editing platform technology. The loss of one or more of these in-licensed patents could have a material adverse effect on the conduct of our business.</w:t>
      </w:r>
    </w:p>
    <w:p>
      <w:pPr>
        <w:spacing w:after="0" w:line="17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addition, we or our licensors may be subject to claims that former employees, collaborators, or other third parties have an interest in our owned or in-licensed patents or other intellectual property as an inventor or co-inventor. For example, we have determined that certain of the claims of one of our pending U.S. non-provisional patent applications, and its corresponding pending PCT application, cover subject matter invented jointly by us and other third parties, which will result in certain third parties holding co-ownership rights in such applications. If we are unable to obtain an exclusive license to any such third party co-owners' interest in such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 We are also aware of one third party, Rockefeller, that has independently filed a U.S. patent application (U.S. Serial No. 14/324,960)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continuation of a U.S. patent application that we have in-licensed from Broad (U.S. Serial No. 14/183,429, which has since issued as U.S. Patent</w:t>
      </w:r>
    </w:p>
    <w:p>
      <w:pPr>
        <w:spacing w:after="0" w:line="3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No. 8,771,945). In contrast to a Suggestion of Interference, a U.S. continuation patent application does not seek to challenge the priority date of an existing patent, rather it is a new filing of an existing U.S. patent application, which contains the same priority date as the existing application. However, it may provoke the declaration of an interference. In that regard, the U.S. continuation patent application filed by Rockefeller lists one of its employees as a co-inventor alongside Dr. Feng Zhang, who is an employee of Broad in addition to being one of our founders. The U.S. continuation patent application was filed by Rockefeller with copies of claims from one U.S. patent and one U.S. patent application which we have in-licensed from Broad, acting on behalf of itself, MIT, and Harvard (U.S. Patent No. 8,697,359 and U.S. Serial No. 14/183,429, which has since issued as U.S. Patent No. 8,771,945). The U.S. continuation patent application filed by Rockefeller may provoke the declaration of an interference by the USPTO with these or other patents that we have in-licensed from Broad, acting on behalf of itself, MIT, and Harvard. The U.S. continuation application filed by Rockefeller may also prompt a derivation proceeding in the USPTO or litigation in court regarding such continuation patent application. In addition, if the USPTO were to grant a patent based on this U.S. continuation patent application including the Rockefeller employee as an inventor, then Rockefeller could license its rights to such patent to one of our competitors or to another third party such that they may have freedom-to-operate under such patent and may commercialize similar or identical products and technology to us. We may also need the cooperation of Rockefeller to enforce such patent against third parties, and such cooperation may not be provided to us. Any of the foregoing could have a material adverse effect on the conduct of our business.</w:t>
      </w:r>
    </w:p>
    <w:p>
      <w:pPr>
        <w:spacing w:after="0" w:line="179" w:lineRule="exact"/>
        <w:rPr>
          <w:sz w:val="20"/>
          <w:szCs w:val="20"/>
          <w:color w:val="auto"/>
        </w:rPr>
      </w:pPr>
    </w:p>
    <w:p>
      <w:pPr>
        <w:ind w:right="80" w:firstLine="611"/>
        <w:spacing w:after="0" w:line="288" w:lineRule="auto"/>
        <w:rPr>
          <w:sz w:val="20"/>
          <w:szCs w:val="20"/>
          <w:color w:val="auto"/>
        </w:rPr>
      </w:pPr>
      <w:r>
        <w:rPr>
          <w:rFonts w:ascii="Arial" w:cs="Arial" w:eastAsia="Arial" w:hAnsi="Arial"/>
          <w:sz w:val="16"/>
          <w:szCs w:val="16"/>
          <w:color w:val="auto"/>
        </w:rPr>
        <w:t>We or our licensors are subject to and may in the future become a party to similar proceedings or priority disputes in Europe or other foreign jurisdictions. We are aware of nine oppositions filed by different third parties against a European patent that we in-license from Broad (European Patent No. EP 2,771,468 B1). The European Patent Office Opposition Division, or EPO OD, has sent a Communication of Notice of Opposition to Broad informing Broad of the nine oppositions and that an opposition proceeding before the EPO OD has been initiated. The EPO opposition proceeding may involve issues including, but not limited to, procedural formalities related to filing the European patent application, priority, and the patentability of the involved claims. We are also aware of eight oppositions filed against a second European patent that we in-license from Broad (European Patent No. EP 2,784,162 B1). One or more of the third parties that have filed oppositions against European Patent Nos. EP 2,771,468 B1 and/or EP 2,784,162 B1 or other third parties may file future oppositions against other European patents that we in-license or own. The loss of priority for, or the loss of, these European patents could have a material adverse effect on the conduct of our business.</w:t>
      </w:r>
    </w:p>
    <w:p>
      <w:pPr>
        <w:spacing w:after="0" w:line="174"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If we or our licensors are unsuccessful in any interference proceedings or other priority or validity disputes (including any patent oppositions) to which we or they are subject, we may lose valuable intellectual property rights through the loss of one or more patents owned or licensed or our owned or licensed patent claims may be narrowed, invalidated, or held unenforceable. In addition, if we or our licensors are unsuccessful in any inventorship disputes to which we or they are subject,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 priority or inventorship disputes, it could result in substantial costs and be a distraction to management and other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ind w:right="80" w:firstLine="615"/>
        <w:spacing w:after="0" w:line="253"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201"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74" w:lineRule="exact"/>
        <w:rPr>
          <w:sz w:val="20"/>
          <w:szCs w:val="20"/>
          <w:color w:val="auto"/>
        </w:rPr>
      </w:pPr>
    </w:p>
    <w:p>
      <w:pPr>
        <w:ind w:right="260" w:firstLine="615"/>
        <w:spacing w:after="0" w:line="25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9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16" w:lineRule="exact"/>
        <w:rPr>
          <w:sz w:val="20"/>
          <w:szCs w:val="20"/>
          <w:color w:val="auto"/>
        </w:rPr>
      </w:pPr>
    </w:p>
    <w:p>
      <w:pPr>
        <w:ind w:right="180" w:firstLine="615"/>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94"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9"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CRISPR/Cas9, manufacturing methods, product candidates, or future methods or products resulting in either an injunction prohibiting our manufacture or sales, or, with respect to our sales, an obligation on our part to pay royalties and/or other forms of compensation to third parties, which could be significant.</w:t>
      </w:r>
    </w:p>
    <w:p>
      <w:pPr>
        <w:spacing w:after="0" w:line="174" w:lineRule="exact"/>
        <w:rPr>
          <w:sz w:val="20"/>
          <w:szCs w:val="20"/>
          <w:color w:val="auto"/>
        </w:rPr>
      </w:pPr>
    </w:p>
    <w:p>
      <w:pPr>
        <w:ind w:right="260" w:firstLine="615"/>
        <w:spacing w:after="0" w:line="256" w:lineRule="auto"/>
        <w:rPr>
          <w:sz w:val="20"/>
          <w:szCs w:val="20"/>
          <w:color w:val="auto"/>
        </w:rPr>
      </w:pPr>
      <w:r>
        <w:rPr>
          <w:rFonts w:ascii="Arial" w:cs="Arial" w:eastAsia="Arial" w:hAnsi="Arial"/>
          <w:sz w:val="18"/>
          <w:szCs w:val="18"/>
          <w:color w:val="auto"/>
        </w:rPr>
        <w:t>In each of our license agreements, and we expect in our future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Disputes may arise regarding intellectual property subject to a licensing agreement, including:</w:t>
      </w:r>
    </w:p>
    <w:p>
      <w:pPr>
        <w:spacing w:after="0" w:line="21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in-licenses.</w:t>
      </w:r>
    </w:p>
    <w:p>
      <w:pPr>
        <w:spacing w:after="0" w:line="248" w:lineRule="exact"/>
        <w:rPr>
          <w:sz w:val="20"/>
          <w:szCs w:val="20"/>
          <w:color w:val="auto"/>
        </w:rPr>
      </w:pPr>
    </w:p>
    <w:p>
      <w:pPr>
        <w:ind w:right="20" w:firstLine="611"/>
        <w:spacing w:after="0" w:line="285" w:lineRule="auto"/>
        <w:rPr>
          <w:sz w:val="20"/>
          <w:szCs w:val="20"/>
          <w:color w:val="auto"/>
        </w:rPr>
      </w:pPr>
      <w:r>
        <w:rPr>
          <w:rFonts w:ascii="Arial" w:cs="Arial" w:eastAsia="Arial" w:hAnsi="Arial"/>
          <w:sz w:val="16"/>
          <w:szCs w:val="16"/>
          <w:color w:val="auto"/>
        </w:rPr>
        <w:t>We currently have rights to intellectual property, through licenses from third parties, to identify and develop product candidates. Many pharmaceutical companies, biotechnology companies, and academic institutions are competing with us in the field of genome editing technology and filing patent applications potentially relevant to our business. For example, we are aware of several third party patent applications that, if issued, may be construed to cover our CRISPR/Cas9 technology and product candidates. In order to avoid infringing these third party patents, we may find it necessary or prudent to obtain licenses from such third party intellectual property holders. We may also require licenses from third parties for certain non-CRISPR/Cas9 technologies including certain delivery methods that we are evaluating for use with product candidates we may develop. In addition, with respect to any patents we co-own with third parties, we may require licenses to such co-owners' interest to such patents. However, we may be unable to secure such licenses or otherwise acquire or in-license any compositions, methods of use, processes, or other intellectual property rights from third parties that we identify as necessary for product candidates we may develop and CRISPR/Cas9 technology.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For example, certain delivery modes, including certain adeno associated virus, or AAV, vectors and lipid nanoparticle technologies, we are evaluating for use in our LCA10 program or with other product candidates we may develop are covered by patents held by third parties.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However,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technology and product candidates could be found invalid or unenforceable if challenged in court.</w:t>
      </w:r>
    </w:p>
    <w:p>
      <w:pPr>
        <w:spacing w:after="0" w:line="225"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 xml:space="preserve">If we or one of our licensors initiated legal proceedings against a third party to enforce a patent covering a product candidate we may develop or our technology, including CRISPR/Cas9,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have raised challenges to the validity of certain of our in-licensed patent claims and may in the future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For example, an interference has been declared against 12 of our in-licensed U.S. patents and opposition proceedings have been initiated against two of our in-licensed European patents, and additional interference and opposition proceedings may be initiated in the future. For more information regarding these proceedings, see "Business—Legal Proceedings." Such proceedings could result in the revocation of, cancellation of, or amendment to our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78"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b w:val="1"/>
          <w:bCs w:val="1"/>
          <w:i w:val="1"/>
          <w:iCs w:val="1"/>
          <w:color w:val="auto"/>
        </w:rPr>
        <w:t>The intellectual property landscape around genome editing technology, including CRISPR/Cas9, is highly dynamic, and 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61"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field of genome editing, especially in the area of CRISPR/Cas9 technology, is still in its infancy, and no such products have reached the market. Due to the intense research and development that is taking place by several companies, including us and our competitors, in this field, the intellectual property landscape is in flux, and it may remain uncertain for the coming years. There may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significant intellectual property related litigation and proceedings relating to our owned and in-licensed, and other third party, intellectual property and proprietary rights in the future.</w:t>
      </w:r>
    </w:p>
    <w:p>
      <w:pPr>
        <w:spacing w:after="0" w:line="186" w:lineRule="exact"/>
        <w:rPr>
          <w:sz w:val="20"/>
          <w:szCs w:val="20"/>
          <w:color w:val="auto"/>
        </w:rPr>
      </w:pPr>
    </w:p>
    <w:p>
      <w:pPr>
        <w:ind w:right="20" w:firstLine="615"/>
        <w:spacing w:after="0" w:line="284"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are subject to and may in the future become party to, or threatened with, adversarial proceedings or litigation regarding intellectual property rights with respect to our technology and any product candidates we may develop, including interference proceedings,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EPO. Third parties may assert infringement claims against us based on existing patents or patents that may be granted in the future, regardless of their merit. We are aware of certain third party patent applications in this landscape that may, if issued as patents, be asserted to encompass our CRISPR/Cas9 technology. In particular, we are aware of several separate families of U.S. patent applications and foreign counterparts which relate to CRISPR/Cas9 technology, where the earliest priority dates of each family pre-date the priority dates of our in-licensed patents and patent applications, including PCT Publication No. WO 2013/176772 (and its related U.S. and foreign patent applications) filed by the University of California, the University of Vienna (both of which are reported to have exclusively licensed their rights to Caribou Biosciences, which is reported to have exclusively licensed certain rights to Intellia Therapeutics), and Emmanuelle Charpentier (who is reported to have exclusively licensed her rights to CRISPR Therapeutics), and WO 2014/065596 (and its related U.S. and foreign patent applications) filed by ToolGen. Each of these families of patent applications are owned by a different third party and contain claims that may be construed to cover components and uses of CRISPR/Cas9 technology. If these third-party patent applications are issued as patents and we are not able to obtain or maintain a license on commercially reasonable terms, such third parties could potentially assert infringement claims against us, which could have a material adverse effect on the conduct of our business. We are also aware of a third-party U.S. patent and a related U.S. continuation patent application (U.S. Patent No. 8,921,332 and U.S. Serial No. 14/550,463), which are reported to have been exclusively licensed to Cellectis and contain claims related to methods for inducing double strand breaks in chromosomal DNA using a chimeric restriction endonuclease. In addition, we are aware of a U.S. patent (U.S. Patent No. 9,200,266) that is assigned to Sangamo Biosciences, Inc. and contains claims to a chimeric nuclease that induces a site-specific single-stranded break in a double-stranded DNA. Although we believe that we do not infringe a valid claim of such third party patents, such third parties may assert infringement claims or claim infringement against us, and if we are found to infringe such third party patents, we may be required to pay damages, cease commercialization of the infringing technology, or obtain a license from such third parties, which may not be available on commercially reasonable terms or at all.</w:t>
      </w:r>
    </w:p>
    <w:p>
      <w:pPr>
        <w:spacing w:after="0" w:line="179"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1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86"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4"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86" w:lineRule="exact"/>
        <w:rPr>
          <w:sz w:val="20"/>
          <w:szCs w:val="20"/>
          <w:color w:val="auto"/>
        </w:rPr>
      </w:pPr>
    </w:p>
    <w:p>
      <w:pPr>
        <w:ind w:right="60" w:firstLine="615"/>
        <w:spacing w:after="0" w:line="290" w:lineRule="auto"/>
        <w:rPr>
          <w:sz w:val="20"/>
          <w:szCs w:val="20"/>
          <w:color w:val="auto"/>
        </w:rPr>
      </w:pPr>
      <w:r>
        <w:rPr>
          <w:rFonts w:ascii="Arial" w:cs="Arial" w:eastAsia="Arial" w:hAnsi="Arial"/>
          <w:sz w:val="16"/>
          <w:szCs w:val="16"/>
          <w:color w:val="auto"/>
        </w:rPr>
        <w:t>Competitors may infringe our patents or the patents of our licensing partners, or we may be required to defend against claims of infringement. In addition, our patents or the patents of our licensing partners also are, and may in the future become, involved in inventorship or priority disputes. To counter or defend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120" w:firstLine="615"/>
        <w:spacing w:after="0" w:line="254" w:lineRule="auto"/>
        <w:rPr>
          <w:sz w:val="20"/>
          <w:szCs w:val="20"/>
          <w:color w:val="auto"/>
        </w:rPr>
      </w:pPr>
      <w:r>
        <w:rPr>
          <w:rFonts w:ascii="Arial" w:cs="Arial" w:eastAsia="Arial" w:hAnsi="Arial"/>
          <w:sz w:val="18"/>
          <w:szCs w:val="18"/>
          <w:color w:val="auto"/>
        </w:rPr>
        <w:t>In addition to seeking patents for some of our technology and product candidates, we also rely on trade secrets and confidentiality agreements to protect our unpatented know-how, technology, and other proprietary information and to maintain our competitive position. With respect to our technology platform, we consider trade secrets and know-how to be one of our primary sources of intellectual property. Trade secrets and know-how can be difficult to protect. In particular, we anticipate that with respect to our technology platform,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98" w:lineRule="exact"/>
        <w:rPr>
          <w:sz w:val="20"/>
          <w:szCs w:val="20"/>
          <w:color w:val="auto"/>
        </w:rPr>
      </w:pPr>
    </w:p>
    <w:p>
      <w:pPr>
        <w:ind w:right="20" w:firstLine="611"/>
        <w:spacing w:after="0" w:line="287" w:lineRule="auto"/>
        <w:rPr>
          <w:sz w:val="20"/>
          <w:szCs w:val="20"/>
          <w:color w:val="auto"/>
        </w:rPr>
      </w:pPr>
      <w:r>
        <w:rPr>
          <w:rFonts w:ascii="Arial" w:cs="Arial" w:eastAsia="Arial" w:hAnsi="Arial"/>
          <w:sz w:val="16"/>
          <w:szCs w:val="16"/>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248"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9" w:lineRule="exact"/>
        <w:rPr>
          <w:sz w:val="20"/>
          <w:szCs w:val="20"/>
          <w:color w:val="auto"/>
        </w:rPr>
      </w:pPr>
    </w:p>
    <w:p>
      <w:pPr>
        <w:ind w:left="1080" w:right="52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others may be able to make gene therapy products that are similar to any product candidates we may develop or utilize similar gene therapy technology but that are not covered by the claims of the patents that we license or may own in the future;</w:t>
      </w:r>
    </w:p>
    <w:p>
      <w:pPr>
        <w:spacing w:after="0" w:line="166"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issued patents that we hold rights to may be held invalid or unenforceable, including as a result of legal challenges by our competitors;</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31"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167" w:lineRule="exact"/>
        <w:rPr>
          <w:sz w:val="20"/>
          <w:szCs w:val="20"/>
          <w:color w:val="auto"/>
        </w:rPr>
      </w:pPr>
    </w:p>
    <w:p>
      <w:pPr>
        <w:ind w:firstLine="605"/>
        <w:spacing w:after="0" w:line="308" w:lineRule="auto"/>
        <w:rPr>
          <w:sz w:val="20"/>
          <w:szCs w:val="20"/>
          <w:color w:val="auto"/>
        </w:rPr>
      </w:pPr>
      <w:r>
        <w:rPr>
          <w:rFonts w:ascii="Arial" w:cs="Arial" w:eastAsia="Arial" w:hAnsi="Arial"/>
          <w:sz w:val="15"/>
          <w:szCs w:val="15"/>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third-party CROs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63"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172" w:lineRule="exact"/>
        <w:rPr>
          <w:sz w:val="20"/>
          <w:szCs w:val="20"/>
          <w:color w:val="auto"/>
        </w:rPr>
      </w:pPr>
    </w:p>
    <w:p>
      <w:pPr>
        <w:jc w:val="both"/>
        <w:ind w:right="220" w:firstLine="615"/>
        <w:spacing w:after="0" w:line="268" w:lineRule="auto"/>
        <w:rPr>
          <w:sz w:val="20"/>
          <w:szCs w:val="20"/>
          <w:color w:val="auto"/>
        </w:rPr>
      </w:pPr>
      <w:r>
        <w:rPr>
          <w:rFonts w:ascii="Arial" w:cs="Arial" w:eastAsia="Arial" w:hAnsi="Arial"/>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86"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186" w:lineRule="exact"/>
        <w:rPr>
          <w:sz w:val="20"/>
          <w:szCs w:val="20"/>
          <w:color w:val="auto"/>
        </w:rPr>
      </w:pPr>
    </w:p>
    <w:p>
      <w:pPr>
        <w:jc w:val="both"/>
        <w:ind w:right="220" w:firstLine="615"/>
        <w:spacing w:after="0" w:line="259" w:lineRule="auto"/>
        <w:rPr>
          <w:sz w:val="20"/>
          <w:szCs w:val="20"/>
          <w:color w:val="auto"/>
        </w:rPr>
      </w:pPr>
      <w:r>
        <w:rPr>
          <w:rFonts w:ascii="Arial" w:cs="Arial" w:eastAsia="Arial" w:hAnsi="Arial"/>
          <w:sz w:val="18"/>
          <w:szCs w:val="18"/>
          <w:color w:val="auto"/>
        </w:rPr>
        <w:t>In order to market and sell any product candidates we may develop in the European Union and many other foreign jurisdictions, we or our third-party collaborators must obtain separate marketing approvals and comply with numerous and varying regulatory requirements. The approval procedure varies among countries and can involve additional testing. The time required to obtain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7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develop,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194"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172"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7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194"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and if we do not market our medicines for their approved indications, we may be subject to enforcement action for off-label marketing by the FDA and other federal and state enforcement agencies, including the Department of Justice. Violation of the Federal Food, Product, and Cosmetic Act and other statutes, including the False Claims Act, relating to the promotion and advertising of prescription products may</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also lead to investigations or allegations of violations of federal and state health care fraud and abuse laws and state consumer protection laws.</w:t>
      </w:r>
    </w:p>
    <w:p>
      <w:pPr>
        <w:spacing w:after="0" w:line="248" w:lineRule="exact"/>
        <w:rPr>
          <w:sz w:val="20"/>
          <w:szCs w:val="20"/>
          <w:color w:val="auto"/>
        </w:rPr>
      </w:pPr>
    </w:p>
    <w:p>
      <w:pPr>
        <w:ind w:right="180" w:firstLine="615"/>
        <w:spacing w:after="0" w:line="268"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results, including:</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00" w:firstLine="605"/>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adversely affect our business, financial condition, results of operations, and prospects.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94"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medicines for which we obtain marketing approval. Restrictions under applicable federal and state healthcare laws and regulations include the following:</w:t>
      </w:r>
    </w:p>
    <w:p>
      <w:pPr>
        <w:spacing w:after="0" w:line="262" w:lineRule="exact"/>
        <w:rPr>
          <w:sz w:val="20"/>
          <w:szCs w:val="20"/>
          <w:color w:val="auto"/>
        </w:rPr>
      </w:pPr>
    </w:p>
    <w:p>
      <w:pPr>
        <w:ind w:left="1080" w:right="20" w:hanging="532"/>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224" w:lineRule="exact"/>
        <w:rPr>
          <w:rFonts w:ascii="Arial" w:cs="Arial" w:eastAsia="Arial" w:hAnsi="Arial"/>
          <w:sz w:val="18"/>
          <w:szCs w:val="18"/>
          <w:color w:val="auto"/>
        </w:rPr>
      </w:pPr>
    </w:p>
    <w:p>
      <w:pPr>
        <w:ind w:left="1080" w:right="100" w:hanging="532"/>
        <w:spacing w:after="0" w:line="255"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civil whistleblower or qui tam actions,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auto"/>
        </w:rPr>
      </w:pPr>
    </w:p>
    <w:p>
      <w:pPr>
        <w:ind w:left="1080" w:right="20" w:hanging="532"/>
        <w:spacing w:after="0" w:line="29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as further amended by the Health Information Technology for Economic and Clinical Health Act, or HITECH, which imposes certain requirements, including mandatory contractual terms, with respect to safeguarding the privacy, security, and transmission of individually identifiable health information without appropriate authorization by entities subject to the rule, such as health plans, health care clearinghouses, and health care providers;</w:t>
      </w:r>
    </w:p>
    <w:p>
      <w:pPr>
        <w:spacing w:after="0" w:line="180" w:lineRule="exact"/>
        <w:rPr>
          <w:rFonts w:ascii="Arial" w:cs="Arial" w:eastAsia="Arial" w:hAnsi="Arial"/>
          <w:sz w:val="16"/>
          <w:szCs w:val="16"/>
          <w:color w:val="auto"/>
        </w:rPr>
      </w:pPr>
    </w:p>
    <w:p>
      <w:pPr>
        <w:ind w:left="1080" w:right="68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6" w:lineRule="exact"/>
        <w:rPr>
          <w:rFonts w:ascii="Arial" w:cs="Arial" w:eastAsia="Arial" w:hAnsi="Arial"/>
          <w:sz w:val="16"/>
          <w:szCs w:val="16"/>
          <w:color w:val="auto"/>
        </w:rPr>
      </w:pPr>
    </w:p>
    <w:p>
      <w:pPr>
        <w:ind w:left="1080" w:right="100" w:hanging="532"/>
        <w:spacing w:after="0" w:line="29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transparency requirements under the federal Physician Payment Sunshine Act, which requires manufacturers of drugs, devices, biologics, and medical supplies to report to the Department of Health and Human Services, or HHS, information related to payments and other transfers of value to physicians and teaching hospitals, and ownership and investment interests held by physicians and other healthcare providers and their immediate family members and applicable group purchasing organizations; and</w:t>
      </w:r>
    </w:p>
    <w:p>
      <w:pPr>
        <w:spacing w:after="0" w:line="180"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97"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11"/>
        <w:spacing w:after="0" w:line="306"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61"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Payments made to physicians in certain European Union Member States must be publically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97" w:lineRule="exact"/>
        <w:rPr>
          <w:sz w:val="20"/>
          <w:szCs w:val="20"/>
          <w:color w:val="auto"/>
        </w:rPr>
      </w:pPr>
    </w:p>
    <w:p>
      <w:pPr>
        <w:ind w:firstLine="615"/>
        <w:spacing w:after="0" w:line="252"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205"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b w:val="1"/>
          <w:bCs w:val="1"/>
          <w:i w:val="1"/>
          <w:iCs w:val="1"/>
          <w:color w:val="auto"/>
        </w:rPr>
        <w:t>Recently enacted and future legislation, and any changes to existing legislation, may increase the difficulty and cost for us and any collaborators we may have to obtain marketing approval of and commercialize any product candidates we may develop and affect the prices we, or they, may obtain.</w:t>
      </w:r>
    </w:p>
    <w:p>
      <w:pPr>
        <w:spacing w:after="0" w:line="11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any product candidates that we may develop,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our future collaborators, may receive for any approved products.</w:t>
      </w:r>
    </w:p>
    <w:p>
      <w:pPr>
        <w:spacing w:after="0" w:line="170" w:lineRule="exact"/>
        <w:rPr>
          <w:sz w:val="20"/>
          <w:szCs w:val="20"/>
          <w:color w:val="auto"/>
        </w:rPr>
      </w:pPr>
    </w:p>
    <w:p>
      <w:pPr>
        <w:ind w:right="100" w:firstLine="615"/>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Medicare Modernization Act, changed the way Medicare covers and pays for pharmaceutical products. The legislation expanded Medicare coverage for drug purchases by the elderly and introduced a new reimbursement methodology based on average sales prices for physician 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20" w:firstLine="611"/>
        <w:spacing w:after="0" w:line="259" w:lineRule="auto"/>
        <w:rPr>
          <w:sz w:val="20"/>
          <w:szCs w:val="20"/>
          <w:color w:val="auto"/>
        </w:rPr>
      </w:pPr>
      <w:r>
        <w:rPr>
          <w:rFonts w:ascii="Arial" w:cs="Arial" w:eastAsia="Arial" w:hAnsi="Arial"/>
          <w:sz w:val="18"/>
          <w:szCs w:val="18"/>
          <w:color w:val="auto"/>
        </w:rPr>
        <w:t>The Patient Protection and Affordable Care Act enacted in March 2010 and subsequently amended by the Health Care and Education Affordability Reconciliation Act, or collectively the PPACA, contains several provisions of potential importance to any product candidates we may develop, including the following:</w:t>
      </w:r>
    </w:p>
    <w:p>
      <w:pPr>
        <w:spacing w:after="0" w:line="208"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specified branded prescription products and biologic agents;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Product Rebate Program;</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new laws may result in additional reductions in Medicare and other healthcare funding and otherwise affect the prices we may obtain for any product candidates we may develop for which marketing approval is obtained.</w:t>
      </w:r>
    </w:p>
    <w:p>
      <w:pPr>
        <w:spacing w:after="0" w:line="194" w:lineRule="exact"/>
        <w:rPr>
          <w:sz w:val="20"/>
          <w:szCs w:val="20"/>
          <w:color w:val="auto"/>
        </w:rPr>
      </w:pPr>
    </w:p>
    <w:p>
      <w:pPr>
        <w:ind w:right="80" w:firstLine="611"/>
        <w:spacing w:after="0" w:line="323" w:lineRule="auto"/>
        <w:rPr>
          <w:sz w:val="20"/>
          <w:szCs w:val="20"/>
          <w:color w:val="auto"/>
        </w:rPr>
      </w:pPr>
      <w:r>
        <w:rPr>
          <w:rFonts w:ascii="Arial" w:cs="Arial" w:eastAsia="Arial" w:hAnsi="Arial"/>
          <w:sz w:val="15"/>
          <w:szCs w:val="15"/>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from sales of products, attain profitability, or commercialize any product candidates we may develop.</w:t>
      </w:r>
    </w:p>
    <w:p>
      <w:pPr>
        <w:spacing w:after="0" w:line="15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86"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We are exposed to the risk of fraud or other misconduct by our employees, consultants, and commercial partners, and, if we commence clinical trials, our principal investigators. Misconduct 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and other key executives and to attract, retain, and motivate qualified personnel.</w:t>
      </w:r>
    </w:p>
    <w:p>
      <w:pPr>
        <w:spacing w:after="0" w:line="186" w:lineRule="exact"/>
        <w:rPr>
          <w:sz w:val="20"/>
          <w:szCs w:val="20"/>
          <w:color w:val="auto"/>
        </w:rPr>
      </w:pPr>
    </w:p>
    <w:p>
      <w:pPr>
        <w:ind w:right="100" w:firstLine="611"/>
        <w:spacing w:after="0" w:line="256" w:lineRule="auto"/>
        <w:rPr>
          <w:sz w:val="20"/>
          <w:szCs w:val="20"/>
          <w:color w:val="auto"/>
        </w:rPr>
      </w:pPr>
      <w:r>
        <w:rPr>
          <w:rFonts w:ascii="Arial" w:cs="Arial" w:eastAsia="Arial" w:hAnsi="Arial"/>
          <w:sz w:val="18"/>
          <w:szCs w:val="18"/>
          <w:color w:val="auto"/>
        </w:rPr>
        <w:t>We are highly dependent on Katrine S. Bosley, our Chief Executive Officer, as well as the other principal members of our management and scientific teams. Ms. Bosley is employed "at will," meaning we or she may terminate the employment relationship at any time. We do not maintain "key person" insurance for any of our executives or other employees. The loss of the services of any of these persons could impede the achievement of our research, development, and commercialization objectives.</w:t>
      </w:r>
    </w:p>
    <w:p>
      <w:pPr>
        <w:spacing w:after="0" w:line="197"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186"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do not know whether a market will develop for our common stock or what the market price of our common stock will be, and, as a result, it may be difficult for you to sell your shares of our common stock.</w:t>
      </w:r>
    </w:p>
    <w:p>
      <w:pPr>
        <w:spacing w:after="0" w:line="186"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Before this offering, there was no public trading market for our common stock. If a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incur immediate and substantial dilution as a result of this offering.</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If you purchase common stock in this offering, you will incur immediate and substantial dilution of $10.90 per share, representing the difference between the assumed initial public offering price of $17.00 per share, which is the midpoint of the range listed on the cover page of this prospectus, and our pro forma net tangible book value per share after giving effect to this offering and the automatic conversion of all outstanding shares of our preferred stock upon the closing of this offering. Moreover, we issued a warrant for preferred stock and options in the past that allow the holders to acquire common stock at prices significantly below the assumed initial public offering price. As of September 30, 2015, there were 23,076 shares subject to an outstanding warrant with an exercise price of $2.60 per share and 1,155,687 shares subject to outstanding options with a weighted-average exercise price of $4.19 per share. To the extent that these outstanding options or the outstanding warrant are ultimately exercised or the underwriters exercise their option to purchase additional shares, you will incur further dilution. For a further description of the dilution you will experience immediately after this offering, see "Dilution."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result in substantial losses for investors purchasing shares in this offering.</w:t>
      </w:r>
    </w:p>
    <w:p>
      <w:pPr>
        <w:spacing w:after="0" w:line="248"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The initial public offering price for our common stock will be determined through negotiations with the underwriters. This initial public offering price may vary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174"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and results of preclinical studies for our LCA10 program and any product candidates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genomic medicines, including those that involve genome editing;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level of expenses related to any of our research programs, clinical development programs, or product candidates that we may develop;</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litigation could result in substantial costs and divert management's attention and resources from our business.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86"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186"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After this offering and after giving effect to the conversion of all outstanding shares of our preferred stock into 24,929,709 shares of our common stock upon the closing of this offering, we will have 35,699,538 shares of common stock outstanding, or 36,584,538 shares if the underwriters exercise their option to purchase additional shares in full, in each case based on the 4,869,829 shares of our common stock outstanding as of November 30, 2015. Of these shares, the 5,900,000 shares (or 6,785,000 shares if the underwriters exercise their option to purchase additional shares in full) we are selling in this offering may be resold in the public market immediately, unless purchased by our affiliates. The remaining 29,799,538 shares are currently restricted under securities laws or as a result of lock-up or other agreements, but will be able to be sold after this offering as described in the "Shares Eligible for Future Sale" section of this prospectus. Moreover, after this offering, holders of an aggregate of 24,929,709 shares of our common stock will have rights, subject to conditions, to require us to file registration statements covering their shares or to include their shares in registration statements that we may file for ourselves or other stockholders. We also plan to register all 6,367,388 shares of common stock that we may issue under our equity compensation plans or that are issuable upon exercise of outstanding options. Once we register these shares, they can be freely sold in the public market upon issuance and once vested, subject to volume limitations applicable to affiliates and the lock-up agreements described in the "Underwriters" section of this prospectus. If any of these additional shares are sold, or if it is perceived that they will be sold, in the public market, the market price of our common stock could decline.</w:t>
      </w:r>
    </w:p>
    <w:p>
      <w:pPr>
        <w:spacing w:after="0" w:line="18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186" w:lineRule="exact"/>
        <w:rPr>
          <w:sz w:val="20"/>
          <w:szCs w:val="20"/>
          <w:color w:val="auto"/>
        </w:rPr>
      </w:pPr>
    </w:p>
    <w:p>
      <w:pPr>
        <w:ind w:right="160" w:firstLine="605"/>
        <w:spacing w:after="0" w:line="298" w:lineRule="auto"/>
        <w:rPr>
          <w:sz w:val="20"/>
          <w:szCs w:val="20"/>
          <w:color w:val="auto"/>
        </w:rPr>
      </w:pPr>
      <w:r>
        <w:rPr>
          <w:rFonts w:ascii="Arial" w:cs="Arial" w:eastAsia="Arial" w:hAnsi="Arial"/>
          <w:sz w:val="16"/>
          <w:szCs w:val="16"/>
          <w:color w:val="auto"/>
        </w:rPr>
        <w:t>After this offering, our directors and executive officers and their affiliates will beneficially own shares representing approximately 51.8%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b w:val="1"/>
          <w:bCs w:val="1"/>
          <w:i w:val="1"/>
          <w:iCs w:val="1"/>
          <w:color w:val="auto"/>
        </w:rPr>
        <w:t>In preparation of this offering, we identified a material weakness in our internal control over financial reporting. If we are unable to remedy our material weakness,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42"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In connection with the audit of our financial statements as of and for the year ended December 31, 2014 and the period ended December 31, 2013, we identified a material weakness in our internal control over financial reporting and errors in our financial statements. A material weakness is defined as a deficiency, or a combination of deficiencies, in internal control over financial reporting, such that there is a reasonable possibility that a material misstatement of our financial statements will not be prevented or detected on a timely basis. The material weakness that we identified was that we did not have competent accounting personnel to perform and oversee the accounting function in order to properly identify and evaluate the accounting matters that resulted in the errors in our financial statements.</w:t>
      </w:r>
    </w:p>
    <w:p>
      <w:pPr>
        <w:spacing w:after="0" w:line="198" w:lineRule="exact"/>
        <w:rPr>
          <w:sz w:val="20"/>
          <w:szCs w:val="20"/>
          <w:color w:val="auto"/>
        </w:rPr>
      </w:pPr>
    </w:p>
    <w:p>
      <w:pPr>
        <w:ind w:firstLine="611"/>
        <w:spacing w:after="0" w:line="284" w:lineRule="auto"/>
        <w:rPr>
          <w:sz w:val="20"/>
          <w:szCs w:val="20"/>
          <w:color w:val="auto"/>
        </w:rPr>
      </w:pPr>
      <w:r>
        <w:rPr>
          <w:rFonts w:ascii="Arial" w:cs="Arial" w:eastAsia="Arial" w:hAnsi="Arial"/>
          <w:sz w:val="16"/>
          <w:szCs w:val="16"/>
          <w:color w:val="auto"/>
        </w:rPr>
        <w:t>We have implemented, and are continuing to implement, measures designed to improve internal control over financial reporting to remediate the control deficiencies that led to our material weakness by, among other things, hiring qualified personnel with appropriate expertise to perform specific functions, and designing and implementing improved processes and internal controls, including ongoing senior management review and audit committee oversight. We commenced measures to remediate the identified material weaknesses by hiring a full-time chief financial officer in early July 2015, and by hiring a full-time corporate controller with significant biotechnology industry experience later in the third quarter of 2015, as well as by engaging financial consultants to assist with the evaluation and documentation of technical accounting matters. We expect to hire additional senior accounting staff, including those with expertise in SEC reporting and internal controls, and we expect to complete the remediation of the material weakness by the time our financial statements for the year ended December 31, 2015 are released. We will incur additional costs to remediate these weaknesses, primarily personnel costs and external consulting fees. We cannot assure you that the measures we have taken to date, together with any measures we may take in the future, will be sufficient to remediate the control deficiencies that led to our material weakness in our internal control over financial reporting or to avoid potential future material weaknesses. In addition, neither our management nor an independent registered public accounting firm has ever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Securities and Exchange Commission, or SEC, or other regulatory authorities.</w:t>
      </w:r>
    </w:p>
    <w:p>
      <w:pPr>
        <w:spacing w:after="0" w:line="18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ind w:right="200" w:firstLine="611"/>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4" w:lineRule="exact"/>
        <w:rPr>
          <w:sz w:val="20"/>
          <w:szCs w:val="20"/>
          <w:color w:val="auto"/>
        </w:rPr>
      </w:pPr>
    </w:p>
    <w:p>
      <w:pPr>
        <w:ind w:right="280" w:firstLine="615"/>
        <w:spacing w:after="0" w:line="29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86"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5" w:lineRule="exact"/>
        <w:rPr>
          <w:sz w:val="20"/>
          <w:szCs w:val="20"/>
          <w:color w:val="auto"/>
        </w:rPr>
      </w:pPr>
    </w:p>
    <w:p>
      <w:pPr>
        <w:jc w:val="both"/>
        <w:ind w:right="20" w:firstLine="615"/>
        <w:spacing w:after="0" w:line="256" w:lineRule="auto"/>
        <w:rPr>
          <w:sz w:val="20"/>
          <w:szCs w:val="20"/>
          <w:color w:val="auto"/>
        </w:rPr>
      </w:pPr>
      <w:r>
        <w:rPr>
          <w:rFonts w:ascii="Arial" w:cs="Arial" w:eastAsia="Arial" w:hAnsi="Arial"/>
          <w:sz w:val="18"/>
          <w:szCs w:val="18"/>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We cannot specify with certainty the particular uses of the net proceeds we will receive from this offering. Our management will have broad discretion in the application of the net proceeds, including for any of the purposes described in "Use of Proceeds."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expect to pay any dividends for the foreseeable future. Investors in this offering may never obtain a return on their investment.</w:t>
      </w:r>
    </w:p>
    <w:p>
      <w:pPr>
        <w:spacing w:after="0" w:line="248" w:lineRule="exact"/>
        <w:rPr>
          <w:sz w:val="20"/>
          <w:szCs w:val="20"/>
          <w:color w:val="auto"/>
        </w:rPr>
      </w:pPr>
    </w:p>
    <w:p>
      <w:pPr>
        <w:ind w:firstLine="608"/>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9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b w:val="1"/>
          <w:bCs w:val="1"/>
          <w:i w:val="1"/>
          <w:iCs w:val="1"/>
          <w:color w:val="auto"/>
        </w:rPr>
        <w:t>Provisions in our certificate of incorporation and bylaws that will become effective upon the closing of this offering or Delaware law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Provisions in our certificate of incorporation and bylaws that will become effective upon the closing of this offering or Delaware law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211"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requirement that at least 75% of the votes cast by all our stockholders approve the amendment or repeal of certain provisions of our bylaws or certificate of incorporation;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bylaws; and</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194"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97" w:lineRule="exact"/>
        <w:rPr>
          <w:sz w:val="20"/>
          <w:szCs w:val="20"/>
          <w:color w:val="auto"/>
        </w:rPr>
      </w:pPr>
    </w:p>
    <w:p>
      <w:pPr>
        <w:ind w:right="160" w:firstLine="611"/>
        <w:spacing w:after="0" w:line="259"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94"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b w:val="1"/>
          <w:bCs w:val="1"/>
          <w:i w:val="1"/>
          <w:iCs w:val="1"/>
          <w:color w:val="auto"/>
        </w:rPr>
        <w:t>Our certificate of incorporation that will become effective upon the closing of this offering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and officers.</w:t>
      </w:r>
    </w:p>
    <w:p>
      <w:pPr>
        <w:spacing w:after="0" w:line="142"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unless our board of directors otherwise determines, the state courts in the State of Delaware or, if no state court located within the State of Delaware has jurisdiction, the federal court for the District of Delaware, will be the sole and exclusive forum for any derivative action or proceeding brought on our behalf, any action asserting a claim of breach of a fiduciary duty owed by any of our directors or officers to our company or our stockholders, any action asserting a claim against us or any of our directors or officers arising pursuant to any provision of the General Corporation Law of the State of Delaware or our certificate of incorporation or bylaws, or any action asserting a claim against us or any of our directors or officers governed by the internal affairs doctrine. This exclusive forum provision may limit the ability of our stockholders to bring a claim in a judicial forum that such stockholders find favorable for disputes with us or our directors or officers, which may discourage such lawsuits against us and our directors and officers.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31" w:lineRule="exact"/>
        <w:rPr>
          <w:sz w:val="20"/>
          <w:szCs w:val="20"/>
          <w:color w:val="auto"/>
        </w:rPr>
      </w:pPr>
    </w:p>
    <w:p>
      <w:pPr>
        <w:ind w:right="140" w:firstLine="611"/>
        <w:spacing w:after="0" w:line="255"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results of operations, and prospects. These forward-looking statements speak only as of the date of this prospectus and are subject to a number of risks, uncertainties and assumptions described in the "Risk Factors" section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77"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prospectus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these definitions have been verified by any independent source.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80" w:firstLine="611"/>
        <w:spacing w:after="0" w:line="298" w:lineRule="auto"/>
        <w:rPr>
          <w:sz w:val="20"/>
          <w:szCs w:val="20"/>
          <w:color w:val="auto"/>
        </w:rPr>
      </w:pPr>
      <w:r>
        <w:rPr>
          <w:rFonts w:ascii="Arial" w:cs="Arial" w:eastAsia="Arial" w:hAnsi="Arial"/>
          <w:sz w:val="16"/>
          <w:szCs w:val="16"/>
          <w:color w:val="auto"/>
        </w:rPr>
        <w:t>We estimate that the net proceeds to us from the sale of the common stock that we are offering will be approximately $90.1 million, assuming an initial public offering price of $17.00 per share, which is the midpoint of the range listed on the cover page of this prospectus, and after deducting the estimated underwriting discounts and commissions and estimated offering expenses payable by us. If the underwriters exercise in full their over-allotment option, we estimate that the net proceeds from this offering will be approximately $104.1 million.</w:t>
      </w:r>
    </w:p>
    <w:p>
      <w:pPr>
        <w:spacing w:after="0" w:line="167" w:lineRule="exact"/>
        <w:rPr>
          <w:sz w:val="20"/>
          <w:szCs w:val="20"/>
          <w:color w:val="auto"/>
        </w:rPr>
      </w:pPr>
    </w:p>
    <w:p>
      <w:pPr>
        <w:ind w:right="40" w:firstLine="605"/>
        <w:spacing w:after="0" w:line="291" w:lineRule="auto"/>
        <w:rPr>
          <w:sz w:val="20"/>
          <w:szCs w:val="20"/>
          <w:color w:val="auto"/>
        </w:rPr>
      </w:pPr>
      <w:r>
        <w:rPr>
          <w:rFonts w:ascii="Arial" w:cs="Arial" w:eastAsia="Arial" w:hAnsi="Arial"/>
          <w:sz w:val="16"/>
          <w:szCs w:val="16"/>
          <w:color w:val="auto"/>
        </w:rPr>
        <w:t>A $1.00 increase (decrease) in the assumed initial public offering price of $17.00 per share would increase (decrease) the net proceeds to us from this offering by approximately $5.5 million, assuming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our net proceeds from this offering by approximately $15.8 million, assuming no change in the assumed initial public offering price per share and after deducting estimated underwriting discounts and commissions and estimated offering expenses payable by us.</w:t>
      </w:r>
    </w:p>
    <w:p>
      <w:pPr>
        <w:spacing w:after="0" w:line="174" w:lineRule="exact"/>
        <w:rPr>
          <w:sz w:val="20"/>
          <w:szCs w:val="20"/>
          <w:color w:val="auto"/>
        </w:rPr>
      </w:pPr>
    </w:p>
    <w:p>
      <w:pPr>
        <w:ind w:right="80" w:firstLine="605"/>
        <w:spacing w:after="0" w:line="289" w:lineRule="auto"/>
        <w:rPr>
          <w:sz w:val="20"/>
          <w:szCs w:val="20"/>
          <w:color w:val="auto"/>
        </w:rPr>
      </w:pPr>
      <w:r>
        <w:rPr>
          <w:rFonts w:ascii="Arial" w:cs="Arial" w:eastAsia="Arial" w:hAnsi="Arial"/>
          <w:sz w:val="16"/>
          <w:szCs w:val="16"/>
          <w:color w:val="auto"/>
        </w:rPr>
        <w:t>As of September 30, 2015, we had cash and cash equivalents of $155.3 million. The principal purposes of this offering are to increase our financial flexibility, create a public market for our common stock, and to facilitate our access to the public equity markets. We intend to use approximately $15 to $20 million of the net proceeds from this offering for preclinical studies and clinical trials for our LCA10 program and up to $22 million of the net proceeds from this offering for preclinical studies in our collaboration with Juno Therapeutics. We intend to use the remainder of the net proceeds from this offering for continued expansion of our platform technology, preclinical studies of our research programs in addition to LCA10 and engineered T cells, working capital and general corporate purposes. We believe opportunities may exist from time to time to expand our current business through acquisitions of complementary companies, products, or technologies. While we have no current agreements, commitments or understandings for any specific acquisitions at this time, we may use a portion of the net proceeds for these purposes.</w:t>
      </w:r>
    </w:p>
    <w:p>
      <w:pPr>
        <w:spacing w:after="0" w:line="172"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The amounts and timing of our actual expenditures may vary significantly depending on numerous factors, including the progress of our development and commercialization efforts, the status of and results from clinical trials, any collaborations that we may enter into with third parties for our programs, and any unforeseen cash needs. As a result, our management will retain broad discretion over the allocation of the net proceeds from this offering. We have no current agreements, commitments, or understandings for any material acquisitions or licenses of any products, businesses, or technologies. Based on our planned use of the net proceeds from this offering and our existing cash and cash equivalents, we estimate that such funds will be sufficient to enable us to fund our operating expenses, debt service, and capital expenditure requirements through at least the next 24 months. We have based this estimate on assumptions that may prove to be wrong, and we could use our available capital resources sooner than we currently expect. We do not expect that the net proceeds from this offering and our existing cash and cash equivalents will be sufficient to enable us to fund the completion of development of any product candidates we may develop.</w:t>
      </w:r>
    </w:p>
    <w:p>
      <w:pPr>
        <w:spacing w:after="0" w:line="17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Pending use of the proceeds as described above, we intend to invest the proceeds in short-term, interest-bearing, investment-grade securities.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w:t>
      </w:r>
    </w:p>
    <w:p>
      <w:pPr>
        <w:spacing w:after="0" w:line="18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2015, as follows:</w:t>
      </w:r>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a pro forma basis to reflect (1) the conversion of all outstanding shares of our preferred stock into 24,929,709 shares of common stock upon the closing of this offering, (2) the conversion of our outstanding warrant to purchase 60,000 shares of Series A-1 preferred stock into a warrant to purchase 23,076 shares of common stock, and (3) the filing of our restated certificate of incorporation as of the closing date of this offering; and</w:t>
      </w:r>
    </w:p>
    <w:p>
      <w:pPr>
        <w:spacing w:after="0" w:line="174" w:lineRule="exact"/>
        <w:rPr>
          <w:rFonts w:ascii="Arial" w:cs="Arial" w:eastAsia="Arial" w:hAnsi="Arial"/>
          <w:sz w:val="16"/>
          <w:szCs w:val="16"/>
          <w:color w:val="auto"/>
        </w:rPr>
      </w:pPr>
    </w:p>
    <w:p>
      <w:pPr>
        <w:ind w:left="1080" w:right="8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our issuance and sale of 5,900,000 shares of common stock in this offering at an assumed initial public offering price of $17.00 per share, the midpoint of the price range listed on the cover page of this prospectus, after deducting the estimated underwriting discounts and commissions and estimated offering expenses payable by us.</w:t>
      </w:r>
    </w:p>
    <w:p>
      <w:pPr>
        <w:spacing w:after="0" w:line="161" w:lineRule="exact"/>
        <w:rPr>
          <w:sz w:val="20"/>
          <w:szCs w:val="20"/>
          <w:color w:val="auto"/>
        </w:rPr>
      </w:pPr>
    </w:p>
    <w:p>
      <w:pPr>
        <w:ind w:right="160" w:firstLine="608"/>
        <w:spacing w:after="0" w:line="332" w:lineRule="auto"/>
        <w:rPr>
          <w:sz w:val="20"/>
          <w:szCs w:val="20"/>
          <w:color w:val="auto"/>
        </w:rPr>
      </w:pPr>
      <w:r>
        <w:rPr>
          <w:rFonts w:ascii="Arial" w:cs="Arial" w:eastAsia="Arial" w:hAnsi="Arial"/>
          <w:sz w:val="16"/>
          <w:szCs w:val="16"/>
          <w:color w:val="auto"/>
        </w:rPr>
        <w:t>You should read this information in conjunction with our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gridSpan w:val="11"/>
          </w:tcPr>
          <w:p>
            <w:pPr>
              <w:ind w:left="640"/>
              <w:spacing w:after="0"/>
              <w:rPr>
                <w:sz w:val="20"/>
                <w:szCs w:val="20"/>
                <w:color w:val="auto"/>
              </w:rPr>
            </w:pPr>
            <w:r>
              <w:rPr>
                <w:rFonts w:ascii="Arial" w:cs="Arial" w:eastAsia="Arial" w:hAnsi="Arial"/>
                <w:sz w:val="14"/>
                <w:szCs w:val="14"/>
                <w:b w:val="1"/>
                <w:bCs w:val="1"/>
                <w:color w:val="auto"/>
              </w:rPr>
              <w:t>As of September 30, 2015</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7"/>
              </w:rPr>
              <w:t>Pro Forma As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Adjusted</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7"/>
              </w:rPr>
              <w:t>(in thousands,</w:t>
            </w:r>
          </w:p>
        </w:tc>
        <w:tc>
          <w:tcPr>
            <w:tcW w:w="160" w:type="dxa"/>
            <w:vAlign w:val="bottom"/>
            <w:gridSpan w:val="2"/>
          </w:tcPr>
          <w:p>
            <w:pPr>
              <w:spacing w:after="0"/>
              <w:rPr>
                <w:sz w:val="12"/>
                <w:szCs w:val="12"/>
                <w:color w:val="auto"/>
              </w:rPr>
            </w:pPr>
          </w:p>
        </w:tc>
        <w:tc>
          <w:tcPr>
            <w:tcW w:w="324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rPr>
              <w:t>except share and per share data)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1,378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1,378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1,378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1"/>
              </w:rPr>
              <w:t>Series A-1 redeemable convertible preferred stock, par value $0.0001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w w:val="87"/>
              </w:rPr>
              <w:t>21,320,000 shares authorized, 21,260,000 shares issued and outstanding, 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w w:val="98"/>
              </w:rPr>
              <w:t>no shares authorized, issued, or outstanding, pro forma and pro forma as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A-2 redeemable convertible preferred stock, par value $0.0001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16,890,699 shares authorized, issued, and outstanding, actual; no 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4"/>
              </w:rPr>
              <w:t>Series B redeemable convertible preferred stock, par value $0.0001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w w:val="97"/>
              </w:rPr>
              <w:t>26,666,660 shares authorized, issued, and outstanding, actual; no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119,733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4"/>
              </w:rPr>
              <w:t>Preferred stock, par value $0.0001 per share; no shares authorized, issued, 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outstanding, actual; 5,000,000 shares authorized and no shares issued 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pro forma and pro forma as adjusted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6"/>
              </w:rPr>
              <w:t>Common stock, par value $0.0001 per share; 92,000,000 shares authorized,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w w:val="89"/>
              </w:rPr>
              <w:t>4,864,253 shares issued and 3,010,930 shares outstanding, actual; 195,000,000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w w:val="94"/>
              </w:rPr>
              <w:t>shares authorized, pro forma and pro forma as adjusted; 29,793,962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w w:val="89"/>
              </w:rPr>
              <w:t>issued and 27,940,639 shares outstanding, pro forma; 35,693,962 shares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and 33,840,639 shares outstanding, pro forma as adjusted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(75,715)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(75,710)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(75,710)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217,695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219,073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1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05"/>
        <w:spacing w:after="0" w:line="290" w:lineRule="auto"/>
        <w:rPr>
          <w:sz w:val="20"/>
          <w:szCs w:val="20"/>
          <w:color w:val="auto"/>
        </w:rPr>
      </w:pPr>
      <w:r>
        <w:rPr>
          <w:rFonts w:ascii="Arial" w:cs="Arial" w:eastAsia="Arial" w:hAnsi="Arial"/>
          <w:sz w:val="16"/>
          <w:szCs w:val="16"/>
          <w:color w:val="auto"/>
        </w:rPr>
        <w:t>A $1.00 increase (decrease) in the assumed initial public offering price of $17.00 per share, which is the midpoint of the range listed on the cover page of this prospectus, would increase (decrease) the pro forma as adjusted amount of each of cash and cash equivalents, additional paid-in capital, total stockholders' equity, and total capitalization by approximately $5.5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total stockholders' equity on a pro forma as adjusted basis by $15.8 million, assuming no change in the assumed initial public offering price per share and after deducting estimated underwriting discounts and commissions and estimated offering expenses payable by us.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above does not include:</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23,076 shares of common stock issuable upon exercise of a warrant outstanding as of September 30, 2015, at an exercise price of $2.60 per share;</w:t>
      </w:r>
    </w:p>
    <w:p>
      <w:pPr>
        <w:spacing w:after="0" w:line="286"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1,155,687 shares of common stock issuable upon exercise of stock options outstanding as of September 30, 2015, at a weighted-average exercise price of $4.19 per share;</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3,372,566 additional shares of common stock reserved as of September 30, 2015 for future issuance under our 2013 Stock Incentive Plan, as amended;</w:t>
      </w:r>
    </w:p>
    <w:p>
      <w:pPr>
        <w:spacing w:after="0" w:line="199"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1,461,538 additional shares of our common stock that will become available for future issuance under our 2015 Stock Incentive Plan immediately prior to the effectiveness of this Registration Statement, of which we expect to grant options to purchase an aggregate of 496,727 shares to certain of our employees and one of our non-employee directors upon the commencement of trading of our common stock on the NASDAQ Global Market; and</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384,615 additional shares of our common stock that will become available for future issuance under our 2015 Employee Stock Purchase Plan upon the closing of this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net tangible book value per share of our common stock after this offering.</w:t>
      </w:r>
    </w:p>
    <w:p>
      <w:pPr>
        <w:spacing w:after="0" w:line="186"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Our historical net tangible book value (deficit) as of September 30, 2015 was $(72.3) million, or $(14.87) per share of our common stock. Historical net tangible book value per share represents the amount of our total tangible assets less liabilities, divided by 4,864,253 shares of our common stock outstanding as of September 30, 2015, including 1,809,639 shares of unvested restricted stock subject to repurchase by us and 43,684 shares issued upon early exercise of stock options subject to repurchase by us.</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Our pro forma net tangible book value as of September 30, 2015 was $127.6 million, or $4.28 per share of our common stock. Pro forma net tangible book value per share represents the amount of our total tangible assets less our total liabilities, divided by the pro forma number of shares of our common stock outstanding on September 30, 2015, after giving effect to (1) the automatic conversion of our shares of preferred stock outstanding as of September 30, 2015 into 24,929,709 shares of common stock upon the closing of this offering, and (2) and the automatic conversion of a warrant to purchase preferred stock into a warrant to purchase common stock resulting in the reclassification of our warrant liability to stockholders' equity.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After giving effect to the sale of 5,900,000 shares of common stock that we are offering at an assumed initial public offering price of $17.00 per share,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is the midpoint of the range listed on the cover page of this prospectus, and after deducting the estimated underwriting discounts and commissions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estimated offering expenses payable by us, our pro forma as adjusted net tangible book value as of September 30, 2015 would have been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$217.7 million, or approximately $6.10 per share. This amount represents an immediate increase in pro forma net tangible book value of $1.82 per share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existing stockholders and an immediate dilution in pro forma net tangible book value of approximately $10.90 per share to new investors purchasing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in this offering. We determine dilution by subtracting the pro forma as adjusted net tangible book value per share after this offering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amount of cash that a new investor paid for a share of common stock. The following table illustrates this per share dilution to the new investors purchasing shares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 in this offering without giving effect to the over-allotment option granted to the underwriters: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Historical net tangible book value (deficit) per share as of September 30, 2015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(14.87)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Increase per share attributable to the automatic conversion of outstanding preferred stock and the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warrant liability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as of September 30, 2015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Increase in net tangible book value per share attributable to sale of shares of common stock in this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offering</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after this offering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605"/>
        <w:spacing w:after="0" w:line="298" w:lineRule="auto"/>
        <w:rPr>
          <w:sz w:val="20"/>
          <w:szCs w:val="20"/>
          <w:color w:val="auto"/>
        </w:rPr>
      </w:pPr>
      <w:r>
        <w:rPr>
          <w:rFonts w:ascii="Arial" w:cs="Arial" w:eastAsia="Arial" w:hAnsi="Arial"/>
          <w:sz w:val="16"/>
          <w:szCs w:val="16"/>
          <w:color w:val="auto"/>
        </w:rPr>
        <w:t>A $1.00 increase (decrease) in the assumed initial public offering price of $17.00 per share, which is the midpoint of the range listed on the cover page of this prospectus, would increase (decrease) the pro forma as adjusted net tangible book value per share after this offering by approximately $0.15, and dilution in pro forma net tangible book value per share to new investors by approximately $0.85, assuming that the number of shares offered by us, as set forth on the cover page of this prospectus, remains the same and after deducting estimated underwriting discounts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commissions and estimated offering expenses payable by us. An increase of 1,000,000 shares in the number of shares offered by us, as set forth on the cover page of this prospectus, would increase the pro forma as adjusted net tangible book value per share after this offering by $0.26 and decrease the dilution per share to new investors participating in this offering by $0.26, assuming no change in the assumed initial public offering price and after deducting estimated underwriting discounts and commissions and estimated offering expenses payable by us. A decrease of 1,000,000 shares in the number of shares offered by us, as set forth on the cover page of this prospectus, would decrease the pro forma as adjusted net tangible book value per share after this offering by $0.28 and increase the dilution per share to new investors participating in this offering by $0.28, assuming no change in the assumed initial public offering price and after deducting estimated underwriting discounts and commissions and estimated offering expenses payable by us.</w:t>
      </w:r>
    </w:p>
    <w:p>
      <w:pPr>
        <w:spacing w:after="0" w:line="172"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If the underwriters exercise their over-allotment option in full in this offering, the pro forma as adjusted net tangible book value after the offering would be $6.33 per share, the increase in pro forma net tangible book value per share to existing stockholders would be $2.05, and the dilution per share to new investors would be $10.67 per share, in each case assuming an initial public offering price of $17.00 per share, which is the midpoint of the range listed on the cover page of this prospectus and after deducting estimated underwriting discounts and commissions and estimated offering expenses payable by us. If any shares are issued upon exercise of outstanding options or our outstanding warrant, you will experience further dilution.</w:t>
      </w:r>
    </w:p>
    <w:p>
      <w:pPr>
        <w:spacing w:after="0" w:line="170" w:lineRule="exact"/>
        <w:rPr>
          <w:sz w:val="20"/>
          <w:szCs w:val="20"/>
          <w:color w:val="auto"/>
        </w:rPr>
      </w:pPr>
    </w:p>
    <w:p>
      <w:pPr>
        <w:ind w:right="300" w:firstLine="611"/>
        <w:spacing w:after="0" w:line="298" w:lineRule="auto"/>
        <w:rPr>
          <w:sz w:val="20"/>
          <w:szCs w:val="20"/>
          <w:color w:val="auto"/>
        </w:rPr>
      </w:pPr>
      <w:r>
        <w:rPr>
          <w:rFonts w:ascii="Arial" w:cs="Arial" w:eastAsia="Arial" w:hAnsi="Arial"/>
          <w:sz w:val="16"/>
          <w:szCs w:val="16"/>
          <w:color w:val="auto"/>
        </w:rPr>
        <w:t>The following table summarizes, on a pro forma basis, as adjusted as of September 30, 2015, the differences between the number of shares purchased from us, the total consideration paid to us in cash and the average price per share that existing stockholders and new investors paid. The calculation below is based on an assumed initial public offering price of $17.00 per share, which is the midpoint of the range listed on the cover page of this prospectus, before deducting the estimated underwriting discounts and commissions and estimated offering expenses payable by us.</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Shares Purchased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Total Consideration</w:t>
            </w:r>
          </w:p>
        </w:tc>
        <w:tc>
          <w:tcPr>
            <w:tcW w:w="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Average Price</w:t>
            </w: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29,793,962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163,298,856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New investors</w:t>
            </w:r>
          </w:p>
        </w:tc>
        <w:tc>
          <w:tcPr>
            <w:tcW w:w="920" w:type="dxa"/>
            <w:vAlign w:val="bottom"/>
          </w:tcPr>
          <w:p>
            <w:pPr>
              <w:jc w:val="right"/>
              <w:spacing w:after="0"/>
              <w:rPr>
                <w:sz w:val="20"/>
                <w:szCs w:val="20"/>
                <w:color w:val="auto"/>
              </w:rPr>
            </w:pPr>
            <w:r>
              <w:rPr>
                <w:rFonts w:ascii="Arial" w:cs="Arial" w:eastAsia="Arial" w:hAnsi="Arial"/>
                <w:sz w:val="18"/>
                <w:szCs w:val="18"/>
                <w:color w:val="auto"/>
              </w:rPr>
              <w:t>5,900,000</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100,300,000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35,693,962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263,598,856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the underwriters exercise their over-allotment option in full:</w:t>
      </w:r>
    </w:p>
    <w:p>
      <w:pPr>
        <w:spacing w:after="0" w:line="239" w:lineRule="exact"/>
        <w:rPr>
          <w:sz w:val="20"/>
          <w:szCs w:val="20"/>
          <w:color w:val="auto"/>
        </w:rPr>
      </w:pPr>
    </w:p>
    <w:p>
      <w:pPr>
        <w:ind w:left="1080" w:right="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percentage of shares of common stock held by existing stockholders will decrease to approximately 81.5% of the total number of shares of our common stock outstanding after this offering;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held by new investors will increase to 6,785,000, or approximately 18.5% of the total number of shares of our common stock outstanding after this offering.</w:t>
      </w:r>
    </w:p>
    <w:p>
      <w:pPr>
        <w:spacing w:after="0" w:line="186"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foregoing tables and calculations are based on the 29,793,962 shares of our common stock outstanding as of September 30, 2015, which includes 1,809,639 shares of unvested restricted stock subject to repurchase by us and 43,684 shares issued upon early exercise of stock options subject to repurchase by us, after giving effect to the automatic conversion of all outstanding shares of our preferred stock into 24,929,709 shares of common stock upon the closing of this offering, and excludes:</w:t>
      </w:r>
    </w:p>
    <w:p>
      <w:pPr>
        <w:spacing w:after="0" w:line="211" w:lineRule="exact"/>
        <w:rPr>
          <w:sz w:val="20"/>
          <w:szCs w:val="20"/>
          <w:color w:val="auto"/>
        </w:rPr>
      </w:pPr>
    </w:p>
    <w:p>
      <w:pPr>
        <w:ind w:left="5560" w:right="100" w:hanging="5012"/>
        <w:spacing w:after="0" w:line="519" w:lineRule="auto"/>
        <w:tabs>
          <w:tab w:leader="none" w:pos="10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23,076 shares of common stock issuable upon exercise of a warrant outstanding as of September 30, 2015, at an exercise price of $2.60 per share;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1,155,687 shares of common stock issuable upon exercise of stock options outstanding as of September 30, 2015, at a weighted-average exercise price of $4.19 per share;</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3,372,566 additional shares of common stock reserved as of September 30, 2015 for future issuance under our 2013 Stock Incentive Plan as amended;</w:t>
      </w:r>
    </w:p>
    <w:p>
      <w:pPr>
        <w:spacing w:after="0" w:line="199"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1,461,538 additional shares of our common stock that will become available for future issuance under our 2015 Stock Incentive Plan immediately prior to the effectiveness of this Registration Statement, of which we expect to grant options to purchase an aggregate of 496,727 shares to certain of our employees and one of our non-employee directors upon the commencement of trading of our common stock on the NASDAQ Global Market; and</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384,615 additional shares of our common stock that will become available for future issuance under our 2015 Employee Stock Purchase Plan upon the closing of this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ind w:right="20" w:firstLine="608"/>
        <w:spacing w:after="0" w:line="288" w:lineRule="auto"/>
        <w:rPr>
          <w:sz w:val="20"/>
          <w:szCs w:val="20"/>
          <w:color w:val="auto"/>
        </w:rPr>
      </w:pPr>
      <w:r>
        <w:rPr>
          <w:rFonts w:ascii="Arial" w:cs="Arial" w:eastAsia="Arial" w:hAnsi="Arial"/>
          <w:sz w:val="16"/>
          <w:szCs w:val="16"/>
          <w:color w:val="auto"/>
        </w:rPr>
        <w:t>You should read the following selected financial data together with our financial statements and the related notes appearing at the end of this prospectus and the "Management's Discussion and Analysis of Financial Condition and Results of Operations" section of this prospectus. We have derived the statement of operations data for the period from September 3, 2013 (inception) to December 31, 2013 and the year ended December 31, 2014 and the balance sheet data as of December 31, 2013 and 2014 from our audited financial statements appearing at the end of this prospectus. The statement of operations data for the nine months ended September 30, 2014 and 2015 and the balance sheet data as of September 30, 2015 have been derived from our unaudited financial statements appearing at the end of this prospectus and have been prepared on the same basis as the audited financial statements. In the opinion of management, the unaudited financial data reflects all adjustments, consisting only of normal recurring adjustments, necessary for a fair presentation of the financial information as of and for the periods presented. Our historical results are not necessarily indicative of results that should be expected in any future period, and our results for any interim period are not necessarily indicative of results that should be expected for any full year.</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September 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220"/>
              <w:spacing w:after="0" w:line="123"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4"/>
          </w:tcPr>
          <w:p>
            <w:pPr>
              <w:jc w:val="right"/>
              <w:ind w:right="554"/>
              <w:spacing w:after="0" w:line="129" w:lineRule="exact"/>
              <w:rPr>
                <w:sz w:val="20"/>
                <w:szCs w:val="20"/>
                <w:color w:val="auto"/>
              </w:rPr>
            </w:pPr>
            <w:r>
              <w:rPr>
                <w:rFonts w:ascii="Arial" w:cs="Arial" w:eastAsia="Arial" w:hAnsi="Arial"/>
                <w:sz w:val="12"/>
                <w:szCs w:val="12"/>
                <w:b w:val="1"/>
                <w:bCs w:val="1"/>
                <w:color w:val="auto"/>
                <w:w w:val="79"/>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gridSpan w:val="14"/>
          </w:tcPr>
          <w:p>
            <w:pPr>
              <w:jc w:val="right"/>
              <w:ind w:right="9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(37,328)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2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(60,267)</w:t>
            </w: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color w:val="auto"/>
                <w:w w:val="93"/>
              </w:rPr>
              <w:t>Net loss per share attributable to common stockholders, basic</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and diluted</w:t>
            </w:r>
            <w:r>
              <w:rPr>
                <w:rFonts w:ascii="Arial" w:cs="Arial" w:eastAsia="Arial" w:hAnsi="Arial"/>
                <w:sz w:val="29"/>
                <w:szCs w:val="29"/>
                <w:color w:val="auto"/>
                <w:vertAlign w:val="superscript"/>
              </w:rPr>
              <w:t>(1)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(12.46)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2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Weighted-average common shares outstanding, basic and</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300,480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1,123,098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970,593</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2,371,976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Pro forma net loss per share attributable to common</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stockholders, basic and diluted (unaudited)</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89"/>
              </w:rPr>
              <w:t>Pro forma weighted-average common shares outstanding, basic</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and diluted (unaudited)</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4,038,660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15,440,679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332" w:lineRule="auto"/>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See Note 2 to our financial statements for further details on the calculation of net loss per share, basic and diluted, attributable to common stockholders and the weighted-average number of shares used in the computation of the per share amounts.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78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4"/>
              </w:rPr>
              <w:t>(in thousands)</w:t>
            </w: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(unaudited)</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   2,012</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10,623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155,301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assets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159,745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revenue</w:t>
            </w:r>
          </w:p>
        </w:tc>
        <w:tc>
          <w:tcPr>
            <w:tcW w:w="1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199,816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20" w:type="dxa"/>
            <w:vAlign w:val="bottom"/>
          </w:tcPr>
          <w:p>
            <w:pPr>
              <w:jc w:val="right"/>
              <w:ind w:right="812"/>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RESULTS OF OPERATIONS</w:t>
      </w:r>
    </w:p>
    <w:p>
      <w:pPr>
        <w:spacing w:after="0" w:line="219"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section titled "Risk Factors" of this prospectus, our actual results could differ materially from the results described in or implied by the forward-looking statements contained in the following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are a leading genome editing company dedicated to treating patients with genetically defined diseases by correcting their disease-causing genes. Our mission is to translate the promise of genome editing science into a broad class of transformative genomic medicines to benefit the greatest number of patients. To this end, we are developing a proprietary genome editing platform based on CRISPR/Cas9 technology. Our product development strategy is to target genetically defined diseases with an initial focus on debilitating illnesses where there are no approved treatments and where the genetic basis of disease is well understood. We are advancing over a dozen discovery research programs, including programs to address genetic, infectious, and oncologic diseases of the liver, lung, blood, eye, and muscle. Our most advanced program is designed to address a specific genetic form of retinal degeneration called Leber Congenital Amaurosis type 10, or LCA10, a disease with no available therapies or potential treatments in clinical trials in either the United States or European Union. We aim to initiate a clinical trial in this program in 2017. In May 2015, we entered into a collaboration with Juno Therapeutics, a leader in the emerging field of immuno-oncology, to develop novel engineered T cell therapies for cancer.</w:t>
      </w:r>
    </w:p>
    <w:p>
      <w:pPr>
        <w:spacing w:after="0" w:line="174" w:lineRule="exact"/>
        <w:rPr>
          <w:sz w:val="20"/>
          <w:szCs w:val="20"/>
          <w:color w:val="auto"/>
        </w:rPr>
      </w:pPr>
    </w:p>
    <w:p>
      <w:pPr>
        <w:ind w:right="120" w:firstLine="615"/>
        <w:spacing w:after="0" w:line="302" w:lineRule="auto"/>
        <w:rPr>
          <w:sz w:val="20"/>
          <w:szCs w:val="20"/>
          <w:color w:val="auto"/>
        </w:rPr>
      </w:pPr>
      <w:r>
        <w:rPr>
          <w:rFonts w:ascii="Arial" w:cs="Arial" w:eastAsia="Arial" w:hAnsi="Arial"/>
          <w:sz w:val="15"/>
          <w:szCs w:val="15"/>
          <w:color w:val="auto"/>
        </w:rPr>
        <w:t>Since our inception in September 2013, our operations have focused on organizing and staffing our company, business planning, raising capital, establishing our intellectual property portfolio, assembling our core capabilities in genome editing, seeking to identify potential product candidates, and undertaking preclinical studies. All of our research programs are still in the preclinical or research stage of development and their risk of failure is high. We have not generated any revenue from product sales. We have funded our operations primarily through private placements of our preferred stock and our collaboration with Juno Therapeutics. From inception through September 30, 2015, we raised an aggregate of $190.3 million to fund our operations, consisting of</w:t>
      </w:r>
    </w:p>
    <w:p>
      <w:pPr>
        <w:spacing w:after="0" w:line="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$163.3 million of gross proceeds from sales of our preferred stock, a $25.0 million up-front payment under our collaboration with Juno Therapeutics, and $2.0 million of gross proceeds from an equipment loan financing.</w:t>
      </w:r>
    </w:p>
    <w:p>
      <w:pPr>
        <w:spacing w:after="0" w:line="192" w:lineRule="exact"/>
        <w:rPr>
          <w:sz w:val="20"/>
          <w:szCs w:val="20"/>
          <w:color w:val="auto"/>
        </w:rPr>
      </w:pPr>
    </w:p>
    <w:p>
      <w:pPr>
        <w:ind w:right="100" w:firstLine="615"/>
        <w:spacing w:after="0" w:line="253" w:lineRule="auto"/>
        <w:rPr>
          <w:sz w:val="20"/>
          <w:szCs w:val="20"/>
          <w:color w:val="auto"/>
        </w:rPr>
      </w:pPr>
      <w:r>
        <w:rPr>
          <w:rFonts w:ascii="Arial" w:cs="Arial" w:eastAsia="Arial" w:hAnsi="Arial"/>
          <w:sz w:val="18"/>
          <w:szCs w:val="18"/>
          <w:color w:val="auto"/>
        </w:rPr>
        <w:t>Since inception, we have incurred significant operating losses. Our net losses were $1.8 million and $13.7 million for the period and year ended December 31, 2013 and 2014, respectively, and $60.3 million for the nine months ended September 30, 2015. As of September 30, 2015, we had an accumulated deficit of $75.7 million. We expect to continue to incur significant expenses and operating losses for the foreseeable future. Our net losses may fluctuate significantly from quarter to quarter and from year to year. We anticipate that our expenses will increase substantially as we continue our current research programs and our preclinical development activities; seek to identify additional research programs and additional product candidates; initiate preclinical testing and clinical trials for any product candidates we identify and develop; maintain, expand, and protect our intellectual property portfolio; further develop our genome editing platform; hire additional clinical, quality control, and scientific personnel; and incur additional costs associated with operating as a public company.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To date, we have not generated any revenue from product sales and do not expect to generate any revenue from product sales for the foreseeable future. For the nine months ended September 30, 2015, we recognized $0.8 million of collaboration revenue related to our collaboration with Juno Therapeutics. As of September 30, 2015, we had not received any milestone or royalty payments under the collaboration. For additional information about our revenue recognition policy related to the collaboration, see the section titled "—Critical Accounting Policies and Estimates—Revenue."</w:t>
      </w:r>
    </w:p>
    <w:p>
      <w:pPr>
        <w:spacing w:after="0" w:line="167" w:lineRule="exact"/>
        <w:rPr>
          <w:sz w:val="20"/>
          <w:szCs w:val="20"/>
          <w:color w:val="auto"/>
        </w:rPr>
      </w:pPr>
    </w:p>
    <w:p>
      <w:pPr>
        <w:ind w:right="380" w:firstLine="615"/>
        <w:spacing w:after="0" w:line="268" w:lineRule="auto"/>
        <w:rPr>
          <w:sz w:val="20"/>
          <w:szCs w:val="20"/>
          <w:color w:val="auto"/>
        </w:rPr>
      </w:pPr>
      <w:r>
        <w:rPr>
          <w:rFonts w:ascii="Arial" w:cs="Arial" w:eastAsia="Arial" w:hAnsi="Arial"/>
          <w:sz w:val="18"/>
          <w:szCs w:val="18"/>
          <w:color w:val="auto"/>
        </w:rPr>
        <w:t>For the foreseeable future, we expect substantially all of our revenue will be generated from our collaboration with Juno Therapeutics and any other collaborations we may enter into.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preclinical studies under our research programs, which include:</w:t>
      </w:r>
    </w:p>
    <w:p>
      <w:pPr>
        <w:spacing w:after="0" w:line="19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that conduct research and development and preclinical activities on our behalf;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costs of purchasing lab supplies and non-capital equipment used in our preclinical activities and in manufacturing preclinical study materials;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for maintaining licenses under our third-party licensing agreements.</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Research and development costs are expensed as incurred. At this time, we cannot reasonably estimate or know the nature, timing, and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spacing w:after="0" w:line="208"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successful completion of preclinical studies and Investigational New Drug-enabling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38" w:lineRule="exact"/>
        <w:rPr>
          <w:rFonts w:ascii="Arial" w:cs="Arial" w:eastAsia="Arial" w:hAnsi="Arial"/>
          <w:sz w:val="18"/>
          <w:szCs w:val="18"/>
          <w:color w:val="auto"/>
        </w:rPr>
      </w:pPr>
    </w:p>
    <w:p>
      <w:pPr>
        <w:ind w:left="5560" w:right="2700" w:hanging="5012"/>
        <w:spacing w:after="0" w:line="519" w:lineRule="auto"/>
        <w:tabs>
          <w:tab w:leader="none" w:pos="10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non-patent exclusivity;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launching commercial sales of the product, if and when approved, whether alone or in collaboration with others;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acceptance of the product, if and when approved,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225"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 change in the outcome of any of these variables with respect to the development of any product candidates we may develop would significantly change the costs, timing, and viability associated with the development of that product candidate.</w:t>
      </w:r>
    </w:p>
    <w:p>
      <w:pPr>
        <w:spacing w:after="0" w:line="186"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Other than in connection with our collaboration with Juno Therapeutics, we do not track research and development costs on a program-by-program basis as we have not yet identified a product candidate for advancement into clinical trials. We plan to track research and development costs for any individual development program when we identify a product candidate from the program that we believe we can advance into clinical trials.</w:t>
      </w:r>
    </w:p>
    <w:p>
      <w:pPr>
        <w:spacing w:after="0" w:line="161"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Research and development activities are central to our business model. We expect research and development costs to increase significantly for the foreseeable future as our development programs progress, including as we continue to support the preclinical studies for our LCA10 program as well as our other research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40" w:firstLine="615"/>
        <w:spacing w:after="0" w:line="306"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61"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and potential commercialization of any product candidates we identify and develop. These increases will likely include increased costs related to the hiring of additional personnel, leasing of additional facilities, and fees to outside consultants. We also anticipate increased expenses related to reimbursement of third-party patent-related expenses and increased expenses associated with being a public company, including costs for audit, legal, regulatory, and tax-related services, director and officer insurance premiums, and investor relations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Other expense, net consists primarily of re-measurement gains or losses associated with changes in the fair value of the tranche rights associated with our Series A-1 preferred stock, warrant liability associated with the warrant we issued to our equipment loan lender, and the anti-dilutive protection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liability associated with our issuance of common stock to certain licensors. In June 2015, upon the issuance of the final tranche of our Series A preferred stock, the tranche right liability was settled and reclassified to Series A preferred stock and the anti-dilutive protection liability was settled and reclassified to additional paid-in-capital. Therefore no further re-measurement gains or losses will be recognized related to the tranche rights or the anti-dilutive protection liability.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40" w:firstLine="615"/>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generally accepted accounting principles. The preparation of our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2" w:lineRule="exact"/>
        <w:rPr>
          <w:sz w:val="20"/>
          <w:szCs w:val="20"/>
          <w:color w:val="auto"/>
        </w:rPr>
      </w:pPr>
    </w:p>
    <w:p>
      <w:pPr>
        <w:ind w:firstLine="611"/>
        <w:spacing w:after="0" w:line="33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20" w:firstLine="605"/>
        <w:spacing w:after="0" w:line="306" w:lineRule="auto"/>
        <w:rPr>
          <w:sz w:val="20"/>
          <w:szCs w:val="20"/>
          <w:color w:val="auto"/>
        </w:rPr>
      </w:pPr>
      <w:r>
        <w:rPr>
          <w:rFonts w:ascii="Arial" w:cs="Arial" w:eastAsia="Arial" w:hAnsi="Arial"/>
          <w:sz w:val="16"/>
          <w:szCs w:val="16"/>
          <w:color w:val="auto"/>
        </w:rPr>
        <w:t xml:space="preserve">As of September 30, 2015, all of our revenue to date had been generated exclusively from our collaboration with Juno Therapeutics. We recognize revenue in accordance with Financial Accounting Standards Board, or FASB, Accounting Standards Codification, or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or ASC 605. Accordingly, revenue is recognized for each unit of accounting when all of the following criteria are met:</w:t>
      </w:r>
    </w:p>
    <w:p>
      <w:pPr>
        <w:spacing w:after="0" w:line="174"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Amounts received prior to satisfying the revenue recognition criteria are recorded as deferred revenue in our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Determination of Accounting Units</w:t>
      </w:r>
    </w:p>
    <w:p>
      <w:pPr>
        <w:spacing w:after="0" w:line="225"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 xml:space="preserve">We analyze multiple element arrangements based on the guidance in ASC Topic 605-25, </w:t>
      </w:r>
      <w:r>
        <w:rPr>
          <w:rFonts w:ascii="Arial" w:cs="Arial" w:eastAsia="Arial" w:hAnsi="Arial"/>
          <w:sz w:val="18"/>
          <w:szCs w:val="18"/>
          <w:i w:val="1"/>
          <w:iCs w:val="1"/>
          <w:color w:val="auto"/>
        </w:rPr>
        <w:t>Revenue Recognition—Multiple Element Arrangements,</w:t>
      </w:r>
      <w:r>
        <w:rPr>
          <w:rFonts w:ascii="Arial" w:cs="Arial" w:eastAsia="Arial" w:hAnsi="Arial"/>
          <w:sz w:val="18"/>
          <w:szCs w:val="18"/>
          <w:color w:val="auto"/>
        </w:rPr>
        <w:t xml:space="preserve"> or ASC 605-25. Pursuant to the guidance in ASC 605-25, we evaluate multiple element arrangements to determine (1) the deliverables included in the arrangement and (2) whether the individual deliverables represent separate units of accounting or whether they must be accounted for as a combined unit of accounting. This evaluation involves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subjective determinations and requires management to make judgments about the individual deliverables and whether such deliverables are separate from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within our control. In assessing whether an item under a collaboration has standalone value, we consider factors such as the research, manufacturing, and commercialization capabilities of the collaboration partner and the availability of the associated expertise in the general marketplace. We also consider whether our collaboration partner can use the other deliverable(s) for their intended purpose without the receipt of the remaining element(s), whether the value of the deliverable is dependent on the undelivered item(s), and whether there are other vendors that can provide the undelivered element(s).</w:t>
      </w:r>
    </w:p>
    <w:p>
      <w:pPr>
        <w:spacing w:after="0" w:line="172"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Options under a collaboration are considered substantive if, at the inception of the arrangement, we are at risk as to whether the collaboration partner will choose to exercise the option. Factors that we consider in evaluating whether an option is substantive include the cost to exercise the option, the overall objective of the arrangement, the benefit the collaboration partner might obtain from the arrangement without exercising the option, and the likelihood the option will be exercised. When an option is considered substantive, we would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we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discount would be included as a deliverable at the inception of the arrangement.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Allocation of Arrangement Consideration</w:t>
      </w:r>
    </w:p>
    <w:p>
      <w:pPr>
        <w:spacing w:after="0" w:line="225" w:lineRule="exact"/>
        <w:rPr>
          <w:sz w:val="20"/>
          <w:szCs w:val="20"/>
          <w:color w:val="auto"/>
        </w:rPr>
      </w:pPr>
    </w:p>
    <w:p>
      <w:pPr>
        <w:ind w:firstLine="605"/>
        <w:spacing w:after="0" w:line="287"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 applicable revenue recognition criteria in ASC 605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 specific objective evidence, or VSOE, of selling price, if available, third-party evidence, or TPE, of selling price if VSOE is not available, or best estimate of selling price, or BESP, if neither VSOE or TPE is available. We have only used BESP to estimate selling price, since we have not had VSOE or TPE of selling price for any units of accounting to date. Determining BESP for a unit of accounting requires significant judgment. In developing the BESP for a unit of accounting, we consider applicable market conditions and relevant entity-specific factors, including factors that were contemplated in negotiating the applicable agreement and estimated costs. We validate BESP for units of accounting by evaluating whether changes in the key assumptions used by us to determine the BESP will have a significant effect on the allocation of arrangement consideration between multiple units of accounting.</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Pattern of Recognition</w:t>
      </w:r>
    </w:p>
    <w:p>
      <w:pPr>
        <w:spacing w:after="0" w:line="225" w:lineRule="exact"/>
        <w:rPr>
          <w:sz w:val="20"/>
          <w:szCs w:val="20"/>
          <w:color w:val="auto"/>
        </w:rPr>
      </w:pPr>
    </w:p>
    <w:p>
      <w:pPr>
        <w:ind w:right="180" w:firstLine="611"/>
        <w:spacing w:after="0" w:line="305" w:lineRule="auto"/>
        <w:rPr>
          <w:sz w:val="20"/>
          <w:szCs w:val="20"/>
          <w:color w:val="auto"/>
        </w:rPr>
      </w:pPr>
      <w:r>
        <w:rPr>
          <w:rFonts w:ascii="Arial" w:cs="Arial" w:eastAsia="Arial" w:hAnsi="Arial"/>
          <w:sz w:val="15"/>
          <w:szCs w:val="15"/>
          <w:color w:val="auto"/>
        </w:rPr>
        <w:t>We recognize the arrangement's consideration allocated to each unit of accounting when all of the revenue recognition criteria in ASC 605 are satisfied for that particular unit of accounting. We will recognize revenue associated with licenses, license options, or the discount related to a license option upon</w:t>
      </w:r>
    </w:p>
    <w:p>
      <w:pPr>
        <w:ind w:right="860" w:firstLine="8"/>
        <w:spacing w:after="0" w:line="261" w:lineRule="auto"/>
        <w:tabs>
          <w:tab w:leader="none" w:pos="2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delivery of the license or (ii) the earlier of exercise or expiration of the license option, if the underlying license has standalone value from the other deliverables to be provided after delivering that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license. If the license does not have standalone value, the amounts allocated to the license will be combined with the related undelivered items as a single unit of accounting.</w:t>
      </w:r>
    </w:p>
    <w:p>
      <w:pPr>
        <w:spacing w:after="0" w:line="186"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We recognize the amounts associated with collaboration research and development services, joint research committees, or other services ratably over the associated period of performance. If there is no discernible pattern of performance or objectively measurable performance measures do not exist, then we recognize revenue under the arrangement on a straight-line basis over the period that we are expected to complete our performance obligations. Conversely, if the pattern of performance in which the service is provided to the collaboration partner can be determined and objectively measureable performance exists, then we recognize revenue under the arrangement using the proportional performance method. Revenue recognized is limited to the lesser of the cumulative amount of payments received or the cumulative revenue earned determined using the straight line method or proportional performance, as applicable, as of the period end date.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Recognition of Milestones and Royalties</w:t>
      </w:r>
    </w:p>
    <w:p>
      <w:pPr>
        <w:spacing w:after="0" w:line="225"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At the inception of an arrangement that includes milestone payments, we evaluate whether each milestone is substantive and at risk to both parties on the basis of the contingent nature of the milestone. This evaluation includes an assessment of whether: (1) the consideration is commensurate with either our performance to achieve the milestone or the enhancement of the value of the delivered item(s) as a result of a specific outcome resulting from our performance to achieve the milestone, (2) the consideration relates solely to past performance, and (3) the consideration is reasonably relative to all of the deliverables and payment terms within the arrangement. We evaluate factors such as clinical, regulatory, commercial, and other risks that must be overcome to achieve the respective milestones and the level of effort and investment required to achieve the respective milestones in making this assessment. There is considerable judgment involved in determining whether a milestone satisfies all of the criteria required to conclude that a milestone is substantive. In accordance with ASC Topic 605-28</w:t>
      </w:r>
      <w:r>
        <w:rPr>
          <w:rFonts w:ascii="Arial" w:cs="Arial" w:eastAsia="Arial" w:hAnsi="Arial"/>
          <w:sz w:val="16"/>
          <w:szCs w:val="16"/>
          <w:i w:val="1"/>
          <w:iCs w:val="1"/>
          <w:color w:val="auto"/>
        </w:rPr>
        <w:t>, Revenue Recognition—Milestone Method</w:t>
      </w:r>
      <w:r>
        <w:rPr>
          <w:rFonts w:ascii="Arial" w:cs="Arial" w:eastAsia="Arial" w:hAnsi="Arial"/>
          <w:sz w:val="16"/>
          <w:szCs w:val="16"/>
          <w:color w:val="auto"/>
        </w:rPr>
        <w:t>, or ASC 605-28, a clinical or regulatory milestone that is considered substantive will be recognized as revenue in its entirety upon successful accomplishment of the milestone, assuming all other revenue recognition criteria are met. Milestones that are not considered substantive would be recognized as revenue over the remaining period of performance, assuming all other revenue recognition criteria are met. Revenue from a commercial milestone payment will be accounted for as royalties and recorded as revenue upon achievement of the milestone, assuming all other revenue recognition criteria are met.</w:t>
      </w:r>
    </w:p>
    <w:p>
      <w:pPr>
        <w:spacing w:after="0" w:line="178" w:lineRule="exact"/>
        <w:rPr>
          <w:sz w:val="20"/>
          <w:szCs w:val="20"/>
          <w:color w:val="auto"/>
        </w:rPr>
      </w:pPr>
    </w:p>
    <w:p>
      <w:pPr>
        <w:ind w:right="40" w:firstLine="611"/>
        <w:spacing w:after="0" w:line="332" w:lineRule="auto"/>
        <w:rPr>
          <w:sz w:val="20"/>
          <w:szCs w:val="20"/>
          <w:color w:val="auto"/>
        </w:rPr>
      </w:pPr>
      <w:r>
        <w:rPr>
          <w:rFonts w:ascii="Arial" w:cs="Arial" w:eastAsia="Arial" w:hAnsi="Arial"/>
          <w:sz w:val="16"/>
          <w:szCs w:val="16"/>
          <w:color w:val="auto"/>
        </w:rPr>
        <w:t>We will recognize royalty revenue in the period of sale of the related product(s), based on the underlying contract terms, provided that the reported sales are reliably measurable, we have no remaining performance obligations, and assuming all other revenue recognition criteria are met.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20" w:firstLine="605"/>
        <w:spacing w:after="0" w:line="312" w:lineRule="auto"/>
        <w:rPr>
          <w:sz w:val="20"/>
          <w:szCs w:val="20"/>
          <w:color w:val="auto"/>
        </w:rPr>
      </w:pPr>
      <w:r>
        <w:rPr>
          <w:rFonts w:ascii="Arial" w:cs="Arial" w:eastAsia="Arial" w:hAnsi="Arial"/>
          <w:sz w:val="15"/>
          <w:szCs w:val="15"/>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1"/>
        <w:spacing w:after="0" w:line="312" w:lineRule="auto"/>
        <w:rPr>
          <w:sz w:val="20"/>
          <w:szCs w:val="20"/>
          <w:color w:val="auto"/>
        </w:rPr>
      </w:pPr>
      <w:r>
        <w:rPr>
          <w:rFonts w:ascii="Arial" w:cs="Arial" w:eastAsia="Arial" w:hAnsi="Arial"/>
          <w:sz w:val="15"/>
          <w:szCs w:val="15"/>
          <w:color w:val="auto"/>
        </w:rPr>
        <w:t>We record our expenses related to research and development activities based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9" w:lineRule="exact"/>
        <w:rPr>
          <w:sz w:val="20"/>
          <w:szCs w:val="20"/>
          <w:color w:val="auto"/>
        </w:rPr>
      </w:pPr>
    </w:p>
    <w:p>
      <w:pPr>
        <w:ind w:right="180" w:firstLine="605"/>
        <w:spacing w:after="0" w:line="306"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Tranche Rights</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Series A preferred stock purchase agreement that we entered into provided the investors with the right, upon achievement of certain milestones, to participate in subsequent offerings of Series A preferred stock, which we refer to as tranche rights. The tranche rights meet the definition of a freestanding financial instrument, as the tranche rights are legally detachable and separately exercisable from the Series A preferred stock. Since the Series A preferred stock is redeemable at the holder's option subject to certain limitations, the tranche rights are classified as an asset or liability and were initially recorded at fair value and then marked to market at each subsequent reporting period, through the settlement of the tranche rights.</w:t>
      </w:r>
    </w:p>
    <w:p>
      <w:pPr>
        <w:spacing w:after="0" w:line="170" w:lineRule="exact"/>
        <w:rPr>
          <w:sz w:val="20"/>
          <w:szCs w:val="20"/>
          <w:color w:val="auto"/>
        </w:rPr>
      </w:pPr>
    </w:p>
    <w:p>
      <w:pPr>
        <w:jc w:val="both"/>
        <w:ind w:right="120" w:firstLine="611"/>
        <w:spacing w:after="0" w:line="256" w:lineRule="auto"/>
        <w:rPr>
          <w:sz w:val="20"/>
          <w:szCs w:val="20"/>
          <w:color w:val="auto"/>
        </w:rPr>
      </w:pPr>
      <w:r>
        <w:rPr>
          <w:rFonts w:ascii="Arial" w:cs="Arial" w:eastAsia="Arial" w:hAnsi="Arial"/>
          <w:sz w:val="18"/>
          <w:szCs w:val="18"/>
          <w:color w:val="auto"/>
        </w:rPr>
        <w:t xml:space="preserve">We determine fair value utilizing the concept of "Fair Value" from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or ASC 820, that states that any fair value measurement requires that the reporting entity to determine the valuation technique(s) appropriate for the measurement, considering the availability of data with which to develop inputs that represent the assumptions that market participants would use in pricing the asset or liability and the level in the fair value hierarchy within which the inputs are categorized.</w:t>
      </w:r>
    </w:p>
    <w:p>
      <w:pPr>
        <w:spacing w:after="0" w:line="197" w:lineRule="exact"/>
        <w:rPr>
          <w:sz w:val="20"/>
          <w:szCs w:val="20"/>
          <w:color w:val="auto"/>
        </w:rPr>
      </w:pPr>
    </w:p>
    <w:p>
      <w:pPr>
        <w:ind w:right="200" w:firstLine="611"/>
        <w:spacing w:after="0" w:line="255" w:lineRule="auto"/>
        <w:rPr>
          <w:sz w:val="20"/>
          <w:szCs w:val="20"/>
          <w:color w:val="auto"/>
        </w:rPr>
      </w:pPr>
      <w:r>
        <w:rPr>
          <w:rFonts w:ascii="Arial" w:cs="Arial" w:eastAsia="Arial" w:hAnsi="Arial"/>
          <w:sz w:val="18"/>
          <w:szCs w:val="18"/>
          <w:color w:val="auto"/>
        </w:rPr>
        <w:t>The estimated fair value of the tranche rights was determined using a probability-weighted present value model that considered the probability and timing of closing a tranche, the estimated future value of the Series A preferred stock to be issued at each closing, and the amount of the investment required at each closing. Future values were converted to present value using a discount rate appropriate for probability-adjusted cash flows. Upon the settlement of each tranche, the fair value of the tranche rights associated with that tranche was reclassified to Series A preferred stock at its then fair value and thereafter was no longer re-measured.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In conjunction with an equipment loan financing, we issued to Silicon Valley Bank a warrant to purchase up to 60,000 shares of our Series A-1 preferred stock at an exercise price of $1.00 per share. The fair value of the warrant at the issuance date was recorded as a reduction to face value of the debt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balance and will be amortized as interest expense, along with other debt issuance costs, over the term of the loan. Due to the liquidation preferences of the Series A-1 preferred stock, we recorded the warrant as a liability on our balance sheets. We will continue to re-measure the fair value of the liability associated with the warrant at the end of each reporting period using the Black-Scholes option pricing model until the earlier of the exercise or expiration of the warrant or until such time that the underlying preferred stock is reclassified to permanent equity, which will occur in connection with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Anti-dilutive Protection Liability</w:t>
      </w:r>
    </w:p>
    <w:p>
      <w:pPr>
        <w:spacing w:after="0" w:line="225"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Pursuant to agreements with licensors and in consideration for licenses received, we paid certain institutions upfront payments in cash, issued shares of common stock equal to a certain percentage of our outstanding stock on a fully diluted basis, and granted to the institutions the right to receive future issuances of common stock to maintain their respective ownership percentages of our company through the final tranche of a redeemable convertible preferred stock financing that ultimately occurred in June 2015. The anti-dilutive protection obligation under these agreements meets the definition of a freestanding financial instrument and the obligation was legally detachable and separately exercisable from the original issuance of the common stock. We concluded that the anti-dilutive protection obligation represented a liability because the anti-dilutive feature represented a conditional obligation to issue a variable number of shares and the monetary value of the obligation was based on something other than the fair value of the equity shares. As such, we recorded the initial value of the obligation at the issuance date as research and development expense (considered additional consideration paid to the licensors) and the liability was marked to market at each subsequent reporting period, through the settlement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 xml:space="preserve">We account for stock-based compensation awards in accordance with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ASC 718. ASC 718 requires all stock-based compensation awards to employees, including grants of restricted stock and stock options, to be recognized as expense in the statements of operations based on their grant date fair values. We estimate the fair value of options granted using the Black-Scholes option pricing model. We use the value of our common stock to determine the fair value of restricted stock awards.</w:t>
      </w:r>
    </w:p>
    <w:p>
      <w:pPr>
        <w:spacing w:after="0" w:line="197"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 xml:space="preserve">The Black-Scholes option pricing model requires the input of certain subjective assumptions, including (1) the expected stock price volatility, (2) the calculation of expected term of the award, (3) the risk-free interest rate, and (4) the expected dividend yield. Due to the lack of a public market for the trading of our common stock and a lack of company-specific historical and implied volatility data, we have based our estimates of expected volatility on the historical volatility of a group of similar companies that are publicly traded. We calculate historical volatility based on a period of time commensurate with the expected term. We compute expected volatility based on the historical volatility of a representative group of companies with similar characteristics to us, including their stages of product development and focus on the life science industry. We use the simplified method as prescribed by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for options granted to employees as we do not have sufficient historical exercise data to provide a reasonable basis upon which to estimate the expected term. For options granted to non-employees, we utilize the contractual term of the arrangement as the basis for the expected term. We determine the risk-free interest rate based on a treasury instrument whose term is consistent with the expected term of the stock options. We use an assumed dividend yield of zero as we have never paid dividends and do not have current plans to pay any dividends on common stock.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11"/>
        <w:spacing w:after="0" w:line="268" w:lineRule="auto"/>
        <w:rPr>
          <w:sz w:val="20"/>
          <w:szCs w:val="20"/>
          <w:color w:val="auto"/>
        </w:rPr>
      </w:pPr>
      <w:r>
        <w:rPr>
          <w:rFonts w:ascii="Arial" w:cs="Arial" w:eastAsia="Arial" w:hAnsi="Arial"/>
          <w:sz w:val="18"/>
          <w:szCs w:val="18"/>
          <w:color w:val="auto"/>
        </w:rPr>
        <w:t>The weighted-average assumptions used in the Black-Scholes option pricing model to determine the fair value of stock options granted to employees were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Year Ended</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 2015</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weighted average assumptions used in the Black-Scholes option pricing model to determine the fair value of stock options granted to non-employees were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Year Ended</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 2015</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We expense the fair value of stock-based compensation awards granted to employees on a straight-line basis over the associated service period, which is generally the period in which the related services are received. We measure stock-based compensation awards granted to non-employees at fair value as the awards vest and recognize the resulting value as stock-based compensation expense during the period the related services are rendered. At the end of each financial reporting period prior to completion of the service, we re-measure the unvested portion of these awards.</w:t>
      </w:r>
    </w:p>
    <w:p>
      <w:pPr>
        <w:spacing w:after="0" w:line="167" w:lineRule="exact"/>
        <w:rPr>
          <w:sz w:val="20"/>
          <w:szCs w:val="20"/>
          <w:color w:val="auto"/>
        </w:rPr>
      </w:pPr>
    </w:p>
    <w:p>
      <w:pPr>
        <w:ind w:right="300" w:firstLine="611"/>
        <w:spacing w:after="0" w:line="306" w:lineRule="auto"/>
        <w:rPr>
          <w:sz w:val="20"/>
          <w:szCs w:val="20"/>
          <w:color w:val="auto"/>
        </w:rPr>
      </w:pPr>
      <w:r>
        <w:rPr>
          <w:rFonts w:ascii="Arial" w:cs="Arial" w:eastAsia="Arial" w:hAnsi="Arial"/>
          <w:sz w:val="16"/>
          <w:szCs w:val="16"/>
          <w:color w:val="auto"/>
        </w:rPr>
        <w:t>We record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Grants</w:t>
      </w:r>
    </w:p>
    <w:p>
      <w:pPr>
        <w:spacing w:after="0" w:line="225" w:lineRule="exact"/>
        <w:rPr>
          <w:sz w:val="20"/>
          <w:szCs w:val="20"/>
          <w:color w:val="auto"/>
        </w:rPr>
      </w:pPr>
    </w:p>
    <w:p>
      <w:pPr>
        <w:ind w:right="220" w:firstLine="611"/>
        <w:spacing w:after="0" w:line="268" w:lineRule="auto"/>
        <w:rPr>
          <w:sz w:val="20"/>
          <w:szCs w:val="20"/>
          <w:color w:val="auto"/>
        </w:rPr>
      </w:pPr>
      <w:r>
        <w:rPr>
          <w:rFonts w:ascii="Arial" w:cs="Arial" w:eastAsia="Arial" w:hAnsi="Arial"/>
          <w:sz w:val="18"/>
          <w:szCs w:val="18"/>
          <w:color w:val="auto"/>
        </w:rPr>
        <w:t>The following table summarizes by grant date the number of shares of restricted common stock and common stock subject to options granted between January 1, 2014 and January 22, 2016,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per share purchase or exercise prices, the fair value of the common stock on the dates of grant, and the estimated fair value per share utilized to calculate stock-based compensation expense.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Fair Value of</w:t>
            </w:r>
          </w:p>
        </w:tc>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Retrospective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Purchase or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Value 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Price per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Grant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on Grant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Awards on</w:t>
            </w:r>
          </w:p>
        </w:tc>
        <w:tc>
          <w:tcPr>
            <w:tcW w:w="0" w:type="dxa"/>
            <w:vAlign w:val="bottom"/>
          </w:tcPr>
          <w:p>
            <w:pPr>
              <w:spacing w:after="0"/>
              <w:rPr>
                <w:sz w:val="1"/>
                <w:szCs w:val="1"/>
                <w:color w:val="auto"/>
              </w:rPr>
            </w:pPr>
          </w:p>
        </w:tc>
      </w:tr>
      <w:tr>
        <w:trPr>
          <w:trHeight w:val="176"/>
        </w:trPr>
        <w:tc>
          <w:tcPr>
            <w:tcW w:w="2180" w:type="dxa"/>
            <w:vAlign w:val="bottom"/>
            <w:gridSpan w:val="4"/>
          </w:tcPr>
          <w:p>
            <w:pPr>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Award</w:t>
            </w:r>
          </w:p>
        </w:tc>
        <w:tc>
          <w:tcPr>
            <w:tcW w:w="160" w:type="dxa"/>
            <w:vAlign w:val="bottom"/>
          </w:tcPr>
          <w:p>
            <w:pPr>
              <w:spacing w:after="0"/>
              <w:rPr>
                <w:sz w:val="15"/>
                <w:szCs w:val="15"/>
                <w:color w:val="auto"/>
              </w:rPr>
            </w:pPr>
          </w:p>
        </w:tc>
        <w:tc>
          <w:tcPr>
            <w:tcW w:w="84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82"/>
              </w:rPr>
              <w:t>Share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Date</w:t>
            </w:r>
            <w:r>
              <w:rPr>
                <w:rFonts w:ascii="Arial" w:cs="Arial" w:eastAsia="Arial" w:hAnsi="Arial"/>
                <w:sz w:val="20"/>
                <w:szCs w:val="20"/>
                <w:b w:val="1"/>
                <w:bCs w:val="1"/>
                <w:color w:val="auto"/>
                <w:w w:val="89"/>
                <w:vertAlign w:val="superscript"/>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8"/>
              <w:spacing w:after="0" w:line="176" w:lineRule="exact"/>
              <w:rPr>
                <w:sz w:val="20"/>
                <w:szCs w:val="20"/>
                <w:color w:val="auto"/>
              </w:rPr>
            </w:pPr>
            <w:r>
              <w:rPr>
                <w:rFonts w:ascii="Arial" w:cs="Arial" w:eastAsia="Arial" w:hAnsi="Arial"/>
                <w:sz w:val="13"/>
                <w:szCs w:val="13"/>
                <w:b w:val="1"/>
                <w:bCs w:val="1"/>
                <w:color w:val="auto"/>
                <w:w w:val="89"/>
              </w:rPr>
              <w:t>Date</w:t>
            </w:r>
            <w:r>
              <w:rPr>
                <w:rFonts w:ascii="Arial" w:cs="Arial" w:eastAsia="Arial" w:hAnsi="Arial"/>
                <w:sz w:val="20"/>
                <w:szCs w:val="20"/>
                <w:b w:val="1"/>
                <w:bCs w:val="1"/>
                <w:color w:val="auto"/>
                <w:w w:val="89"/>
                <w:vertAlign w:val="superscript"/>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29, 2014</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Restricted Stock</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April 19, 2014</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Option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82,034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9, 2014</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June 18, 2014</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Restricted Stock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1,362,966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9, 2015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66,766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April 16, 2015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Option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91,918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30, 2015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July 14, 2015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Option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233,843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21, 2015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September 14, 2015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Option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578,355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30, 2015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547,013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940" w:hanging="531"/>
        <w:spacing w:after="0" w:line="254"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determination by our board of directors of the fair value of our common stock on the date of grant, taking into consideration the various objective and subjective factors described below.</w:t>
      </w:r>
    </w:p>
    <w:p>
      <w:pPr>
        <w:spacing w:after="0" w:line="21" w:lineRule="exact"/>
        <w:rPr>
          <w:rFonts w:ascii="Arial" w:cs="Arial" w:eastAsia="Arial" w:hAnsi="Arial"/>
          <w:sz w:val="18"/>
          <w:szCs w:val="18"/>
          <w:color w:val="auto"/>
        </w:rPr>
      </w:pPr>
    </w:p>
    <w:p>
      <w:pPr>
        <w:ind w:left="1680" w:right="500" w:hanging="531"/>
        <w:spacing w:after="0" w:line="268"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fair value of common stock at the grant date was adjusted in connection with a retrospective fair value assessment for financial reporting purposes.</w:t>
      </w:r>
    </w:p>
    <w:p>
      <w:pPr>
        <w:spacing w:after="0" w:line="186" w:lineRule="exact"/>
        <w:rPr>
          <w:sz w:val="20"/>
          <w:szCs w:val="20"/>
          <w:color w:val="auto"/>
        </w:rPr>
      </w:pPr>
    </w:p>
    <w:p>
      <w:pPr>
        <w:ind w:right="100" w:firstLine="615"/>
        <w:spacing w:after="0" w:line="294" w:lineRule="auto"/>
        <w:rPr>
          <w:sz w:val="20"/>
          <w:szCs w:val="20"/>
          <w:color w:val="auto"/>
        </w:rPr>
      </w:pPr>
      <w:r>
        <w:rPr>
          <w:rFonts w:ascii="Arial" w:cs="Arial" w:eastAsia="Arial" w:hAnsi="Arial"/>
          <w:sz w:val="16"/>
          <w:szCs w:val="16"/>
          <w:color w:val="auto"/>
        </w:rPr>
        <w:t>Stock-based compensation totaled approximately $0.1 million for the year ended December 31, 2014 and $1.6 million for the nine months ended September 30, 2015. As of September 30, 2015, we had $5.8 million and $3.2 million of unrecognized compensation expense related to restricted stock awards and stock option awards, respectively, which are expected to be recognized over weighted-average remaining vesting periods of approximately 1.8 and 3.5 years, respectively. We expect the impact of our stock-based compensation expense for restricted stock and stock options granted to employees and non-employees to grow in future periods due to the potential increases in the value of our common stock and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of Common Stock on Grant Dates</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 xml:space="preserve">We historically have granted stock options and restricted stock at exercise or purchase prices not less than the fair value of our common stock. As there has been no public market for our common stock to date, the estimated fair value of our common stock has been determined contemporaneously by our board of directors. Since 2014, our board of directors' determinations have involved the preparation of valuations performed in accordance with the guidance outlined in the American Institute of Certified Public Accountants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also known as the Practice Aid. Once a public trading market for our common stock has been established in connection with the completion of this offering, it will no longer be necessary for us to estimate the fair value of our common stock in connection with our accounting for stock options and restricted stock, as the fair value of our common stock will be able to be determined by reference to its trading price on The NASDAQ Global Market.</w:t>
      </w:r>
    </w:p>
    <w:p>
      <w:pPr>
        <w:spacing w:after="0" w:line="172" w:lineRule="exact"/>
        <w:rPr>
          <w:sz w:val="20"/>
          <w:szCs w:val="20"/>
          <w:color w:val="auto"/>
        </w:rPr>
      </w:pPr>
    </w:p>
    <w:p>
      <w:pPr>
        <w:jc w:val="both"/>
        <w:ind w:right="280" w:firstLine="615"/>
        <w:spacing w:after="0" w:line="259" w:lineRule="auto"/>
        <w:rPr>
          <w:sz w:val="20"/>
          <w:szCs w:val="20"/>
          <w:color w:val="auto"/>
        </w:rPr>
      </w:pPr>
      <w:r>
        <w:rPr>
          <w:rFonts w:ascii="Arial" w:cs="Arial" w:eastAsia="Arial" w:hAnsi="Arial"/>
          <w:sz w:val="18"/>
          <w:szCs w:val="18"/>
          <w:color w:val="auto"/>
        </w:rPr>
        <w:t>Following our entry into license agreements with The Broad Institute, Inc., the President and Fellows of Harvard College, Massachusetts Institute of Technology, and the General Hospital Corporation d/b/a Massachusetts General Hospital, our board of directors performed common stock valuations, with the assistance of a third-party valuation specialist, as of October 31, 2014, June 1, 2015,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August 4, 2015, and October 23, 2015, which resulted in valuations of our common stock of $0.65, $3.23, $6.48, and $11.21 per share, respectively, as of those dates. In conducting its valuations, our board of directors considered all objective and subjective factors that it believed to be relevant for each valuation conducted, including its best estimate of our business condition, prospects, and operating performance at each valuation date. Within the valuations performed, a range of factors, assumptions, and methodologies were used. The significant factors included:</w:t>
      </w:r>
    </w:p>
    <w:p>
      <w:pPr>
        <w:spacing w:after="0" w:line="180"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and our convertible preferred stock;</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prices of shares of our convertible preferred stock that we had sold to outside investors in arm's length transactions, and the rights, preferences, and privileges of that convertible preferred stock relative to our common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results of operations and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entry into license agreements, pursuant to which we obtained rights to important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material risks related to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market performance of publicly traded companies in the life sciences and biotechnology sectors;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IPO, given prevailing market conditions.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financial reporting purposes, we also performed common stock valuations retrospectively, with the assistance of a third-party specialist,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April 16, 2015, June 1, 2015, and September 14, 2015, which resulted in valuations of our common stock of $4.84, $5.91, and $8.92 per share, respectively, as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those dates. Our retrospective valuations were prepared in accordance with the guidelines in the Practice Aid following the methodologies described below.</w:t>
      </w:r>
    </w:p>
    <w:p>
      <w:pPr>
        <w:spacing w:after="0" w:line="242"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There are significant judgments and estimates inherent in the determination of the fair value of our common stock. These judgments and estimates include assumptions regarding our future operating performance, the time to complete an IPO or other liquidity event, the related company valuations associated with such events, and the determinations of the appropriate valuation methods. If we had made different assumptions, our stock-based compensation expense, net loss, and net loss per share applicable to common stockholders could have been significantly different.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 Methodologies</w:t>
      </w:r>
    </w:p>
    <w:p>
      <w:pPr>
        <w:spacing w:after="0" w:line="225"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Our common stock valuations were prepared using the option-pricing method, or OPM, and a hybrid of the probability-weighted expected return method, or PWERM, and the OPM.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OPM</w:t>
      </w:r>
    </w:p>
    <w:p>
      <w:pPr>
        <w:spacing w:after="0" w:line="225"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preferences at the time of a liquidity event, such as a strategic sale or merger. The common stock is modeled as a call option on the underlying equity value at a predetermined exercise price. In this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convertible preferred stock liquidation preference is paid.</w:t>
      </w:r>
    </w:p>
    <w:p>
      <w:pPr>
        <w:spacing w:after="0" w:line="172"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aggregate value of the common stock derived from the OPM is then divided by the number of shares of common stock outstanding to arrive at the per share value.</w:t>
      </w:r>
    </w:p>
    <w:p>
      <w:pPr>
        <w:spacing w:after="0" w:line="197"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We used the OPM back-solve approach to estimate enterprise value under the OPM. The OPM back-solve approach uses the OPM to derive an implied equity value for one type of a company's equity securities from a contemporaneous sale transaction involving another type of the company's equity securities. For the OPM, we based our assumed volatility factor on the historical trading volatility of our publicly traded peer companies. At each valuation date, we determined the appropriate volatility to be used, considering such factors as our expected time to a liquidity event and our stage of development.</w:t>
      </w:r>
    </w:p>
    <w:p>
      <w:pPr>
        <w:spacing w:after="0" w:line="167" w:lineRule="exact"/>
        <w:rPr>
          <w:sz w:val="20"/>
          <w:szCs w:val="20"/>
          <w:color w:val="auto"/>
        </w:rPr>
      </w:pPr>
    </w:p>
    <w:p>
      <w:pPr>
        <w:ind w:right="120" w:firstLine="611"/>
        <w:spacing w:after="0" w:line="259" w:lineRule="auto"/>
        <w:rPr>
          <w:sz w:val="20"/>
          <w:szCs w:val="20"/>
          <w:color w:val="auto"/>
        </w:rPr>
      </w:pPr>
      <w:r>
        <w:rPr>
          <w:rFonts w:ascii="Arial" w:cs="Arial" w:eastAsia="Arial" w:hAnsi="Arial"/>
          <w:sz w:val="18"/>
          <w:szCs w:val="18"/>
          <w:color w:val="auto"/>
        </w:rPr>
        <w:t>To derive the fair value of our common stock using the OPM, we calculated the proceeds to our common stockholders based on the preferences and priorities of our convertible preferred stock and common stock. We then applied a discount for lack of marketability to the common stock to account for the lack of access to an active public market.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contemporaneous common stock valuations as of October 31, 2014 and June 1, 2015 were prepared using the OPM back-solve approach.</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PWERM</w:t>
      </w:r>
    </w:p>
    <w:p>
      <w:pPr>
        <w:spacing w:after="0" w:line="225"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Under the PWERM methodology, the fair value of a company's common stock is estimated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Hybrid Method</w:t>
      </w:r>
    </w:p>
    <w:p>
      <w:pPr>
        <w:spacing w:after="0" w:line="225" w:lineRule="exact"/>
        <w:rPr>
          <w:sz w:val="20"/>
          <w:szCs w:val="20"/>
          <w:color w:val="auto"/>
        </w:rPr>
      </w:pPr>
    </w:p>
    <w:p>
      <w:pPr>
        <w:ind w:right="280" w:firstLine="611"/>
        <w:spacing w:after="0" w:line="256" w:lineRule="auto"/>
        <w:rPr>
          <w:sz w:val="20"/>
          <w:szCs w:val="20"/>
          <w:color w:val="auto"/>
        </w:rPr>
      </w:pPr>
      <w:r>
        <w:rPr>
          <w:rFonts w:ascii="Arial" w:cs="Arial" w:eastAsia="Arial" w:hAnsi="Arial"/>
          <w:sz w:val="18"/>
          <w:szCs w:val="18"/>
          <w:color w:val="auto"/>
        </w:rPr>
        <w:t>The hybrid method is a PWERM where the equity value in one of the scenarios is calculated using an OPM. In the hybrid method used by us, we considered two types of future-event scenarios: an IPO and an unspecified liquidity event. The enterprise value for the IPO scenario was determined using the guideline public company, or GPC, method under the market approach. The enterprise value for the unspecified liquidity event scenario was determined using the GPC method or the OPM back-solve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approach. The relative probability of each type of future-event scenario was determined based on an analysis of market conditions at the time, including then-current IPO valuations of similarly situated companies, and our expectations as to the timing and likely prospects of the future-event scenarios.</w:t>
      </w:r>
    </w:p>
    <w:p>
      <w:pPr>
        <w:spacing w:after="0" w:line="139" w:lineRule="exact"/>
        <w:rPr>
          <w:sz w:val="20"/>
          <w:szCs w:val="20"/>
          <w:color w:val="auto"/>
        </w:rPr>
      </w:pPr>
    </w:p>
    <w:p>
      <w:pPr>
        <w:ind w:right="200" w:firstLine="615"/>
        <w:spacing w:after="0" w:line="306" w:lineRule="auto"/>
        <w:rPr>
          <w:sz w:val="20"/>
          <w:szCs w:val="20"/>
          <w:color w:val="auto"/>
        </w:rPr>
      </w:pPr>
      <w:r>
        <w:rPr>
          <w:rFonts w:ascii="Arial" w:cs="Arial" w:eastAsia="Arial" w:hAnsi="Arial"/>
          <w:sz w:val="16"/>
          <w:szCs w:val="16"/>
          <w:color w:val="auto"/>
        </w:rPr>
        <w:t>In our application of the GPC method, we considered publicly traded companies in the biopharmaceutical industry that recently completed IPOs as indicators of our estimated future value in an IPO. We then discounted that future value back to the valuation date at an appropriate risk-adjusted discount rate. We applied a discount for lack of marketability to the common stock to account for the lack of access to an active public market.</w:t>
      </w:r>
    </w:p>
    <w:p>
      <w:pPr>
        <w:spacing w:after="0" w:line="161" w:lineRule="exact"/>
        <w:rPr>
          <w:sz w:val="20"/>
          <w:szCs w:val="20"/>
          <w:color w:val="auto"/>
        </w:rPr>
      </w:pPr>
    </w:p>
    <w:p>
      <w:pPr>
        <w:ind w:right="540" w:firstLine="615"/>
        <w:spacing w:after="0" w:line="268" w:lineRule="auto"/>
        <w:rPr>
          <w:sz w:val="20"/>
          <w:szCs w:val="20"/>
          <w:color w:val="auto"/>
        </w:rPr>
      </w:pPr>
      <w:r>
        <w:rPr>
          <w:rFonts w:ascii="Arial" w:cs="Arial" w:eastAsia="Arial" w:hAnsi="Arial"/>
          <w:sz w:val="18"/>
          <w:szCs w:val="18"/>
          <w:color w:val="auto"/>
        </w:rPr>
        <w:t>Our contemporaneous common stock valuations as of August 4, 2015 and October 23, 2015 and our retrospective common stock valuations as of April 16, 2015, June 1, 2015, and September 14, 2015 were prepared using the hybrid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 in Connection with Initial Public Offering</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expect that our board of directors will approve, effective upon the commencement of trading of our common stock on the NASDAQ Global Market, grants of stock options to purchase an aggregate of 496,727 shares of common stock at a purchase price per share equal to the estimated fair market value of our common stock on such date of grant, which we expect our board of directors will determine to be equal to the initial public offering price of our common stock in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2014 and 2015</w:t>
      </w:r>
    </w:p>
    <w:p>
      <w:pPr>
        <w:spacing w:after="0" w:line="225" w:lineRule="exact"/>
        <w:rPr>
          <w:sz w:val="20"/>
          <w:szCs w:val="20"/>
          <w:color w:val="auto"/>
        </w:rPr>
      </w:pPr>
    </w:p>
    <w:p>
      <w:pPr>
        <w:ind w:right="220" w:firstLine="611"/>
        <w:spacing w:after="0" w:line="268" w:lineRule="auto"/>
        <w:rPr>
          <w:sz w:val="20"/>
          <w:szCs w:val="20"/>
          <w:color w:val="auto"/>
        </w:rPr>
      </w:pPr>
      <w:r>
        <w:rPr>
          <w:rFonts w:ascii="Arial" w:cs="Arial" w:eastAsia="Arial" w:hAnsi="Arial"/>
          <w:sz w:val="18"/>
          <w:szCs w:val="18"/>
          <w:color w:val="auto"/>
        </w:rPr>
        <w:t>The following table summarizes our results of operations for the nine months ended September 30, 2014 and 2015, together with the changes in those items in dollars (in thousands):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6"/>
              </w:rPr>
              <w:t>Dollar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4"/>
          </w:tcPr>
          <w:p>
            <w:pPr>
              <w:jc w:val="center"/>
              <w:ind w:left="359"/>
              <w:spacing w:after="0" w:line="142" w:lineRule="exact"/>
              <w:rPr>
                <w:sz w:val="20"/>
                <w:szCs w:val="20"/>
                <w:color w:val="auto"/>
              </w:rPr>
            </w:pPr>
            <w:r>
              <w:rPr>
                <w:rFonts w:ascii="Arial" w:cs="Arial" w:eastAsia="Arial" w:hAnsi="Arial"/>
                <w:sz w:val="14"/>
                <w:szCs w:val="14"/>
                <w:b w:val="1"/>
                <w:bCs w:val="1"/>
                <w:color w:val="auto"/>
                <w:w w:val="89"/>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0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(36,589)</w:t>
            </w: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(60,267)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Collaboration revenue was $0.8 million for the nine months ended September 30, 2015 and related to our collaboration with Juno Therapeutics. We did not earn any revenue in the nine months ended September 30, 2014.</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Research and development expenses increased by $10.3 million from $2.7 million for the nine months ended September 30, 2014 to $13.0 million for the nine months ended September 30, 2015. The following table summarizes our research and development expenses for the nine months ended September 30, 2014 and September 30, 2015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w w:val="87"/>
              </w:rPr>
              <w:t>Nine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15"/>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6"/>
              </w:rPr>
              <w:t>Dollar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left="360"/>
              <w:spacing w:after="0" w:line="142" w:lineRule="exact"/>
              <w:rPr>
                <w:sz w:val="20"/>
                <w:szCs w:val="20"/>
                <w:color w:val="auto"/>
              </w:rPr>
            </w:pPr>
            <w:r>
              <w:rPr>
                <w:rFonts w:ascii="Arial" w:cs="Arial" w:eastAsia="Arial" w:hAnsi="Arial"/>
                <w:sz w:val="14"/>
                <w:szCs w:val="14"/>
                <w:b w:val="1"/>
                <w:bCs w:val="1"/>
                <w:color w:val="auto"/>
                <w:w w:val="86"/>
              </w:rPr>
              <w:t>(unaudited)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Employee and contractor related expenses</w:t>
            </w: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48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Process and platform development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License fees and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Facility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13,020</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611"/>
        <w:spacing w:after="0" w:line="268" w:lineRule="auto"/>
        <w:rPr>
          <w:sz w:val="20"/>
          <w:szCs w:val="20"/>
          <w:color w:val="auto"/>
        </w:rPr>
      </w:pPr>
      <w:r>
        <w:rPr>
          <w:rFonts w:ascii="Arial" w:cs="Arial" w:eastAsia="Arial" w:hAnsi="Arial"/>
          <w:sz w:val="18"/>
          <w:szCs w:val="18"/>
          <w:color w:val="auto"/>
        </w:rPr>
        <w:t>The increase in research and development expenses for the nine months ended September 30, 2015 compared to the prior year period was primarily attributable to:</w:t>
      </w:r>
    </w:p>
    <w:p>
      <w:pPr>
        <w:spacing w:after="0" w:line="199" w:lineRule="exact"/>
        <w:rPr>
          <w:sz w:val="20"/>
          <w:szCs w:val="20"/>
          <w:color w:val="auto"/>
        </w:rPr>
      </w:pPr>
    </w:p>
    <w:p>
      <w:pPr>
        <w:ind w:left="1080" w:right="4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$4.4 million in increased license fees and expenses due to $4.6 million of sublicense payments that were triggered in the nine months ended September 30, 2015 under agreements with licensors as a result of our entry into our collaboration agreement with Juno Therapeutics;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$3.5 million in increased research and development employee compensation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$1.9 million in increased process and platform development costs;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$0.5 million in increased facilities costs, including rent, utilities, and depreciation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General and administrative expenses increased by $5.9 million from $4.9 million for the nine months ended September 30, 2014 to $10.8 million for nine months ended September 30, 2015. The increase in general and administrative expenses was primarily attributable to:</w:t>
      </w:r>
    </w:p>
    <w:p>
      <w:pPr>
        <w:spacing w:after="0" w:line="213" w:lineRule="exact"/>
        <w:rPr>
          <w:sz w:val="20"/>
          <w:szCs w:val="20"/>
          <w:color w:val="auto"/>
        </w:rPr>
      </w:pPr>
    </w:p>
    <w:p>
      <w:pPr>
        <w:ind w:left="1080" w:right="2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$3.6 million in increased patent-related fees, including third-party costs to procure the application for and issuance of additional patents in the United States and other jurisdictions; and</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$0.8 million in increased employee compensation cost, $1.3 million in increased contractor consulting fees, and $0.2 million in other general and administrative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Other expense, net was $0.7 million for the nine months ended September 30, 2014 and $37.3 million for the nine months ended September 30, 2015. The increase was primarily related to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$35.6 million increase in our Series A preferred stock tranche right liability during the nine months ended September 30, 2015 resulting from mark-to-market adjustments attributable to an increase in the fair value of our Series A preferred stock and an increase in the probability of closing the tranche during the nine months ended September 30, 2015. The tranche right liability was settled in June 2015.</w:t>
      </w:r>
    </w:p>
    <w:p>
      <w:pPr>
        <w:spacing w:after="0" w:line="194" w:lineRule="exact"/>
        <w:rPr>
          <w:sz w:val="20"/>
          <w:szCs w:val="20"/>
          <w:color w:val="auto"/>
        </w:rPr>
      </w:pPr>
    </w:p>
    <w:p>
      <w:pPr>
        <w:ind w:right="600" w:firstLine="611"/>
        <w:spacing w:after="0" w:line="332" w:lineRule="auto"/>
        <w:rPr>
          <w:sz w:val="20"/>
          <w:szCs w:val="20"/>
          <w:color w:val="auto"/>
        </w:rPr>
      </w:pPr>
      <w:r>
        <w:rPr>
          <w:rFonts w:ascii="Arial" w:cs="Arial" w:eastAsia="Arial" w:hAnsi="Arial"/>
          <w:sz w:val="16"/>
          <w:szCs w:val="16"/>
          <w:color w:val="auto"/>
        </w:rPr>
        <w:t>The increase in other expense, net was also attributable to a $1.6 million mark-to-market adjustment recorded in June 2015 for the anti-dilution protection liability related to our issuance of common stock to our licensors. The anti-dilution liability was settled in June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Period and Year Ended December 31, 2013 and 2014</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following table summarizes our results of operations for the period ended December 31, 2013 and the year ended December 31, 2014, respectively, together with the changes in those items in dollars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September 3, 2013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6"/>
              </w:rPr>
              <w:t>Dollar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shd w:val="clear" w:color="auto" w:fill="CCEEFF"/>
          </w:tcPr>
          <w:p>
            <w:pPr>
              <w:spacing w:after="0"/>
              <w:rPr>
                <w:sz w:val="18"/>
                <w:szCs w:val="18"/>
                <w:color w:val="auto"/>
              </w:rPr>
            </w:pPr>
          </w:p>
        </w:tc>
      </w:tr>
      <w:tr>
        <w:trPr>
          <w:trHeight w:val="209"/>
        </w:trPr>
        <w:tc>
          <w:tcPr>
            <w:tcW w:w="534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r>
      <w:tr>
        <w:trPr>
          <w:trHeight w:val="210"/>
        </w:trPr>
        <w:tc>
          <w:tcPr>
            <w:tcW w:w="53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did not earn any collaboration revenue in either the period ended December 31, 2013 or the year ended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Research and development expense increased by $4.6 million from $0.5 million for the period ended December 31, 2013 to $5.1 million for the year ended December 31, 2014. The following table</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summarizes our research and development expenses, for the period ended December 31, 2013 and the year ended December 31, 2014, respectively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Period from</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September 3, 2013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6"/>
              </w:rPr>
              <w:t>Dollar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Employee and contractor related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Process and platform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License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Facility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increase in research and development expenses was primarily attributable to:</w:t>
      </w:r>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$1.1 million in increased license fees;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$1.1 million in increased employee compensation expense and $0.4 million in increased contractor and third-party consulting expenses;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$1.0 million in increased facilities costs including rent, utilities, and depreciation expense;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$0.9 million in increased laboratory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General and administrative expenses increased by $6.4 million from $1.2 million for the period ended December 31, 2013 to $7.6 million for the year ended December 31, 2014. The increase in general and administrative expenses was primarily attributable to 12 months of operations being included in 2014 versus four months of operations during 2013 and included the following:</w:t>
      </w:r>
    </w:p>
    <w:p>
      <w:pPr>
        <w:spacing w:after="0" w:line="221" w:lineRule="exact"/>
        <w:rPr>
          <w:sz w:val="20"/>
          <w:szCs w:val="20"/>
          <w:color w:val="auto"/>
        </w:rPr>
      </w:pPr>
    </w:p>
    <w:p>
      <w:pPr>
        <w:ind w:left="1080" w:right="4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$3.5 million in increased patent and license fees, including third-party costs to procure the application for and issuance of additional patents in the U.S. and other jurisdictions and for intellectual property matters;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$1.3 million in increased employee compensation costs, and $0.6 million in increased contractor and third-party consulting expenses;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$0.5 million in increased facility costs, including rent, utilities, and depreciation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ind w:right="160" w:firstLine="615"/>
        <w:spacing w:after="0" w:line="306" w:lineRule="auto"/>
        <w:rPr>
          <w:sz w:val="20"/>
          <w:szCs w:val="20"/>
          <w:color w:val="auto"/>
        </w:rPr>
      </w:pPr>
      <w:r>
        <w:rPr>
          <w:rFonts w:ascii="Arial" w:cs="Arial" w:eastAsia="Arial" w:hAnsi="Arial"/>
          <w:sz w:val="16"/>
          <w:szCs w:val="16"/>
          <w:color w:val="auto"/>
        </w:rPr>
        <w:t>Other expense, net was $18,000 for the period ended December 31, 2013 and $1.0 million for the year ended December 31, 2014. The increase was primarily related to a $0.9 million increase in our Series A preferred stock tranche right liability during 2014 resulting from mark-to-market adjustments. Additionally, interest expense increased by $34,000 for the year ended December 31, 2014 from zero for the period ended December 31, 2013.</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From inception through September 30, 2015, we funded our operations primarily through proceeds from private placements of our preferred stock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$163.3 million, an up-front payment under our collaboration with Juno Therapeutics of $25.0 million, and $2.0 million of gross proceeds from an equipment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financing. As of September 30, 2015, we had cash and cash equivalents of $155.3 million.</w:t>
      </w:r>
    </w:p>
    <w:p>
      <w:pPr>
        <w:spacing w:after="0" w:line="219"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In December 2015, we formed a wholly owned subsidiary, Editas Securities Corporation, a Delaware corporation, for the sole purpose of buying, selling, and holding securities on our behalf.</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In May 2014, we entered into an equipment loan agreement with Silicon Valley Bank, which permitted us to borrow up to an aggregate principal amount of $2.0 million. We borrowed $0.5 million in July 2014, an additional $0.8 million in January 2015, and $0.7 million in July 2015. Each borrowing was payable in equal monthly principal installments over 36 months beginning after the nine-month anniversary of the funding date of each borrowing under the loans. Interest accrued under the Silicon Valley Bank agreement at an annual rate of 2.75% above the greater of the prime rate and 3.25%. As of September 30, 2015, there was $1.9 million in aggregate principal amount outstanding under the Silicon Valley Bank agreement. The Silicon Valley Bank loans were secured by the equipment financed with the loans. In December 2015, we paid off all amounts outstanding under the loans and terminated the equipment loan agreement. In connection with the Silicon Valley Bank loans, we issued to Silicon Valley Bank a warrant to purchase up to 60,000 shares of our Series A-1 preferred stock at an exercise price of $1.00 per share. The warrant has a 10 year term.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20" w:firstLine="611"/>
        <w:spacing w:after="0" w:line="268" w:lineRule="auto"/>
        <w:rPr>
          <w:sz w:val="20"/>
          <w:szCs w:val="20"/>
          <w:color w:val="auto"/>
        </w:rPr>
      </w:pPr>
      <w:r>
        <w:rPr>
          <w:rFonts w:ascii="Arial" w:cs="Arial" w:eastAsia="Arial" w:hAnsi="Arial"/>
          <w:sz w:val="18"/>
          <w:szCs w:val="18"/>
          <w:color w:val="auto"/>
        </w:rPr>
        <w:t>The following table provides information regarding our cash flows for the period and year ended December 31, 2013 and 2014, respectively, and the nine months ended September 30, 2014 and September 30, 2015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September 3, 2013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6"/>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(8,655)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(5,173)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143,143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(1,145)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144,678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w:t>
      </w:r>
    </w:p>
    <w:p>
      <w:pPr>
        <w:spacing w:after="0" w:line="248"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Net cash used in operating activities was $5.2 million for the nine months ended September 30, 2014 compared to $2.6 million of net cash provided by operating activities for the nine months ended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September 30, 2015. The increase of $7.7 million in cash provided by operating activities was primarily due to an increase of $36.5 million in non-cash expense from the mark to market of our preferred stock tranche liability, anti-dilutive protection liability, and warrant liability; an increase of $25.2 million of deferred revenue under our collaboration with Juno Therapeutics during the nine months ended September 30, 2015; and an increase of $0.2 million and $1.6 million in non-cash depreciation expense and stock-based compensation expense, respectively. These increases were partially offset by an increase in net loss of</w:t>
      </w:r>
    </w:p>
    <w:p>
      <w:pPr>
        <w:spacing w:after="0" w:line="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$52.0 million, a decrease in cash flows attributable to accounts receivable and prepaid expenses and other current assets of $1.1 million, and a decrease in cash flows attributable to accounts payable, accrued expenses, and deferred rent of $2.7 million.</w:t>
      </w:r>
    </w:p>
    <w:p>
      <w:pPr>
        <w:spacing w:after="0" w:line="192"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Net cash used in operating activities was $0.9 million for the period ended December 31, 2013 compared to $8.7 million for the year ended December 31, 2014. The increase of $7.8 million in cash used in operating activities was primarily due to an increase in net loss of $11.9 million for the year ended December 31, 2014 as compared to the period ended December 31, 2013, partially offset by an increase in cash flows attributable to non-cash expenses of $2.0 million and an increase in cash flows attributable to accounts payable and accrued expenses of $1.9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Net cash used in investing activities was $1.0 million for the nine months ended September 30, 2014 compared to $1.0 million for the nine months ended September 30, 2015. The cash used in investing activities was primarily due to purchases of laboratory equipment.</w:t>
      </w:r>
    </w:p>
    <w:p>
      <w:pPr>
        <w:spacing w:after="0" w:line="186"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Net cash used in investing activities was $0.1 million for the period ended December 31, 2013 compared to $1.2 million for the year ended December 31, 2014. The increase of $1.1 million in cash used in investing activities was due to purchases of laboratory equipment and our facility build out.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260" w:firstLine="615"/>
        <w:spacing w:after="0" w:line="255" w:lineRule="auto"/>
        <w:rPr>
          <w:sz w:val="20"/>
          <w:szCs w:val="20"/>
          <w:color w:val="auto"/>
        </w:rPr>
      </w:pPr>
      <w:r>
        <w:rPr>
          <w:rFonts w:ascii="Arial" w:cs="Arial" w:eastAsia="Arial" w:hAnsi="Arial"/>
          <w:sz w:val="18"/>
          <w:szCs w:val="18"/>
          <w:color w:val="auto"/>
        </w:rPr>
        <w:t>Net cash provided by financing activities was $5.0 million for the nine months ended September 30, 2014, compared to $143.1 million for the nine months ended September 30, 2015. The increase of $138.1 million in cash provided by financing activities was primarily due to the issuance of Series A-2 and Series B preferred stock, net of issuance costs, in 2015, resulting in an increase in aggregate gross proceeds of $137.2 million during the nine months ended September 30, 2015, as well as proceeds from an increase in borrowings under the equipment loan of $1.0 million offset by payments of the equipment loan principal of $0.1 million.</w:t>
      </w:r>
    </w:p>
    <w:p>
      <w:pPr>
        <w:spacing w:after="0" w:line="197"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Net cash provided by financing activities was $3.0 million for the period ended December 31, 2013 compared to $18.5 million for the year ended December 31, 2014. The increase of $15.5 million in cash provided by financing activities was primarily due to the issuance of Series A-1 preferred stock, net of issuance costs, resulting in aggregate gross proceeds of $18.0 million during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180" w:firstLine="611"/>
        <w:spacing w:after="0" w:line="254" w:lineRule="auto"/>
        <w:rPr>
          <w:sz w:val="20"/>
          <w:szCs w:val="20"/>
          <w:color w:val="auto"/>
        </w:rPr>
      </w:pPr>
      <w:r>
        <w:rPr>
          <w:rFonts w:ascii="Arial" w:cs="Arial" w:eastAsia="Arial" w:hAnsi="Arial"/>
          <w:sz w:val="18"/>
          <w:szCs w:val="18"/>
          <w:color w:val="auto"/>
        </w:rPr>
        <w:t>We expect our expenses to increase in connection with our ongoing activities, particularly as we further advance our current research programs and our preclinical development activities; seek to identify product candidates and additional research programs; initiate preclinical testing and clinical trials for any product candidates we identify and develop; maintain, expand, and protect our intellectual property portfolio; hire additional clinical, quality control, and scientific personnel; and incur additional costs associated with operating as a public company. In addition, if we obtain marketing approval for any product candidate that we identify and develop, we expect to incur significant commercialization expenses related to product sales, marketing, manufacturing, and distribution to the extent that such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sales, marketing, and distribution are not the responsibility of a collaborator. We do not expect to generate significant recurring revenue unless and until we obtain regulatory approval for and commercialize a product candidate.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97"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expect that the net proceeds from this offering, together with our existing cash and cash equivalents, anticipated interest income, and anticipated research support under our collaboration agreement with Juno Therapeutics, will enable us to fund our operating expenses and capital expenditure requirements for at least the next 24 months. We have based our estimates on assumptions that may prove to be wrong, and we may use our available capital resources sooner than we currently expect. Our future capital requirements will depend on many factors, including:</w:t>
      </w:r>
    </w:p>
    <w:p>
      <w:pPr>
        <w:spacing w:after="0" w:line="180" w:lineRule="exact"/>
        <w:rPr>
          <w:sz w:val="20"/>
          <w:szCs w:val="20"/>
          <w:color w:val="auto"/>
        </w:rPr>
      </w:pPr>
    </w:p>
    <w:p>
      <w:pPr>
        <w:ind w:left="1080" w:right="14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the product candidates we may develop;</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product candidates for which we receive regulatory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success of our collaboration with Juno Therapeutics;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Juno Therapeutics exercises either or both of its options to extend the research program term under our collaboration (each of which would trigger an extension payment to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medicines and technologies;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any product candidate that we identify and develop, if approved, may not achieve commercial success. Our commercial revenues, if any, will be derived from sales of genomic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0" w:lineRule="exact"/>
        <w:rPr>
          <w:sz w:val="20"/>
          <w:szCs w:val="20"/>
          <w:color w:val="auto"/>
        </w:rPr>
      </w:pPr>
    </w:p>
    <w:p>
      <w:pPr>
        <w:ind w:right="80" w:firstLine="615"/>
        <w:spacing w:after="0" w:line="332"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61" w:lineRule="exact"/>
        <w:rPr>
          <w:sz w:val="20"/>
          <w:szCs w:val="20"/>
          <w:color w:val="auto"/>
        </w:rPr>
      </w:pPr>
    </w:p>
    <w:p>
      <w:pPr>
        <w:ind w:right="140" w:firstLine="615"/>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our significant contractual obligations as of payment due date by period at December 31, 2014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More than</w:t>
            </w: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1 to 3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3 Years</w:t>
            </w:r>
          </w:p>
        </w:tc>
        <w:tc>
          <w:tcPr>
            <w:tcW w:w="16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38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Operating sublease commitments</w:t>
            </w:r>
            <w:r>
              <w:rPr>
                <w:rFonts w:ascii="Arial" w:cs="Arial" w:eastAsia="Arial" w:hAnsi="Arial"/>
                <w:sz w:val="28"/>
                <w:szCs w:val="28"/>
                <w:color w:val="auto"/>
                <w:vertAlign w:val="superscript"/>
              </w:rPr>
              <w:t>(1)</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880" w:type="dxa"/>
            <w:vAlign w:val="bottom"/>
            <w:gridSpan w:val="2"/>
          </w:tcPr>
          <w:p>
            <w:pPr>
              <w:spacing w:after="0" w:line="256" w:lineRule="exact"/>
              <w:rPr>
                <w:sz w:val="20"/>
                <w:szCs w:val="20"/>
                <w:color w:val="auto"/>
              </w:rPr>
            </w:pPr>
            <w:r>
              <w:rPr>
                <w:rFonts w:ascii="Arial" w:cs="Arial" w:eastAsia="Arial" w:hAnsi="Arial"/>
                <w:sz w:val="18"/>
                <w:szCs w:val="18"/>
                <w:color w:val="auto"/>
              </w:rPr>
              <w:t>Equipment loan</w:t>
            </w:r>
            <w:r>
              <w:rPr>
                <w:rFonts w:ascii="Arial" w:cs="Arial" w:eastAsia="Arial" w:hAnsi="Arial"/>
                <w:sz w:val="29"/>
                <w:szCs w:val="29"/>
                <w:color w:val="auto"/>
                <w:vertAlign w:val="superscript"/>
              </w:rPr>
              <w:t>(2)</w:t>
            </w:r>
          </w:p>
        </w:tc>
        <w:tc>
          <w:tcPr>
            <w:tcW w:w="1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line="254" w:lineRule="auto"/>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sublease space at 300 Third Ave Street in Cambridge, Massachusetts under a non-cancelable operating lease that expires in September 2016.</w:t>
      </w:r>
    </w:p>
    <w:p>
      <w:pPr>
        <w:spacing w:after="0" w:line="21" w:lineRule="exact"/>
        <w:rPr>
          <w:rFonts w:ascii="Arial" w:cs="Arial" w:eastAsia="Arial" w:hAnsi="Arial"/>
          <w:sz w:val="18"/>
          <w:szCs w:val="18"/>
          <w:color w:val="auto"/>
        </w:rPr>
      </w:pPr>
    </w:p>
    <w:p>
      <w:pPr>
        <w:ind w:left="1680" w:right="20" w:hanging="531"/>
        <w:spacing w:after="0" w:line="255" w:lineRule="auto"/>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May 2014, we entered into an equipment loan with Silicon Valley Bank for up to $2.0 million. In July 2014, we borrowed $0.5 million, which is included in the table above. In January 2015, we borrowed an additional $0.8 million under the loan. In July 2015, we borrowed an additional $0.7 million under the loan. Each borrowing was payable in equal monthly principal installments over 36 months beginning after the nine-month anniversary of the funding date of each loan. In December 2015, we paid off all amounts outstanding under the loan and terminated the equipment loan agreement.</w:t>
      </w:r>
    </w:p>
    <w:p>
      <w:pPr>
        <w:spacing w:after="0" w:line="197"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table above does not include potential milestone fees, sublicense fees, royalty fees, licensing maintenance fees, and reimbursement of patent maintenance costs that we may be required to pay under agreements we have entered into with certain institutions to license intellectual property. We have not included such potential obligations in the table above because they are contingent upon the occurrence of future events and the timing and likelihood of such potential obligations are not known with certainty. For further information regarding these agreements and amounts that could become payable in the future under these agreements, please see the section of this prospectus titled "Business—License Agreements."</w:t>
      </w:r>
    </w:p>
    <w:p>
      <w:pPr>
        <w:spacing w:after="0" w:line="170" w:lineRule="exact"/>
        <w:rPr>
          <w:sz w:val="20"/>
          <w:szCs w:val="20"/>
          <w:color w:val="auto"/>
        </w:rPr>
      </w:pPr>
    </w:p>
    <w:p>
      <w:pPr>
        <w:ind w:right="360" w:firstLine="615"/>
        <w:spacing w:after="0" w:line="298" w:lineRule="auto"/>
        <w:rPr>
          <w:sz w:val="20"/>
          <w:szCs w:val="20"/>
          <w:color w:val="auto"/>
        </w:rPr>
      </w:pPr>
      <w:r>
        <w:rPr>
          <w:rFonts w:ascii="Arial" w:cs="Arial" w:eastAsia="Arial" w:hAnsi="Arial"/>
          <w:sz w:val="16"/>
          <w:szCs w:val="16"/>
          <w:color w:val="auto"/>
        </w:rPr>
        <w:t>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milestones. The maximum potential milestone payments under one of our licensing agreements are approximately $5.5 million. The maximum potential milestone payments under another of our licensing agreements are approximately $0.6 million in the aggregate per licensed product.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Under a license agreement with certain research institutions, we may also be obligated to pay clinical and regulatory milestones of up to $14.8 million per product approved in the United States, European Union, and Japan for the treatment of a human disease that afflicts at least a specified number of patients in the aggregate in the United States, as well as potential commercial milestones of up to $54.0 million. In addition, we may be obligated to pay additional clinical and regulatory milestones of up to $4.1 million per product approved in the United States and at least one jurisdiction outside the Unites States for the treatment of human disease based on certain criteria, as well as potential commercial milestones of up to $36.0 million upon the occurrence of certain sales milestones per licensed product for the treatment of a rare disease meeting certain criteria.</w:t>
      </w:r>
    </w:p>
    <w:p>
      <w:pPr>
        <w:spacing w:after="0" w:line="174"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We also may be obligated to pay royalties of low single digit to low double digits as a percentage of net product sales depending on the terms of the applicable agreement.</w:t>
      </w:r>
    </w:p>
    <w:p>
      <w:pPr>
        <w:spacing w:after="0" w:line="186"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Under the terms of our collaboration with Juno Therapeutics, we received an upfront payment of $25.0 million from Juno Therapeutics. In addition, we will receive up to $22.0 million in research support over the next five years across the three programs under our collaboration, subject to adjustment in accordance with the terms of the agreement, and we are each obligated to use diligent efforts to perform all activities for which we are responsible under the collaboration.</w:t>
      </w:r>
    </w:p>
    <w:p>
      <w:pPr>
        <w:spacing w:after="0" w:line="197" w:lineRule="exact"/>
        <w:rPr>
          <w:sz w:val="20"/>
          <w:szCs w:val="20"/>
          <w:color w:val="auto"/>
        </w:rPr>
      </w:pPr>
    </w:p>
    <w:p>
      <w:pPr>
        <w:ind w:right="20" w:firstLine="615"/>
        <w:spacing w:after="0" w:line="318" w:lineRule="auto"/>
        <w:rPr>
          <w:sz w:val="20"/>
          <w:szCs w:val="20"/>
          <w:color w:val="auto"/>
        </w:rPr>
      </w:pPr>
      <w:r>
        <w:rPr>
          <w:rFonts w:ascii="Arial" w:cs="Arial" w:eastAsia="Arial" w:hAnsi="Arial"/>
          <w:sz w:val="15"/>
          <w:szCs w:val="15"/>
          <w:color w:val="auto"/>
        </w:rPr>
        <w:t>In November 2015, we entered into a real estate license agreement to sublease from the licensor additional laboratory space in Cambridge, Massachusetts. The term of the lease is from December 1, 2015 to November 30, 2016. Our contractual obligation related to lease payments over the term of the sublease is approximately $1.9 million. The sublease is cancelable upon no less than 30 days written notice, provided however, we remain liable to continue to pay the monthly rental fee for the remainder of the term unless the licensor can sublease the space. If the licensor can sublease the space to another party, we will be credited the lesser of (i) the rental fee paid by such party corresponding to the remainder of the term and (ii) 50% of the rental for the remainder of the term.</w:t>
      </w:r>
    </w:p>
    <w:p>
      <w:pPr>
        <w:spacing w:after="0" w:line="154"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We expect to enter into a lease for a new corporate headquarters in Cambridge, Massachusetts, to which we intend to relocate in September 2016. While we have not yet entered into the lease agreement, we expect that it will cover approximately 60,000 square feet of space for a term of 7 years, with anticipated cash payments of approximately $3.9 million per year in initial base rent, subject to a yearly base rent increase of 2.5%. We anticipate that we will also be responsible for additional cash payments under the lease to cover real estate taxes, utilities, and other operating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Securities and Exchange Commission rules.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1"/>
        <w:spacing w:after="0" w:line="310" w:lineRule="auto"/>
        <w:rPr>
          <w:sz w:val="20"/>
          <w:szCs w:val="20"/>
          <w:color w:val="auto"/>
        </w:rPr>
      </w:pPr>
      <w:r>
        <w:rPr>
          <w:rFonts w:ascii="Arial" w:cs="Arial" w:eastAsia="Arial" w:hAnsi="Arial"/>
          <w:sz w:val="15"/>
          <w:szCs w:val="15"/>
          <w:color w:val="auto"/>
        </w:rPr>
        <w:t>We are in the process of evaluating the benefits of relying on other exemptions and reduced reporting requirements under the JOBS Act. Subject to certain conditions, as an EGC, we intend to rely on certain of these exemptions, including without limitation, (1) 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 or SEC.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and Procedures</w:t>
      </w:r>
    </w:p>
    <w:p>
      <w:pPr>
        <w:spacing w:after="0" w:line="231"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In connection with the audit of our financial statements as of and for the year ended December 31, 2014 and the period ended December 31, 2013, we identified a material weakness in our internal control over financial reporting and errors in our financial statements. 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A material weakness is defined as a deficiency, or a combination of deficiencies, in internal control over financial reporting, such that there is a reasonable possibility that a material misstatement of our financial statements will not be prevented or detected on a timely basis. The material weakness that we identified was that we did not have competent accounting personnel to perform and oversee the accounting function in order to properly identify and evaluate the accounting for various technical matters that resulted in the errors in our financial statements.</w:t>
      </w:r>
    </w:p>
    <w:p>
      <w:pPr>
        <w:spacing w:after="0" w:line="174" w:lineRule="exact"/>
        <w:rPr>
          <w:sz w:val="20"/>
          <w:szCs w:val="20"/>
          <w:color w:val="auto"/>
        </w:rPr>
      </w:pPr>
    </w:p>
    <w:p>
      <w:pPr>
        <w:ind w:right="60" w:firstLine="615"/>
        <w:spacing w:after="0" w:line="287" w:lineRule="auto"/>
        <w:rPr>
          <w:sz w:val="20"/>
          <w:szCs w:val="20"/>
          <w:color w:val="auto"/>
        </w:rPr>
      </w:pPr>
      <w:r>
        <w:rPr>
          <w:rFonts w:ascii="Arial" w:cs="Arial" w:eastAsia="Arial" w:hAnsi="Arial"/>
          <w:sz w:val="16"/>
          <w:szCs w:val="16"/>
          <w:color w:val="auto"/>
        </w:rPr>
        <w:t>Management is taking steps to remediate the material weakness in our internal control over financial reporting, including identifying gaps in our skills base and expertise of the staff required to meet the financial reporting requirements of a public company, and designing and implementing improved processes and internal controls, including ongoing senior management review and audit committee oversight. We commenced measures to remediate the identified material weakness by hiring a full-time chief financial officer in early July 2015 and a full-time corporate controller with significant biotechnology industry experience later in the third quarter of 2015. During the third quarter of 2015, and in preparation for this offering, we continued to further implement various remediation efforts, including hiring additional resources with the appropriate public company and technical accounting expertise, including financial consultants, to assist with the evaluation and documentation of technical accounting matters, and plan to hire additional senior accounting personnel, including those with expertise in SEC reporting and internal controls. We will continue to evaluate our capabilities and performance and assess the need to hire additional or more specialized employees. Finally, we will continue to supplement our employee resources by leveraging external consultants who have specialized experience in the life sciences industry.</w:t>
      </w:r>
    </w:p>
    <w:p>
      <w:pPr>
        <w:spacing w:after="0" w:line="17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NASDAQ listing requirements, investors may lose confidence in our financial reporting,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may decline as a result. We also could become subject to investigations by NASDAQ, the SEC, or other regulatory authorities.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investments, an immediate 100 basis point change in interest rates would not have a material effect on the fair market value of our investments.</w:t>
      </w:r>
    </w:p>
    <w:p>
      <w:pPr>
        <w:spacing w:after="0" w:line="197"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186" w:lineRule="exact"/>
        <w:rPr>
          <w:sz w:val="20"/>
          <w:szCs w:val="20"/>
          <w:color w:val="auto"/>
        </w:rPr>
      </w:pPr>
    </w:p>
    <w:p>
      <w:pPr>
        <w:jc w:val="both"/>
        <w:ind w:right="240" w:firstLine="615"/>
        <w:spacing w:after="0" w:line="259" w:lineRule="auto"/>
        <w:rPr>
          <w:sz w:val="20"/>
          <w:szCs w:val="20"/>
          <w:color w:val="auto"/>
        </w:rPr>
      </w:pPr>
      <w:r>
        <w:rPr>
          <w:rFonts w:ascii="Arial" w:cs="Arial" w:eastAsia="Arial" w:hAnsi="Arial"/>
          <w:sz w:val="18"/>
          <w:szCs w:val="18"/>
          <w:color w:val="auto"/>
        </w:rPr>
        <w:t>Inflation would generally affect us by increasing our cost of labor and clinical trial costs. We do not believe that inflation had a material effect on our business, financial condition or results of operations during the period and year ended December 31, 2013 and 2014 and the nine months ended September 30, 2014 and September 30, 2015,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We are a leading genome editing company dedicated to treating patients with genetically defined diseases by correcting their disease-causing genes. We believe that we have entered a new era of genomic medicine as the growth of genomic information in recent decades has significantly expanded the understanding of genetically defined diseases. A new technology known as CRISPR (clustered, regularly interspaced short palindromic repeats)/Cas9 (CRISPR associated protein 9) has the potential to achieve precise, directed changes in DNA. The confluence of these two streams of scientific endeavor, understanding genetic defects and having the tools to be able to address them, creates the opportunity for us to achieve a longstanding goal of medicine: to treat the root causes of diseases at the genetic level. Our mission is to translate the promise of our science into a broad class of transformative genomic medicines to benefit the greatest number of patients.</w:t>
      </w:r>
    </w:p>
    <w:p>
      <w:pPr>
        <w:spacing w:after="0" w:line="201"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We are developing a proprietary genome editing platform based on CRISPR/Cas9 technology. CRISPR/Cas9 uses a protein-RNA complex composed of the Cas9 enzyme bound to a guide RNA molecule designed to recognize a particular DNA sequence that requires repair. Once there, the complex makes a specific cut in the DNA, ultimately triggering the cell's DNA repair machinery to address the genetic defect. Our platform consists of four interrelated components: nuclease engineering, delivery, control and specificity, and directed editing. These components are designed to develop medicines that specifically address a wide variety of genetic targets, reach the site of disease safely and effectively, tightly and specifically control the editing process, and drive the right kind of genetic repair. Our preclinical drug discovery platform uses the flexibility of CRISPR/Cas9 technology to enable rapid reprogramming of the Cas9-guide RNA complex with the potential to direct it to almost any site in the human genome. Using this platform, we aim to develop and advance a broad range of therapies for genetically defined diseases.</w:t>
      </w:r>
    </w:p>
    <w:p>
      <w:pPr>
        <w:spacing w:after="0" w:line="172" w:lineRule="exact"/>
        <w:rPr>
          <w:sz w:val="20"/>
          <w:szCs w:val="20"/>
          <w:color w:val="auto"/>
        </w:rPr>
      </w:pPr>
    </w:p>
    <w:p>
      <w:pPr>
        <w:ind w:right="80" w:firstLine="615"/>
        <w:spacing w:after="0" w:line="287" w:lineRule="auto"/>
        <w:rPr>
          <w:sz w:val="20"/>
          <w:szCs w:val="20"/>
          <w:color w:val="auto"/>
        </w:rPr>
      </w:pPr>
      <w:r>
        <w:rPr>
          <w:rFonts w:ascii="Arial" w:cs="Arial" w:eastAsia="Arial" w:hAnsi="Arial"/>
          <w:sz w:val="16"/>
          <w:szCs w:val="16"/>
          <w:color w:val="auto"/>
        </w:rPr>
        <w:t>Our product development strategy is to target genetically defined diseases with an initial focus on debilitating illnesses where there are no approved treatments and where the genetic basis of disease is well understood. We are advancing over a dozen discovery research programs that we have selected based on our assessment of the structure of the genetic mutation and edit required, our ability to deliver the product candidate to the site of disease, the severity of the disease, the ability to identify appropriate patients, and the availability of informative preclinical assays and models and suitable clinical endpoints. Our most advanced research program is designed to address Leber Congenital Amaurosis type 10, or LCA10, a specific genetic form of progressive blindness with no available therapies or potential treatments in clinical trials in either the United States or European Union. The localization of LCA10 disease in the eye allows us to efficiently apply our technology in a context that is confined and relatively uncomplicated compared to many of the systemic illnesses we also anticipate treating over time. We aim to initiate a clinical trial in this program in 2017. We believe achievement of proof-of-concept in a disease of the eye has the potential to validate our platform technology, including its potential application to other organs and diseases. Our additional research programs address genetic, infectious, and oncologic diseases of the liver, lung, blood, eye, and muscle.</w:t>
      </w:r>
    </w:p>
    <w:p>
      <w:pPr>
        <w:spacing w:after="0" w:line="177" w:lineRule="exact"/>
        <w:rPr>
          <w:sz w:val="20"/>
          <w:szCs w:val="20"/>
          <w:color w:val="auto"/>
        </w:rPr>
      </w:pPr>
    </w:p>
    <w:p>
      <w:pPr>
        <w:ind w:right="100" w:firstLine="611"/>
        <w:spacing w:after="0" w:line="254" w:lineRule="auto"/>
        <w:rPr>
          <w:sz w:val="20"/>
          <w:szCs w:val="20"/>
          <w:color w:val="auto"/>
        </w:rPr>
      </w:pPr>
      <w:r>
        <w:rPr>
          <w:rFonts w:ascii="Arial" w:cs="Arial" w:eastAsia="Arial" w:hAnsi="Arial"/>
          <w:sz w:val="18"/>
          <w:szCs w:val="18"/>
          <w:color w:val="auto"/>
        </w:rPr>
        <w:t>We believe our genome editing technologies have the potential to improve the characteristics of cellular therapies, including engineered T cells to treat cancer. To realize this potential, in May 2015, we entered into a collaboration with Juno Therapeutics, a leader in the emerging field of immuno-oncology. Under the collaboration, we received an upfront payment of $25.0 million and are eligible to receive research support of up to $22.0 million over the next five years across three programs and approximately $700 million in aggregate in potential research, regulatory, and commercial sales milestone payments for each of the first products developed in each of the three research programs. By working with Juno Therapeutics, we hope that together we will be able to discover and develop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next generation of engineered T cell therapies that have the potential to substantially advance the field of cancer immunotherapy. We believe this collaboration exemplifies our strategy of selectively establishing alliances with leaders in their fields to realize the full therapeutic potential of genome editing.</w:t>
      </w:r>
    </w:p>
    <w:p>
      <w:pPr>
        <w:spacing w:after="0" w:line="139" w:lineRule="exact"/>
        <w:rPr>
          <w:sz w:val="20"/>
          <w:szCs w:val="20"/>
          <w:color w:val="auto"/>
        </w:rPr>
      </w:pPr>
    </w:p>
    <w:p>
      <w:pPr>
        <w:ind w:right="40" w:firstLine="615"/>
        <w:spacing w:after="0" w:line="286" w:lineRule="auto"/>
        <w:rPr>
          <w:sz w:val="20"/>
          <w:szCs w:val="20"/>
          <w:color w:val="auto"/>
        </w:rPr>
      </w:pPr>
      <w:r>
        <w:rPr>
          <w:rFonts w:ascii="Arial" w:cs="Arial" w:eastAsia="Arial" w:hAnsi="Arial"/>
          <w:sz w:val="16"/>
          <w:szCs w:val="16"/>
          <w:color w:val="auto"/>
        </w:rPr>
        <w:t>Our company was founded by world leaders in genome editing, who are affiliated with institutions that include The Broad Institute of MIT and Harvard, Harvard University, Massachusetts Institute of Technology, and Massachusetts General Hospital. Through their service as consultants and advisors, our founders were instrumental in defining the initial scientific vision for our company. Collectively, our founders have made many fundamental discoveries in the field of genome editing and have enabled the translation of CRISPR from its origins in bacterial systems to its application in mammalian cells. Among our founders, Drs. Feng Zhang, George Church, David Liu, and J. Keith Joung continue to provide important scientific guidance and insights to us through ongoing consulting and advisory arrangements. Their discoveries, along with inventions by scientists at our company, have led to our broad portfolio of intellectual property, including the patent estates licensed from those founders' institutions. In connection with their consulting and advisory arrangements with us, Drs. Zhang, Church, Liu, and Joung have assignment of inventions obligations to us with respect to the services they perform for us, subject to limitations, including that such assignment obligations do not extend to their work in other fields or to the intellectual property arising from their employment with their respective academic and research institutions. Our portfolio includes 21 issued U.S. and European patents and over 200 pending patent applications. We believe the breadth and depth of our patent estate is a substantial asset and has the potential to provide us with a durable competitive position in the marketplace.</w:t>
      </w:r>
    </w:p>
    <w:p>
      <w:pPr>
        <w:spacing w:after="0" w:line="181"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We believe that our team and our culture are critical to our success. The lifeblood of our company is exceptional scientists and company-builders with experience across leading biopharmaceutical companies and academic research laboratories. Our company is distinguished by our leaders' substantial experience in translating groundbreaking scientific platforms into therapeutic products and product candidates at Adnexus Therapeutics, Alnylam Pharmaceuticals, Avila Therapeutics, Millennium Pharmaceuticals, and Novartis Pharmaceuticals. In addition, our board of directors has deep experience in guiding biotechnology companies through rapid growth and the development of complex, breakthrough science.</w:t>
      </w:r>
    </w:p>
    <w:p>
      <w:pPr>
        <w:spacing w:after="0" w:line="170"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Every decade over the past 40 years, an important class of medicines has emerged, such as recombinant proteins, monoclonal antibodies, and RNA-based drugs. These new categories of medicines have brought forth important therapies for previously untreated diseases. In our view, genome editing with CRISPR/Cas9 has the potential to be one of the next major new categories. At Editas Medicine, we believe we can make that potential a reality.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values are a critical foundation upon which we build this organization. These values are:</w:t>
      </w:r>
    </w:p>
    <w:p>
      <w:pPr>
        <w:spacing w:after="0" w:line="233"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8"/>
          <w:szCs w:val="18"/>
          <w:color w:val="auto"/>
        </w:rPr>
        <w:t>ommunity: One Team—Many Voices—Shared Mission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8"/>
          <w:szCs w:val="18"/>
          <w:color w:val="auto"/>
        </w:rPr>
        <w:t>esilience: Respect—Grow—Learn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8"/>
          <w:szCs w:val="18"/>
          <w:color w:val="auto"/>
        </w:rPr>
        <w:t>ngenuity: Be Bold—Answer Unknowns—Create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8"/>
          <w:szCs w:val="18"/>
          <w:color w:val="auto"/>
        </w:rPr>
        <w:t>cience: Impeccable—Rigorous—Meaningful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8"/>
          <w:szCs w:val="18"/>
          <w:color w:val="auto"/>
        </w:rPr>
        <w:t>assion: Love It—Do It—Own 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8"/>
          <w:szCs w:val="18"/>
          <w:color w:val="auto"/>
        </w:rPr>
        <w:t>evolution: Discover—Translate—Cure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380" w:firstLine="611"/>
        <w:spacing w:after="0" w:line="268" w:lineRule="auto"/>
        <w:rPr>
          <w:sz w:val="20"/>
          <w:szCs w:val="20"/>
          <w:color w:val="auto"/>
        </w:rPr>
      </w:pPr>
      <w:r>
        <w:rPr>
          <w:rFonts w:ascii="Arial" w:cs="Arial" w:eastAsia="Arial" w:hAnsi="Arial"/>
          <w:sz w:val="18"/>
          <w:szCs w:val="18"/>
          <w:color w:val="auto"/>
        </w:rPr>
        <w:t>We aim to transform the treatment of a broad range of genetically defined diseases by building an integrated genomic medicine company focused on creating a novel class of therapeutics to meet patients' needs. Key elements of our strategy are to:</w:t>
      </w:r>
    </w:p>
    <w:p>
      <w:pPr>
        <w:spacing w:after="0" w:line="193" w:lineRule="exact"/>
        <w:rPr>
          <w:sz w:val="20"/>
          <w:szCs w:val="20"/>
          <w:color w:val="auto"/>
        </w:rPr>
      </w:pPr>
    </w:p>
    <w:p>
      <w:pPr>
        <w:ind w:left="1080" w:right="60" w:hanging="532"/>
        <w:spacing w:after="0" w:line="25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Build the preeminent genomic medicine company</w:t>
      </w:r>
      <w:r>
        <w:rPr>
          <w:rFonts w:ascii="Arial" w:cs="Arial" w:eastAsia="Arial" w:hAnsi="Arial"/>
          <w:sz w:val="18"/>
          <w:szCs w:val="18"/>
          <w:color w:val="auto"/>
        </w:rPr>
        <w:t>. Developing a major new technology like CRISPR/Cas9 requires an exceptional</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We have assembled a group of world leaders in the fields of genome editing, gene therapy, nucleic acid pharmaceuticals, and orphan diseases. We will continue to build and expand our team to encompass all the capabilities needed to develop and commercialize medicines and to run an outstanding company.</w:t>
      </w:r>
    </w:p>
    <w:p>
      <w:pPr>
        <w:spacing w:after="0" w:line="217" w:lineRule="exact"/>
        <w:rPr>
          <w:rFonts w:ascii="Arial" w:cs="Arial" w:eastAsia="Arial" w:hAnsi="Arial"/>
          <w:sz w:val="18"/>
          <w:szCs w:val="18"/>
          <w:color w:val="auto"/>
        </w:rPr>
      </w:pPr>
    </w:p>
    <w:p>
      <w:pPr>
        <w:ind w:left="1080" w:right="100" w:hanging="532"/>
        <w:spacing w:after="0" w:line="255"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Advance therapeutic programs rapidly and rigorously to address patients' needs</w:t>
      </w:r>
      <w:r>
        <w:rPr>
          <w:rFonts w:ascii="Arial" w:cs="Arial" w:eastAsia="Arial" w:hAnsi="Arial"/>
          <w:sz w:val="18"/>
          <w:szCs w:val="18"/>
          <w:color w:val="auto"/>
        </w:rPr>
        <w:t>. Our strategy centers around developing medicines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genetic basis of disease is well understood and where we believe our approach can provide unique benefits by addressing the root cause of the disease. For example, we chose LCA10 as our first program due to the absence of therapeutic options and the amenability of the underlying mutation to genome editing. We believe our product development strategy will initially result in therapies for rare and orphan diseases that have the potential to advance rapidly and deliver substantial benefits for patients, and we aim to identify and advance product candidates into clinical trials on a consistent basis.</w:t>
      </w:r>
    </w:p>
    <w:p>
      <w:pPr>
        <w:spacing w:after="0" w:line="206" w:lineRule="exact"/>
        <w:rPr>
          <w:rFonts w:ascii="Arial" w:cs="Arial" w:eastAsia="Arial" w:hAnsi="Arial"/>
          <w:sz w:val="18"/>
          <w:szCs w:val="18"/>
          <w:color w:val="auto"/>
        </w:rPr>
      </w:pPr>
    </w:p>
    <w:p>
      <w:pPr>
        <w:ind w:left="1080" w:hanging="532"/>
        <w:spacing w:after="0" w:line="30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Perfect the tools to repair any broken gene</w:t>
      </w:r>
      <w:r>
        <w:rPr>
          <w:rFonts w:ascii="Arial" w:cs="Arial" w:eastAsia="Arial" w:hAnsi="Arial"/>
          <w:sz w:val="16"/>
          <w:szCs w:val="16"/>
          <w:color w:val="auto"/>
        </w:rPr>
        <w:t>. Our genome editing platform is composed of a broad set of tools that we use to design and optimize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for many different genetically defined diseases. We plan to continue to invest resources as we further expand the four interrelated components of our platform: nuclease engineering, delivery, control and specificity, and directed editing. We are developing new capabilities in each of these components so that we can fully realize the therapeutic potential of genome editing.</w:t>
      </w:r>
    </w:p>
    <w:p>
      <w:pPr>
        <w:spacing w:after="0" w:line="170" w:lineRule="exact"/>
        <w:rPr>
          <w:rFonts w:ascii="Arial" w:cs="Arial" w:eastAsia="Arial" w:hAnsi="Arial"/>
          <w:sz w:val="16"/>
          <w:szCs w:val="16"/>
          <w:color w:val="auto"/>
        </w:rPr>
      </w:pPr>
    </w:p>
    <w:p>
      <w:pPr>
        <w:jc w:val="both"/>
        <w:ind w:left="1080" w:right="140" w:hanging="532"/>
        <w:spacing w:after="0" w:line="262"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Accelerate the science of genome editing</w:t>
      </w:r>
      <w:r>
        <w:rPr>
          <w:rFonts w:ascii="Arial" w:cs="Arial" w:eastAsia="Arial" w:hAnsi="Arial"/>
          <w:sz w:val="18"/>
          <w:szCs w:val="18"/>
          <w:color w:val="auto"/>
        </w:rPr>
        <w:t>. Our founders and scientists are leaders in the extremely fast-moving field of genome editing. We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committed to maintaining and extending our leadership in this field while empowering the broader scientific field through continued internal and external investment in basic science and translational research in genome editing.</w:t>
      </w:r>
    </w:p>
    <w:p>
      <w:pPr>
        <w:spacing w:after="0" w:line="213" w:lineRule="exact"/>
        <w:rPr>
          <w:rFonts w:ascii="Arial" w:cs="Arial" w:eastAsia="Arial" w:hAnsi="Arial"/>
          <w:sz w:val="18"/>
          <w:szCs w:val="18"/>
          <w:color w:val="auto"/>
        </w:rPr>
      </w:pPr>
    </w:p>
    <w:p>
      <w:pPr>
        <w:jc w:val="both"/>
        <w:ind w:left="1080" w:right="20" w:hanging="532"/>
        <w:spacing w:after="0" w:line="262"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Collaborate to realize the full potential of genome editing to create medicines</w:t>
      </w:r>
      <w:r>
        <w:rPr>
          <w:rFonts w:ascii="Arial" w:cs="Arial" w:eastAsia="Arial" w:hAnsi="Arial"/>
          <w:sz w:val="18"/>
          <w:szCs w:val="18"/>
          <w:color w:val="auto"/>
        </w:rPr>
        <w:t>. Because of the broad potential for our technology, we have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continue to seek collaborations with pioneering companies, such as Juno Therapeutics, and with leading academic and research institutions to expand and improve the range of product candidates we discover and develop.</w:t>
      </w:r>
    </w:p>
    <w:p>
      <w:pPr>
        <w:spacing w:after="0" w:line="199" w:lineRule="exact"/>
        <w:rPr>
          <w:rFonts w:ascii="Arial" w:cs="Arial" w:eastAsia="Arial" w:hAnsi="Arial"/>
          <w:sz w:val="18"/>
          <w:szCs w:val="18"/>
          <w:color w:val="auto"/>
        </w:rPr>
      </w:pPr>
    </w:p>
    <w:p>
      <w:pPr>
        <w:ind w:left="1080" w:right="60" w:hanging="532"/>
        <w:spacing w:after="0" w:line="25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Commercialize products to bring new medicines to patients</w:t>
      </w:r>
      <w:r>
        <w:rPr>
          <w:rFonts w:ascii="Arial" w:cs="Arial" w:eastAsia="Arial" w:hAnsi="Arial"/>
          <w:sz w:val="18"/>
          <w:szCs w:val="18"/>
          <w:color w:val="auto"/>
        </w:rPr>
        <w:t>. We believe that therapies for genetically defined diseases can often be brought to</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through a small, targeted commercial organization without the need for a commercial partner. In these cases, we intend to commercialize our own products to retain the greatest value for shareholders. For any other products, we intend to maximize the commercial opportunity through selective partnering.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Focus—Genome Editing</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Humans possess a genome sequence of roughly three billion base pairs of nucleotides, the building blocks of the DNA double helix. DNA serves as the road map for cellular function. Small changes, or mutations, routinely occur in the base pairs of our DNA. At the molecular level, these mutations can be categorized as single base pair changes, small insertions or deletions, large deletions, duplications, or repetitive sequence expansions. A mutation could occur on one or both alleles, or copies, of a gene in a cell. In some cases, these mutations can lead to a failure to produce proteins that are necessary for normal function or the production of abnormal proteins, either of which can cause disease. Genetically defined diseases vary dramatically in their pathologies, their sites of manifestation, and the specific natures of their root causes. Currently, there are approximately 6,000 diseases that are known to be caused by genetic mutations. Familiar examples of genetically defined diseases include cystic fibrosis, Duchenne muscular dystrophy, Huntington's disease, retinitis pigmentosa, and sickle cell anemia.</w:t>
      </w:r>
    </w:p>
    <w:p>
      <w:pPr>
        <w:spacing w:after="0" w:line="199"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Major investments in the human genome project, clinical sample collection and characterization, and the subsequent development of low cost and rapid DNA sequencing and informatics tools have revolutionized the understanding of genetically defined diseases and paved the way for advancing the field of genomic medicine. For example, many diseases previously thought to be genetically complex in nature have now been re-categorized as several distinct diseases that present with similar clinical dispositions, but are caused by different single-gene defects. Diseases caused by single-gene defects are known as monogenic disorders. The identification of monogenic disorders has resulted in a shift towards therapeutic approaches targeted at specific mutations, as opposed to the symptom-specific or pathology-specific approaches of the past. We believe monogenic disorders are particularly suitable for treatment by genome editing because a single edit has the potential to correct the disease.</w:t>
      </w:r>
    </w:p>
    <w:p>
      <w:pPr>
        <w:spacing w:after="0" w:line="172" w:lineRule="exact"/>
        <w:rPr>
          <w:sz w:val="20"/>
          <w:szCs w:val="20"/>
          <w:color w:val="auto"/>
        </w:rPr>
      </w:pPr>
    </w:p>
    <w:p>
      <w:pPr>
        <w:ind w:right="120" w:firstLine="611"/>
        <w:spacing w:after="0" w:line="335" w:lineRule="auto"/>
        <w:rPr>
          <w:sz w:val="20"/>
          <w:szCs w:val="20"/>
          <w:color w:val="auto"/>
        </w:rPr>
      </w:pPr>
      <w:r>
        <w:rPr>
          <w:rFonts w:ascii="Arial" w:cs="Arial" w:eastAsia="Arial" w:hAnsi="Arial"/>
          <w:sz w:val="15"/>
          <w:szCs w:val="15"/>
          <w:color w:val="auto"/>
        </w:rPr>
        <w:t>While genetic defects are now recognized as the causes of many diseases, the vast majority of these diseases lack effective treatments. Of the estimated 6,000 diseases that are known to be caused by genetic mutations, we believe fewer than 5% are served by approved therapies. In some cases, these existing therapies only treat the symptoms of the disease. In other cases, existing therapies modify the course of disease, but do not address the underlying genetic defect.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Field of Genomic Medicine</w:t>
      </w:r>
    </w:p>
    <w:p>
      <w:pPr>
        <w:spacing w:after="0" w:line="225" w:lineRule="exact"/>
        <w:rPr>
          <w:sz w:val="20"/>
          <w:szCs w:val="20"/>
          <w:color w:val="auto"/>
        </w:rPr>
      </w:pPr>
    </w:p>
    <w:p>
      <w:pPr>
        <w:ind w:right="200" w:firstLine="615"/>
        <w:spacing w:after="0" w:line="298" w:lineRule="auto"/>
        <w:rPr>
          <w:sz w:val="20"/>
          <w:szCs w:val="20"/>
          <w:color w:val="auto"/>
        </w:rPr>
      </w:pPr>
      <w:r>
        <w:rPr>
          <w:rFonts w:ascii="Arial" w:cs="Arial" w:eastAsia="Arial" w:hAnsi="Arial"/>
          <w:sz w:val="16"/>
          <w:szCs w:val="16"/>
          <w:color w:val="auto"/>
        </w:rPr>
        <w:t>Genomic medicine harnesses the knowledge of genetics to guide the care of patients and create new therapies. There are several technologies that have the potential to create medicines in this field. These technologies can be grouped into two broad categories: gene augmentation and genome editing. Each approach seeks to address genetically defined diseases at the level of DNA. However, gene augmentation, which is commonly called gene therapy, and genome editing differ fundamentally with regard to the kind of genomic change they seek to accomplish.</w:t>
      </w:r>
    </w:p>
    <w:p>
      <w:pPr>
        <w:spacing w:after="0" w:line="167"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Gene therapy is an approach whereby a new gene is transferred into cells to augment a defective gene. This can either be through insertion of the new gene directly into a patient's DNA without specific regard to the site of insertion or delivering a piece of DNA to exist alongside the patient's genome without being integrated into it. Gene therapy transfers new DNA into cells, however it does not remove or modify the defective DNA and it generally introduces the new genetic material in a location where it is not subject to the cell's normal control and feedback mechanisms. This approach is suited for a finite set of genetically defined diseases.</w:t>
      </w:r>
    </w:p>
    <w:p>
      <w:pPr>
        <w:spacing w:after="0" w:line="197" w:lineRule="exact"/>
        <w:rPr>
          <w:sz w:val="20"/>
          <w:szCs w:val="20"/>
          <w:color w:val="auto"/>
        </w:rPr>
      </w:pPr>
    </w:p>
    <w:p>
      <w:pPr>
        <w:ind w:right="580" w:firstLine="615"/>
        <w:spacing w:after="0" w:line="268" w:lineRule="auto"/>
        <w:rPr>
          <w:sz w:val="20"/>
          <w:szCs w:val="20"/>
          <w:color w:val="auto"/>
        </w:rPr>
      </w:pPr>
      <w:r>
        <w:rPr>
          <w:rFonts w:ascii="Arial" w:cs="Arial" w:eastAsia="Arial" w:hAnsi="Arial"/>
          <w:sz w:val="18"/>
          <w:szCs w:val="18"/>
          <w:color w:val="auto"/>
        </w:rPr>
        <w:t xml:space="preserve">Genome editing is the process of revising, removing, or repairing defective DNA </w:t>
      </w:r>
      <w:r>
        <w:rPr>
          <w:rFonts w:ascii="Arial" w:cs="Arial" w:eastAsia="Arial" w:hAnsi="Arial"/>
          <w:sz w:val="18"/>
          <w:szCs w:val="18"/>
          <w:i w:val="1"/>
          <w:iCs w:val="1"/>
          <w:color w:val="auto"/>
        </w:rPr>
        <w:t>in situ</w:t>
      </w:r>
      <w:r>
        <w:rPr>
          <w:rFonts w:ascii="Arial" w:cs="Arial" w:eastAsia="Arial" w:hAnsi="Arial"/>
          <w:sz w:val="18"/>
          <w:szCs w:val="18"/>
          <w:color w:val="auto"/>
        </w:rPr>
        <w:t>. Genome editing corrects the defective DNA in its native location, and consequently the repaired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genetic region retains the cell's normal control and feedback mechanisms. The diversity of genetic drivers of disease demands a variety of solutions. Genome editing has the potential to deliver a variety of types of genome modification to address a broad range of genetically defined diseases.</w:t>
      </w:r>
    </w:p>
    <w:p>
      <w:pPr>
        <w:spacing w:after="0" w:line="139" w:lineRule="exact"/>
        <w:rPr>
          <w:sz w:val="20"/>
          <w:szCs w:val="20"/>
          <w:color w:val="auto"/>
        </w:rPr>
      </w:pPr>
    </w:p>
    <w:p>
      <w:pPr>
        <w:ind w:right="60" w:firstLine="605"/>
        <w:spacing w:after="0" w:line="255" w:lineRule="auto"/>
        <w:rPr>
          <w:sz w:val="20"/>
          <w:szCs w:val="20"/>
          <w:color w:val="auto"/>
        </w:rPr>
      </w:pPr>
      <w:r>
        <w:rPr>
          <w:rFonts w:ascii="Arial" w:cs="Arial" w:eastAsia="Arial" w:hAnsi="Arial"/>
          <w:sz w:val="18"/>
          <w:szCs w:val="18"/>
          <w:color w:val="auto"/>
        </w:rPr>
        <w:t>At its core, genome editing is a two-step process. In the first step, an enzyme is brought to the desired site and makes a specific cut. This enzyme, which is called a DNA endonuclease, is capable of cutting one or both strands in the double-stranded DNA. After the desired cut or cuts are made, the cell's DNA repair machinery responds to complete the edit through one of two possible mechanisms—non-homologous end joining or homology directed repair—that can be harnessed for therapeutic effect in a range of ways. These types of edits could be applied to one or both alleles of the gene in the cell depending on the nature of the mutation.</w:t>
      </w:r>
    </w:p>
    <w:p>
      <w:pPr>
        <w:spacing w:after="0" w:line="197"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first mechanism, non-homologous end joining, or NHEJ, occurs in the absence of a DNA template for the cell to copy as it repairs a DNA cut. The NHEJ response tends to leave small insertions and deletions at the cut site, collectively referred to as indels. The NHEJ mechanism can be used to either cut and revise the targeted gene or to cut and remove a segment of DNA, depending on how many cuts are made. In the "cut and revise" process, depicted on the left below, a single cut is made, which can result in the creation of an indel during the repair process. In the "cut and remove" process, depicted on the right below, two cuts are made, which results in the removal of the intervening segment and the joining of the two ends of DNA. This approach could be used to delete either a small or a large segment of DNA depending on the type of repair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115570</wp:posOffset>
            </wp:positionV>
            <wp:extent cx="3756025" cy="1054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5602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180" w:firstLine="611"/>
        <w:spacing w:after="0" w:line="256" w:lineRule="auto"/>
        <w:rPr>
          <w:sz w:val="20"/>
          <w:szCs w:val="20"/>
          <w:color w:val="auto"/>
        </w:rPr>
      </w:pPr>
      <w:r>
        <w:rPr>
          <w:rFonts w:ascii="Arial" w:cs="Arial" w:eastAsia="Arial" w:hAnsi="Arial"/>
          <w:sz w:val="18"/>
          <w:szCs w:val="18"/>
          <w:color w:val="auto"/>
        </w:rPr>
        <w:t>The second mechanism, homology directed repair, or HDR, occurs in the presence of a DNA template that is similar to the DNA that has been cut. The cell can use the template to construct reparative DNA, resulting in the replacement of defective genetic sequences with correct ones. This can be thought of as a "cut and replace" process. As shown in the example below, HDR is used to replace a defective sequence of GCACCTGAATG with the correct sequence of AGTCGCATCCC.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130810</wp:posOffset>
            </wp:positionV>
            <wp:extent cx="1629410" cy="10807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941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40" w:firstLine="611"/>
        <w:spacing w:after="0" w:line="294" w:lineRule="auto"/>
        <w:rPr>
          <w:sz w:val="20"/>
          <w:szCs w:val="20"/>
          <w:color w:val="auto"/>
        </w:rPr>
      </w:pPr>
      <w:r>
        <w:rPr>
          <w:rFonts w:ascii="Arial" w:cs="Arial" w:eastAsia="Arial" w:hAnsi="Arial"/>
          <w:sz w:val="16"/>
          <w:szCs w:val="16"/>
          <w:color w:val="auto"/>
        </w:rPr>
        <w:t>Whether NHEJ or HDR is likely to be more therapeutically effective depends on the nature of the targeted genetic defect. The ability of genome editing approaches to utilize both mechanisms provides the opportunity to develop therapies for larger patient populations and a broader range of indications than either of the individual mechanisms alone. Although many of our initial programs utilize the NHEJ mechanism, we believe that the combination of our investment in the science of HDR and the work we and others are doing to modulate how cells use different repair pathways has the potential to result in medicines that take advantage of either mechanism to arrive at the desired genomic correction.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Advantages of CRISPR/Cas9 for Genome Editing</w:t>
      </w:r>
    </w:p>
    <w:p>
      <w:pPr>
        <w:spacing w:after="0" w:line="225" w:lineRule="exact"/>
        <w:rPr>
          <w:sz w:val="20"/>
          <w:szCs w:val="20"/>
          <w:color w:val="auto"/>
        </w:rPr>
      </w:pPr>
    </w:p>
    <w:p>
      <w:pPr>
        <w:ind w:right="60" w:firstLine="615"/>
        <w:spacing w:after="0" w:line="298" w:lineRule="auto"/>
        <w:rPr>
          <w:sz w:val="20"/>
          <w:szCs w:val="20"/>
          <w:color w:val="auto"/>
        </w:rPr>
      </w:pPr>
      <w:r>
        <w:rPr>
          <w:rFonts w:ascii="Arial" w:cs="Arial" w:eastAsia="Arial" w:hAnsi="Arial"/>
          <w:sz w:val="16"/>
          <w:szCs w:val="16"/>
          <w:color w:val="auto"/>
        </w:rPr>
        <w:t>CRISPR/Cas9 technology uses a protein-RNA complex composed of an enzyme known as Cas9 bound to a guide RNA molecule that has been designed to recognize a particular DNA sequence. This recognition occurs when the appropriate portion of the guide RNA matches a DNA sequence, and when that DNA sequence is next to a short DNA sequence called the protospacer adjacent motif, or PAM. A PAM is part of the overall DNA pattern sought by the Cas9-guide RNA complex to recognize a location in the genome. We believe that CRISPR/Cas9 technology has three principal advantages for genome editing:</w:t>
      </w:r>
    </w:p>
    <w:p>
      <w:pPr>
        <w:spacing w:after="0" w:line="180" w:lineRule="exact"/>
        <w:rPr>
          <w:sz w:val="20"/>
          <w:szCs w:val="20"/>
          <w:color w:val="auto"/>
        </w:rPr>
      </w:pPr>
    </w:p>
    <w:p>
      <w:pPr>
        <w:ind w:left="1080" w:hanging="532"/>
        <w:spacing w:after="0" w:line="290"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Rapid, comprehensive, and systematic identification of product candidates. </w:t>
      </w:r>
      <w:r>
        <w:rPr>
          <w:rFonts w:ascii="Arial" w:cs="Arial" w:eastAsia="Arial" w:hAnsi="Arial"/>
          <w:sz w:val="16"/>
          <w:szCs w:val="16"/>
          <w:color w:val="auto"/>
        </w:rPr>
        <w:t>The key targeting mechanism for the Cas9 nuclease is an engineered</w:t>
      </w:r>
      <w:r>
        <w:rPr>
          <w:rFonts w:ascii="Arial" w:cs="Arial" w:eastAsia="Arial" w:hAnsi="Arial"/>
          <w:sz w:val="16"/>
          <w:szCs w:val="16"/>
          <w:i w:val="1"/>
          <w:iCs w:val="1"/>
          <w:color w:val="auto"/>
        </w:rPr>
        <w:t xml:space="preserve"> </w:t>
      </w:r>
      <w:r>
        <w:rPr>
          <w:rFonts w:ascii="Arial" w:cs="Arial" w:eastAsia="Arial" w:hAnsi="Arial"/>
          <w:sz w:val="16"/>
          <w:szCs w:val="16"/>
          <w:color w:val="auto"/>
        </w:rPr>
        <w:t>guide RNA, which can be rapidly replaced with a different guide RNA or optimized by changes as small as a single nucleotide. This allows for the flexible design, synthesis, and testing of hundreds of guide RNA/Cas9 combinations for each genetic target in order to find those that cut the DNA target with the optimal efficiency and specificity. In contrast, other commonly used DNA nucleases for genome editing have inherently limited flexibility. For example, zinc finger nucleases, engineered meganucleases, and transcription activator-like effector nucleases, or TALENs, use proteins for DNA sequence recognition to bring the endonuclease to the site of the genome where cleavage is desired, requiring the creation of an entirely new protein for each target site.</w:t>
      </w:r>
    </w:p>
    <w:p>
      <w:pPr>
        <w:spacing w:after="0" w:line="199" w:lineRule="exact"/>
        <w:rPr>
          <w:rFonts w:ascii="Arial" w:cs="Arial" w:eastAsia="Arial" w:hAnsi="Arial"/>
          <w:sz w:val="16"/>
          <w:szCs w:val="16"/>
          <w:color w:val="auto"/>
        </w:rPr>
      </w:pPr>
    </w:p>
    <w:p>
      <w:pPr>
        <w:ind w:left="1080" w:right="140" w:hanging="532"/>
        <w:spacing w:after="0" w:line="255"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Simultaneous and efficient targeting of multiple sites. </w:t>
      </w:r>
      <w:r>
        <w:rPr>
          <w:rFonts w:ascii="Arial" w:cs="Arial" w:eastAsia="Arial" w:hAnsi="Arial"/>
          <w:sz w:val="18"/>
          <w:szCs w:val="18"/>
          <w:color w:val="auto"/>
        </w:rPr>
        <w:t>In CRISPR/Cas9 technology, multiple guide RNAs can be provided, enabling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simultaneous and efficient targeting of multiple sites. This ability to target multiple DNA sequences expands the applicability of CRISPR/Cas9 technology and also creates the potential for self-regulating systems that improve on the specificity of genome editing. To address more than one target, other genome editing technologies require the engineering, characterization, manufacture, and delivery of distinct nuclease proteins for each target.</w:t>
      </w:r>
    </w:p>
    <w:p>
      <w:pPr>
        <w:spacing w:after="0" w:line="210" w:lineRule="exact"/>
        <w:rPr>
          <w:rFonts w:ascii="Arial" w:cs="Arial" w:eastAsia="Arial" w:hAnsi="Arial"/>
          <w:sz w:val="18"/>
          <w:szCs w:val="18"/>
          <w:color w:val="auto"/>
        </w:rPr>
      </w:pPr>
    </w:p>
    <w:p>
      <w:pPr>
        <w:ind w:left="1080" w:right="160" w:hanging="532"/>
        <w:spacing w:after="0" w:line="289"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Availability of different types of edits. </w:t>
      </w:r>
      <w:r>
        <w:rPr>
          <w:rFonts w:ascii="Arial" w:cs="Arial" w:eastAsia="Arial" w:hAnsi="Arial"/>
          <w:sz w:val="16"/>
          <w:szCs w:val="16"/>
          <w:color w:val="auto"/>
        </w:rPr>
        <w:t>The availability of the different engineered variants of Cas9 allows for different types of cuts for genome</w:t>
      </w:r>
      <w:r>
        <w:rPr>
          <w:rFonts w:ascii="Arial" w:cs="Arial" w:eastAsia="Arial" w:hAnsi="Arial"/>
          <w:sz w:val="16"/>
          <w:szCs w:val="16"/>
          <w:i w:val="1"/>
          <w:iCs w:val="1"/>
          <w:color w:val="auto"/>
        </w:rPr>
        <w:t xml:space="preserve"> </w:t>
      </w:r>
      <w:r>
        <w:rPr>
          <w:rFonts w:ascii="Arial" w:cs="Arial" w:eastAsia="Arial" w:hAnsi="Arial"/>
          <w:sz w:val="16"/>
          <w:szCs w:val="16"/>
          <w:color w:val="auto"/>
        </w:rPr>
        <w:t>editing, including cuts of both strands of the DNA or either the top or the bottom strand only. In the most broadly exploited genome editing CRISPR systems, the protein endonuclease is a single protein, Cas9, which contains two independent endonuclease sites each responsible for cutting one of the two DNA strands. Importantly, either or both of these sites can be rendered inactive by making specific changes to the Cas9 protein. When one site is rendered inactive, the resulting protein makes either one cut on the top or bottom strand, which is referred to as a nick. This may be a critical component of improved HDR-driven approaches because the type of DNA cut can influence the type of repair mechanism used by a cell in response to that cut. We believe the ability to modify CRISPR/Cas9 technology to allow for different types of cuts will expand the potential of our genome editing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Our Genome Editing Platform</w:t>
      </w:r>
    </w:p>
    <w:p>
      <w:pPr>
        <w:spacing w:after="0" w:line="23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order to fully realize the broad potential of CRISPR/Cas9 technology in developing genome editing medicines, we believe we must achieve each of the following four goals:</w:t>
      </w:r>
    </w:p>
    <w:p>
      <w:pPr>
        <w:spacing w:after="0" w:line="19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specifically edit a wide range of mutations at different genomic locations,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reach the site of disease,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tightly control the cutting,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achieve the right repair.</w:t>
      </w:r>
    </w:p>
    <w:p>
      <w:pPr>
        <w:spacing w:after="0" w:line="225" w:lineRule="exact"/>
        <w:rPr>
          <w:sz w:val="20"/>
          <w:szCs w:val="20"/>
          <w:color w:val="auto"/>
        </w:rPr>
      </w:pPr>
    </w:p>
    <w:p>
      <w:pPr>
        <w:ind w:right="100" w:firstLine="611"/>
        <w:spacing w:after="0" w:line="256" w:lineRule="auto"/>
        <w:rPr>
          <w:sz w:val="20"/>
          <w:szCs w:val="20"/>
          <w:color w:val="auto"/>
        </w:rPr>
      </w:pPr>
      <w:r>
        <w:rPr>
          <w:rFonts w:ascii="Arial" w:cs="Arial" w:eastAsia="Arial" w:hAnsi="Arial"/>
          <w:sz w:val="18"/>
          <w:szCs w:val="18"/>
          <w:color w:val="auto"/>
        </w:rPr>
        <w:t>We are developing a proprietary genome editing platform consisting of four interrelated components that are designed to meet these goals. Each component is underpinned by several specific technologies and capabilities. With our platform we are able to design and optimize each element of the product configuration necessary to achieve the desired edit, including the Cas9 variant, the sequence and structure of the guide RNA(s), the delivery vector, and elements to control expression in cells or to drive the desired repair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130810</wp:posOffset>
            </wp:positionV>
            <wp:extent cx="5617210" cy="2804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1721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80" w:hanging="532"/>
        <w:spacing w:after="0" w:line="287"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Nuclease Engineering</w:t>
      </w:r>
      <w:r>
        <w:rPr>
          <w:rFonts w:ascii="Arial" w:cs="Arial" w:eastAsia="Arial" w:hAnsi="Arial"/>
          <w:sz w:val="16"/>
          <w:szCs w:val="16"/>
          <w:color w:val="auto"/>
        </w:rPr>
        <w:t>: We use our genome editing platform to identify and optimize both Cas9 enzymes and guide RNA molecules to create what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will be the optimal Cas9-guide RNA complex for a given disease target. We have made substantial advances in the characterization and modification of different natural and engineered variants of Cas9 enzymes and in the design, synthesis, modification, analysis, and characterization of guide RNAs. We believe the diversity of the Cas9 enzymes that we are currently employing and those that we are continuing to further develop have the potential to provide us with a competitive advantage as we develop a range of products with different technical needs. We believe our systematic approach to measurement of both the efficiency and specificity of multiple possible Cas9 enzyme and guide RNA combinations enables us to optimize the identification of lead molecules to progress into more advanced testing. Our aim is to continue to develop new engineered Cas9 enzymes with altered specificities, different DNA cutting capabilities, and additional advanced properties. We believe that further developing our nuclease engineering capabilities will allow us to further broaden the range of diseases we can treat while at the same time ensuring that our products have the best possible safety profiles.</w:t>
      </w:r>
    </w:p>
    <w:p>
      <w:pPr>
        <w:spacing w:after="0" w:line="190" w:lineRule="exact"/>
        <w:rPr>
          <w:rFonts w:ascii="Arial" w:cs="Arial" w:eastAsia="Arial" w:hAnsi="Arial"/>
          <w:sz w:val="16"/>
          <w:szCs w:val="16"/>
          <w:color w:val="auto"/>
        </w:rPr>
      </w:pPr>
    </w:p>
    <w:p>
      <w:pPr>
        <w:ind w:left="1080" w:right="120" w:hanging="532"/>
        <w:spacing w:after="0" w:line="25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Delivery</w:t>
      </w:r>
      <w:r>
        <w:rPr>
          <w:rFonts w:ascii="Arial" w:cs="Arial" w:eastAsia="Arial" w:hAnsi="Arial"/>
          <w:sz w:val="18"/>
          <w:szCs w:val="18"/>
          <w:color w:val="auto"/>
        </w:rPr>
        <w:t>: An appropriate product configuration must be designed and optimized to provide efficient and tightly controlled delivery to the desired</w:t>
      </w:r>
      <w:r>
        <w:rPr>
          <w:rFonts w:ascii="Arial" w:cs="Arial" w:eastAsia="Arial" w:hAnsi="Arial"/>
          <w:sz w:val="18"/>
          <w:szCs w:val="18"/>
          <w:i w:val="1"/>
          <w:iCs w:val="1"/>
          <w:color w:val="auto"/>
        </w:rPr>
        <w:t xml:space="preserve"> </w:t>
      </w:r>
      <w:r>
        <w:rPr>
          <w:rFonts w:ascii="Arial" w:cs="Arial" w:eastAsia="Arial" w:hAnsi="Arial"/>
          <w:sz w:val="18"/>
          <w:szCs w:val="18"/>
          <w:color w:val="auto"/>
        </w:rPr>
        <w:t>tissue or cell type. Our strategy is to leverage existing delivery technologies to target cell types of interest while developing next generation capabilities as warranted. We are currently exploring, and will continue to explore, a variety of delivery approaches, including adeno-associated virus, or AAV,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60"/>
        <w:spacing w:after="0" w:line="306" w:lineRule="auto"/>
        <w:rPr>
          <w:sz w:val="20"/>
          <w:szCs w:val="20"/>
          <w:color w:val="auto"/>
        </w:rPr>
      </w:pPr>
      <w:r>
        <w:rPr>
          <w:rFonts w:ascii="Arial" w:cs="Arial" w:eastAsia="Arial" w:hAnsi="Arial"/>
          <w:sz w:val="16"/>
          <w:szCs w:val="16"/>
          <w:color w:val="auto"/>
        </w:rPr>
        <w:t>lipid nanoparticles. In addition, there are three types of molecules that we can deliver to a cell to effect genome editing: DNA, RNA, or a ribonucleoprotein (RNP). Our genome editing platform includes multiple, modular delivery modes that can be efficiently adapted to deliver different CRISPR/Cas9 genome editing components to address the specific needs of each disease targeted.</w:t>
      </w:r>
    </w:p>
    <w:p>
      <w:pPr>
        <w:spacing w:after="0" w:line="174" w:lineRule="exact"/>
        <w:rPr>
          <w:sz w:val="20"/>
          <w:szCs w:val="20"/>
          <w:color w:val="auto"/>
        </w:rPr>
      </w:pPr>
    </w:p>
    <w:p>
      <w:pPr>
        <w:ind w:left="1080" w:right="20" w:hanging="532"/>
        <w:spacing w:after="0" w:line="256"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Control and Specificity</w:t>
      </w:r>
      <w:r>
        <w:rPr>
          <w:rFonts w:ascii="Arial" w:cs="Arial" w:eastAsia="Arial" w:hAnsi="Arial"/>
          <w:sz w:val="18"/>
          <w:szCs w:val="18"/>
          <w:color w:val="auto"/>
        </w:rPr>
        <w:t>: Control of cellular exposure to the Cas9-guide RNA complex and specificity of the DNA cut are important to optimizing</w:t>
      </w:r>
      <w:r>
        <w:rPr>
          <w:rFonts w:ascii="Arial" w:cs="Arial" w:eastAsia="Arial" w:hAnsi="Arial"/>
          <w:sz w:val="18"/>
          <w:szCs w:val="18"/>
          <w:i w:val="1"/>
          <w:iCs w:val="1"/>
          <w:color w:val="auto"/>
        </w:rPr>
        <w:t xml:space="preserve"> </w:t>
      </w:r>
      <w:r>
        <w:rPr>
          <w:rFonts w:ascii="Arial" w:cs="Arial" w:eastAsia="Arial" w:hAnsi="Arial"/>
          <w:sz w:val="18"/>
          <w:szCs w:val="18"/>
          <w:color w:val="auto"/>
        </w:rPr>
        <w:t>the location and duration of editing activity. We believe these features are critical to designing medicines that are both safe and effective, and we are developing and applying technologies in both areas. We have implemented multiple, discrete analytical methods that provide comprehensive and unbiased assessments of specificity to minimize off-target effects.</w:t>
      </w:r>
    </w:p>
    <w:p>
      <w:pPr>
        <w:spacing w:after="0" w:line="224"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Directed Editing</w:t>
      </w:r>
      <w:r>
        <w:rPr>
          <w:rFonts w:ascii="Arial" w:cs="Arial" w:eastAsia="Arial" w:hAnsi="Arial"/>
          <w:sz w:val="18"/>
          <w:szCs w:val="18"/>
          <w:color w:val="auto"/>
        </w:rPr>
        <w:t>: There are different mechanisms that a cell can use to repair cuts in DNA. Each mechanism results in different kinds of genetic</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We are developing approaches to selectively harness specific DNA repair mechanisms to be able to drive the appropriate type of repair for a given disease. The ability to direct the DNA repair mechanism is critical to achieving the broadest potential for our platform. We believe that our ability to understand and direct the repair mechanisms used by cells creates opportunities to improve our existing programs and opens up new opportunities to develop medicines.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All of our research programs have emerged from our proprietary genome editing platform.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Development Criteria</w:t>
      </w:r>
    </w:p>
    <w:p>
      <w:pPr>
        <w:spacing w:after="0" w:line="231" w:lineRule="exact"/>
        <w:rPr>
          <w:sz w:val="20"/>
          <w:szCs w:val="20"/>
          <w:color w:val="auto"/>
        </w:rPr>
      </w:pPr>
    </w:p>
    <w:p>
      <w:pPr>
        <w:ind w:firstLine="611"/>
        <w:spacing w:after="0" w:line="332" w:lineRule="auto"/>
        <w:rPr>
          <w:sz w:val="20"/>
          <w:szCs w:val="20"/>
          <w:color w:val="auto"/>
        </w:rPr>
      </w:pPr>
      <w:r>
        <w:rPr>
          <w:rFonts w:ascii="Arial" w:cs="Arial" w:eastAsia="Arial" w:hAnsi="Arial"/>
          <w:sz w:val="16"/>
          <w:szCs w:val="16"/>
          <w:color w:val="auto"/>
        </w:rPr>
        <w:t>We are targeting genetically defined diseases with a focus on debilitating illnesses where there are no approved treatments and where the genetic basis of the disease is well understood. Our comprehensive project evaluation and selection process takes into consideration the following criteria:</w:t>
      </w:r>
    </w:p>
    <w:p>
      <w:pPr>
        <w:spacing w:after="0" w:line="153"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Medical need</w:t>
      </w:r>
      <w:r>
        <w:rPr>
          <w:rFonts w:ascii="Arial" w:cs="Arial" w:eastAsia="Arial" w:hAnsi="Arial"/>
          <w:sz w:val="18"/>
          <w:szCs w:val="18"/>
          <w:color w:val="auto"/>
        </w:rPr>
        <w:t>—lack of approved therapies and disease severity;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Opportunity for genome editing</w:t>
      </w:r>
      <w:r>
        <w:rPr>
          <w:rFonts w:ascii="Arial" w:cs="Arial" w:eastAsia="Arial" w:hAnsi="Arial"/>
          <w:sz w:val="18"/>
          <w:szCs w:val="18"/>
          <w:color w:val="auto"/>
        </w:rPr>
        <w:t>—other therapeutic approaches unlikely to be helpful;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Nature of genetic mutation—</w:t>
      </w:r>
      <w:r>
        <w:rPr>
          <w:rFonts w:ascii="Arial" w:cs="Arial" w:eastAsia="Arial" w:hAnsi="Arial"/>
          <w:sz w:val="18"/>
          <w:szCs w:val="18"/>
          <w:color w:val="auto"/>
        </w:rPr>
        <w:t>whether the mutation is accessible and can be feasibly corrected;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Delivery modality—</w:t>
      </w:r>
      <w:r>
        <w:rPr>
          <w:rFonts w:ascii="Arial" w:cs="Arial" w:eastAsia="Arial" w:hAnsi="Arial"/>
          <w:sz w:val="18"/>
          <w:szCs w:val="18"/>
          <w:color w:val="auto"/>
        </w:rPr>
        <w:t>whether the delivery modality has been shown to be safe in patients;</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Pathophysiology of the disease and treatment window</w:t>
      </w:r>
      <w:r>
        <w:rPr>
          <w:rFonts w:ascii="Arial" w:cs="Arial" w:eastAsia="Arial" w:hAnsi="Arial"/>
          <w:sz w:val="18"/>
          <w:szCs w:val="18"/>
          <w:color w:val="auto"/>
        </w:rPr>
        <w:t>—presence of viable cells that can be edited as the disease progresses and potential for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through genome editing;</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Safety and therapeutic index—</w:t>
      </w:r>
      <w:r>
        <w:rPr>
          <w:rFonts w:ascii="Arial" w:cs="Arial" w:eastAsia="Arial" w:hAnsi="Arial"/>
          <w:sz w:val="18"/>
          <w:szCs w:val="18"/>
          <w:color w:val="auto"/>
        </w:rPr>
        <w:t>ability to assess, monitor, and/or minimize safety risks given the biology of the disease and the anticipated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system;</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Clinical development path</w:t>
      </w:r>
      <w:r>
        <w:rPr>
          <w:rFonts w:ascii="Arial" w:cs="Arial" w:eastAsia="Arial" w:hAnsi="Arial"/>
          <w:sz w:val="18"/>
          <w:szCs w:val="18"/>
          <w:color w:val="auto"/>
        </w:rPr>
        <w:t>—consideration of factors such as availability of patients, speed of disease progression, and robust and measurable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endpoints;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Regulatory path</w:t>
      </w:r>
      <w:r>
        <w:rPr>
          <w:rFonts w:ascii="Arial" w:cs="Arial" w:eastAsia="Arial" w:hAnsi="Arial"/>
          <w:sz w:val="18"/>
          <w:szCs w:val="18"/>
          <w:color w:val="auto"/>
        </w:rPr>
        <w:t>—existence of safety and tolerability models as well as suitable clinical endpoints;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Commercial opportunity—</w:t>
      </w:r>
      <w:r>
        <w:rPr>
          <w:rFonts w:ascii="Arial" w:cs="Arial" w:eastAsia="Arial" w:hAnsi="Arial"/>
          <w:sz w:val="16"/>
          <w:szCs w:val="16"/>
          <w:color w:val="auto"/>
        </w:rPr>
        <w:t>assessment of potential market, including patient population, competitive landscape, and reimbursement.</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We believe our systematic approach to developing medicines based on CRISPR/Cas9 technology provides opportunities across a range of different genetically defined diseases. We aim to develop and commercialize biologic medicines for patients with these types of diseases. Where appropriate or necessary, we may do so in collaboration with strategic partners. If successful, we believe our research programs have the potential to yield therapies comprising a combination of elements that may include protein, DNA, and RNA components, which are collectively often referred to as biologics, and which differ from traditional small molecule pharmaceuticals in their greater complexity of manufacturing and delivery. As shown below, as we expand the technical capabilities of our platform, the number of potential patients and range of diseases that can potentially be addressed will grow. Our first programs to develop genome editing medicines take advantage of the efficiency of making either NHEJ-mediated indels or NHEJ-mediated deletions of small segments between two cuts. Over time, we expect to expand the repertoire of clinically feasible edits, including increasing larger NHEJ-mediated deletions and more complex, HDR-mediated edits. We also intend to develop the ability to achieve HDR-mediated replacement of entire DNA segments, which we believe will enable substantial expansion of the number of patients we can treat.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117475</wp:posOffset>
            </wp:positionV>
            <wp:extent cx="4639310" cy="37820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39310"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Genomic Medicine Programs</w:t>
      </w:r>
    </w:p>
    <w:p>
      <w:pPr>
        <w:spacing w:after="0" w:line="231" w:lineRule="exact"/>
        <w:rPr>
          <w:sz w:val="20"/>
          <w:szCs w:val="20"/>
          <w:color w:val="auto"/>
        </w:rPr>
      </w:pPr>
    </w:p>
    <w:p>
      <w:pPr>
        <w:ind w:right="40" w:firstLine="611"/>
        <w:spacing w:after="0" w:line="294" w:lineRule="auto"/>
        <w:rPr>
          <w:sz w:val="20"/>
          <w:szCs w:val="20"/>
          <w:color w:val="auto"/>
        </w:rPr>
      </w:pPr>
      <w:r>
        <w:rPr>
          <w:rFonts w:ascii="Arial" w:cs="Arial" w:eastAsia="Arial" w:hAnsi="Arial"/>
          <w:sz w:val="16"/>
          <w:szCs w:val="16"/>
          <w:color w:val="auto"/>
        </w:rPr>
        <w:t xml:space="preserve">We have initiated a diversified range of research programs across multiple therapeutic areas. Since our scientific strategy is to optimize our genome editing platform in the context of specific product development efforts, we selected early programs requiring several different types of genome editing and DNA repair—both NHEJ and HDR. Furthermore, our initial programs use, and will allow us to further optimize, a range of delivery modalities such as local injection, including using an AAV vector, 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genome modification, where cells are removed from the body, edited, and given back to the patient. We believe the therapeutic programs and delivery technologies we have chosen to date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will demonstrate the depth and breadth of our ability to deploy our genome editing platform to treat patients in need. The current status of our programs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32416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6613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Eye Diseases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Leber Congenital Amaurosis 10</w:t>
      </w:r>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Leber Congenital Amaurosis, or LCA, is a heterogeneous group of inherited retinal dystrophies caused by mutations in at least 18 different genes and is the most common cause of inherited childhood blindness, with an incidence of two to three per 100,000 live births worldwide. Symptoms of LCA appear within the first year of life with significant vision loss, rapid involuntary movements of the eyes, and absence of measurable electroretinogram recordings due to progressive loss of photoreceptor cells. Imaging studies of LCA patients have shown that the intracranial visual pathways remain intact into early adulthood even though photoreceptor cells have already experienced damage. As a result, we believe that therapeutic approaches aimed at restoring function of the remaining photoreceptor cells could arrest the further loss of vision in LCA patients, provided that treatment can be initiated prior to complete vision loss.</w:t>
      </w:r>
    </w:p>
    <w:p>
      <w:pPr>
        <w:spacing w:after="0" w:line="174"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most common form of the disease, referred to as LCA10, is a monogenic disorder and represents approximately 20-30% of all LCA subtypes. LCA10 is caused by an autosomal recessive mutation in the gene CEP290, which encodes a protein required for the survival and proper function of photoreceptor cells. The most frequently found mutation within the CEP290 gene is an A to G nucleotide change that disrupts normal splicing, or processing, of the gene, ultimately resulting in the generation of a smaller and nonfunctional protein. Decreased CEP290 function leads to loss of photoreceptor cells over time which leads to blindness.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assessed LCA10 comprehensively and found that it fits well with our genome editing approach and criteria to product development. These criteria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32" w:lineRule="exact"/>
        <w:rPr>
          <w:sz w:val="20"/>
          <w:szCs w:val="20"/>
          <w:color w:val="auto"/>
        </w:rPr>
      </w:pPr>
    </w:p>
    <w:p>
      <w:pPr>
        <w:ind w:left="1080" w:right="2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Medical need: </w:t>
      </w:r>
      <w:r>
        <w:rPr>
          <w:rFonts w:ascii="Arial" w:cs="Arial" w:eastAsia="Arial" w:hAnsi="Arial"/>
          <w:sz w:val="18"/>
          <w:szCs w:val="18"/>
          <w:color w:val="auto"/>
        </w:rPr>
        <w:t>Currently, there is no approved treatment or potential therapy in clinical trials in either the United States or European Union for</w:t>
      </w:r>
      <w:r>
        <w:rPr>
          <w:rFonts w:ascii="Arial" w:cs="Arial" w:eastAsia="Arial" w:hAnsi="Arial"/>
          <w:sz w:val="18"/>
          <w:szCs w:val="18"/>
          <w:i w:val="1"/>
          <w:iCs w:val="1"/>
          <w:color w:val="auto"/>
        </w:rPr>
        <w:t xml:space="preserve"> </w:t>
      </w:r>
      <w:r>
        <w:rPr>
          <w:rFonts w:ascii="Arial" w:cs="Arial" w:eastAsia="Arial" w:hAnsi="Arial"/>
          <w:sz w:val="18"/>
          <w:szCs w:val="18"/>
          <w:color w:val="auto"/>
        </w:rPr>
        <w:t>LCA10, and complete vision loss is the inevitable outcome;</w:t>
      </w:r>
    </w:p>
    <w:p>
      <w:pPr>
        <w:spacing w:after="0" w:line="21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Opportunity for genome editing: </w:t>
      </w:r>
      <w:r>
        <w:rPr>
          <w:rFonts w:ascii="Arial" w:cs="Arial" w:eastAsia="Arial" w:hAnsi="Arial"/>
          <w:sz w:val="16"/>
          <w:szCs w:val="16"/>
          <w:color w:val="auto"/>
        </w:rPr>
        <w:t>Gene therapy is not currently a viable approach to treating LCA10 because it requires delivery of the entire DNA</w:t>
      </w:r>
      <w:r>
        <w:rPr>
          <w:rFonts w:ascii="Arial" w:cs="Arial" w:eastAsia="Arial" w:hAnsi="Arial"/>
          <w:sz w:val="16"/>
          <w:szCs w:val="16"/>
          <w:i w:val="1"/>
          <w:iCs w:val="1"/>
          <w:color w:val="auto"/>
        </w:rPr>
        <w:t xml:space="preserve"> </w:t>
      </w:r>
      <w:r>
        <w:rPr>
          <w:rFonts w:ascii="Arial" w:cs="Arial" w:eastAsia="Arial" w:hAnsi="Arial"/>
          <w:sz w:val="16"/>
          <w:szCs w:val="16"/>
          <w:color w:val="auto"/>
        </w:rPr>
        <w:t>coding sequence for CEP290, which is too large to fit into the best-characterized ocular gene therapy vector, AAV. In contrast, genome editing only requires delivery of the DNA coding sequence for the relevant Cas9-guide RNA complex, which can fit into AAV;</w:t>
      </w:r>
    </w:p>
    <w:p>
      <w:pPr>
        <w:spacing w:after="0" w:line="174" w:lineRule="exact"/>
        <w:rPr>
          <w:rFonts w:ascii="Arial" w:cs="Arial" w:eastAsia="Arial" w:hAnsi="Arial"/>
          <w:sz w:val="16"/>
          <w:szCs w:val="16"/>
          <w:color w:val="auto"/>
        </w:rPr>
      </w:pPr>
    </w:p>
    <w:p>
      <w:pPr>
        <w:ind w:left="1080" w:right="30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Nature of genetic mutation</w:t>
      </w:r>
      <w:r>
        <w:rPr>
          <w:rFonts w:ascii="Arial" w:cs="Arial" w:eastAsia="Arial" w:hAnsi="Arial"/>
          <w:sz w:val="16"/>
          <w:szCs w:val="16"/>
          <w:color w:val="auto"/>
        </w:rPr>
        <w:t>: The A to G nucleotide change in the CEP290 gene is located in an intron, which is a portion of DNA that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code for a protein. This allows genome editing via NHEJ with reduced risk of altering a protein coding sequence;</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Delivery modality: </w:t>
      </w:r>
      <w:r>
        <w:rPr>
          <w:rFonts w:ascii="Arial" w:cs="Arial" w:eastAsia="Arial" w:hAnsi="Arial"/>
          <w:sz w:val="18"/>
          <w:szCs w:val="18"/>
          <w:color w:val="auto"/>
        </w:rPr>
        <w:t>Sub-retinal AAV injection is the delivery mode for current gene augmentation therapy trials for related ophthalmic diseases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can be used for this program;</w:t>
      </w:r>
    </w:p>
    <w:p>
      <w:pPr>
        <w:spacing w:after="0" w:line="21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Pathophysiology of the disease and treatment window: </w:t>
      </w:r>
      <w:r>
        <w:rPr>
          <w:rFonts w:ascii="Arial" w:cs="Arial" w:eastAsia="Arial" w:hAnsi="Arial"/>
          <w:sz w:val="18"/>
          <w:szCs w:val="18"/>
          <w:color w:val="auto"/>
        </w:rPr>
        <w:t>The photoreceptors of LCA10 patients die over a period of time, and loss of 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corresponds with loss of photoreceptors. By treating patients who retain some vision, there is a window to repair the CEP290 gene in remaining photoreceptor cells;</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Safety and therapeutic index: </w:t>
      </w:r>
      <w:r>
        <w:rPr>
          <w:rFonts w:ascii="Arial" w:cs="Arial" w:eastAsia="Arial" w:hAnsi="Arial"/>
          <w:sz w:val="18"/>
          <w:szCs w:val="18"/>
          <w:color w:val="auto"/>
        </w:rPr>
        <w:t>Because the eye is an immune-privileged location, injection directly into the eye minimizes risk of a systemic toxic</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by the immune system. In addition, because the product candidate will be delivered directly to the eye, there is likely to be minimal overall systemic exposure;</w:t>
      </w:r>
    </w:p>
    <w:p>
      <w:pPr>
        <w:spacing w:after="0" w:line="207"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Clinical development path: </w:t>
      </w:r>
      <w:r>
        <w:rPr>
          <w:rFonts w:ascii="Arial" w:cs="Arial" w:eastAsia="Arial" w:hAnsi="Arial"/>
          <w:sz w:val="18"/>
          <w:szCs w:val="18"/>
          <w:color w:val="auto"/>
        </w:rPr>
        <w:t>There are readily measurable endpoints such as visual acuity measures, electroretinography and optical coherence</w:t>
      </w:r>
      <w:r>
        <w:rPr>
          <w:rFonts w:ascii="Arial" w:cs="Arial" w:eastAsia="Arial" w:hAnsi="Arial"/>
          <w:sz w:val="18"/>
          <w:szCs w:val="18"/>
          <w:i w:val="1"/>
          <w:iCs w:val="1"/>
          <w:color w:val="auto"/>
        </w:rPr>
        <w:t xml:space="preserve"> </w:t>
      </w:r>
      <w:r>
        <w:rPr>
          <w:rFonts w:ascii="Arial" w:cs="Arial" w:eastAsia="Arial" w:hAnsi="Arial"/>
          <w:sz w:val="18"/>
          <w:szCs w:val="18"/>
          <w:color w:val="auto"/>
        </w:rPr>
        <w:t>tomography that allow minimally invasive assessment of disease progression;</w:t>
      </w:r>
    </w:p>
    <w:p>
      <w:pPr>
        <w:spacing w:after="0" w:line="21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Regulatory path: </w:t>
      </w:r>
      <w:r>
        <w:rPr>
          <w:rFonts w:ascii="Arial" w:cs="Arial" w:eastAsia="Arial" w:hAnsi="Arial"/>
          <w:sz w:val="18"/>
          <w:szCs w:val="18"/>
          <w:color w:val="auto"/>
        </w:rPr>
        <w:t>There are no approved therapies for LCA10. We believe that the combination of clinically meaningful and readily measurable</w:t>
      </w:r>
      <w:r>
        <w:rPr>
          <w:rFonts w:ascii="Arial" w:cs="Arial" w:eastAsia="Arial" w:hAnsi="Arial"/>
          <w:sz w:val="18"/>
          <w:szCs w:val="18"/>
          <w:i w:val="1"/>
          <w:iCs w:val="1"/>
          <w:color w:val="auto"/>
        </w:rPr>
        <w:t xml:space="preserve"> </w:t>
      </w:r>
      <w:r>
        <w:rPr>
          <w:rFonts w:ascii="Arial" w:cs="Arial" w:eastAsia="Arial" w:hAnsi="Arial"/>
          <w:sz w:val="18"/>
          <w:szCs w:val="18"/>
          <w:color w:val="auto"/>
        </w:rPr>
        <w:t>endpoints for diseases of vision, coupled with the unmet need in this orphan patient population, has the potential to enable an accelerated regulatory process; and</w:t>
      </w:r>
    </w:p>
    <w:p>
      <w:pPr>
        <w:spacing w:after="0" w:line="207"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Commercial opportunity: </w:t>
      </w:r>
      <w:r>
        <w:rPr>
          <w:rFonts w:ascii="Arial" w:cs="Arial" w:eastAsia="Arial" w:hAnsi="Arial"/>
          <w:sz w:val="16"/>
          <w:szCs w:val="16"/>
          <w:color w:val="auto"/>
        </w:rPr>
        <w:t>LCA10 represents a focused market with a defined number of specialized centers treating the affected patients.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we can develop an effective small, targeted commercial infrastructure without the need for a commercial partner.</w:t>
      </w:r>
    </w:p>
    <w:p>
      <w:pPr>
        <w:spacing w:after="0" w:line="139" w:lineRule="exact"/>
        <w:rPr>
          <w:sz w:val="20"/>
          <w:szCs w:val="20"/>
          <w:color w:val="auto"/>
        </w:rPr>
      </w:pPr>
    </w:p>
    <w:p>
      <w:pPr>
        <w:ind w:right="460" w:firstLine="611"/>
        <w:spacing w:after="0" w:line="256" w:lineRule="auto"/>
        <w:rPr>
          <w:sz w:val="20"/>
          <w:szCs w:val="20"/>
          <w:color w:val="auto"/>
        </w:rPr>
      </w:pPr>
      <w:r>
        <w:rPr>
          <w:rFonts w:ascii="Arial" w:cs="Arial" w:eastAsia="Arial" w:hAnsi="Arial"/>
          <w:sz w:val="18"/>
          <w:szCs w:val="18"/>
          <w:color w:val="auto"/>
        </w:rPr>
        <w:t>We are developing a genome editing therapeutic for LCA10 that uses an AAV vector to deliver the DNA encoding Cas9 and two guide RNAs to photoreceptor cells in the eye. In order to deliver this therapy directly and specifically to the site of disease, we are assessing the most well-established and relevant variants of AAV for retinal delivery. These variants have been shown by others to be effective delivery modalities in clinical trials for various other diseases, including retinal diseases.</w:t>
      </w:r>
    </w:p>
    <w:p>
      <w:pPr>
        <w:spacing w:after="0" w:line="197"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Our approach is designed to eliminate the A to G nucleotide change in the CEP290 gene described above by cutting out that nucleotide and surrounding DNA, thus restoring normal protein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expression and function of the remaining photoreceptor cells, which could arrest the further loss of vision in LCA patients. The diagrams below illustrate the impaired protein expression that results from the LCA10 mutation and how we believe our approach can restore normal protein expression. As shown below, the LCA10 mutation consists of an A to G nucleotide change in the CEP290 gene that occurs in an intron located between exons 26 and 27 of the gene. Exons are regions of DNA that encode for proteins. This mutation results in incorrect processing signals in the messenger RNA, or mRNA, that is transcribed from the gene's DNA. This mRNA is then spliced, or processed, incorrectly, and this in turn leads to the inclusion of a premature stop signal, or codon, and the creation of a truncated and nonfunctional protein.</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Segment of CEP290 Gene with Mutation that Causes LCA10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152400</wp:posOffset>
            </wp:positionV>
            <wp:extent cx="5694045" cy="22726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9404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40" w:firstLine="605"/>
        <w:spacing w:after="0" w:line="259" w:lineRule="auto"/>
        <w:rPr>
          <w:sz w:val="20"/>
          <w:szCs w:val="20"/>
          <w:color w:val="auto"/>
        </w:rPr>
      </w:pPr>
      <w:r>
        <w:rPr>
          <w:rFonts w:ascii="Arial" w:cs="Arial" w:eastAsia="Arial" w:hAnsi="Arial"/>
          <w:sz w:val="18"/>
          <w:szCs w:val="18"/>
          <w:color w:val="auto"/>
        </w:rPr>
        <w:t>As shown below, our approach uses an AAV delivery vehicle containing a Cas9 nuclease and two guide RNA molecules designed to eliminate the mutation by cutting and removing it from the patient's genome. As a result, transcription of the edited DNA produces mRNA that no longer contains the premature stop codon, allowing for the production of functional protein.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Approach to Correcting the CEP290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152400</wp:posOffset>
            </wp:positionV>
            <wp:extent cx="5720080" cy="3370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20080"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have tested combinations of Cas9 and guide RNA pairs in cells that were taken from patients with the CEP290 mutation to determine whether they could successfully edit the mutation and lead to correctly spliced mRNA and correctly produced CEP290 protein. We isolated and analyzed DNA from these edited cells and observed removal of the mutation-containing region in the DNA. Furthermore, as shown in the figure below, these studies also demonstrated that the edit restored significant levels of normal mRNA and lowered the levels of mutant mRNA, as compared to control. This restoration of normal, or wild type, mRNA expression suggests that we successfully corrected the LCA10 gene defect in these cells.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Expression of Corrected CEP290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152400</wp:posOffset>
            </wp:positionV>
            <wp:extent cx="3112770" cy="24009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1277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11"/>
        <w:spacing w:after="0" w:line="259" w:lineRule="auto"/>
        <w:rPr>
          <w:sz w:val="20"/>
          <w:szCs w:val="20"/>
          <w:color w:val="auto"/>
        </w:rPr>
      </w:pPr>
      <w:r>
        <w:rPr>
          <w:rFonts w:ascii="Arial" w:cs="Arial" w:eastAsia="Arial" w:hAnsi="Arial"/>
          <w:sz w:val="18"/>
          <w:szCs w:val="18"/>
          <w:color w:val="auto"/>
        </w:rPr>
        <w:t>These results for guide pair 1 and guide pair 2 were statistically significant, with a p-value of less than 0.0001. P-value is a conventional statistical method for measuring the statistical significance of study results. A p-value of 0.05 or less represents statistical significance, meaning that there is a 1-in-20 or less statistical probability that the observed results occurred by chance.</w:t>
      </w:r>
    </w:p>
    <w:p>
      <w:pPr>
        <w:spacing w:after="0" w:line="194"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these studies we also observed two-fold and greater increases in full-length CEP290 protein expression compared to a control. We believe this demonstrates that successful editing of the genetic defect that causes LCA10 also leads to increased expression of the normal CEP290 protein. It is our view that increased expression of normal CEP290 protein could arrest the further loss of vision in LCA10 patients.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Full-Length CEP290 Protein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152400</wp:posOffset>
            </wp:positionV>
            <wp:extent cx="3121660" cy="2246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2166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0" w:firstLine="611"/>
        <w:spacing w:after="0" w:line="306" w:lineRule="auto"/>
        <w:rPr>
          <w:sz w:val="20"/>
          <w:szCs w:val="20"/>
          <w:color w:val="auto"/>
        </w:rPr>
      </w:pPr>
      <w:r>
        <w:rPr>
          <w:rFonts w:ascii="Arial" w:cs="Arial" w:eastAsia="Arial" w:hAnsi="Arial"/>
          <w:sz w:val="16"/>
          <w:szCs w:val="16"/>
          <w:color w:val="auto"/>
        </w:rPr>
        <w:t xml:space="preserve">To characterize editing specificity, we are applying a combination of methods to treated patient cells to quantify the frequency of modification at the targeted DNA location and to assess the potential for edits at off-target locations. We believe our detailed characterization of editing specificity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will allow us to select guide RNA/Cas9 combinations with the highest likelihood of providing clinical benefit in patients.</w:t>
      </w:r>
    </w:p>
    <w:p>
      <w:pPr>
        <w:spacing w:after="0" w:line="16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are collaborating with academic researchers to assess the efficacy of CEP290 editing in human photoreceptors. In the initial studies, stem cells derived from individuals with a normal LCA10 gene will be differentiated into photoreceptor cells and treated with AAV vectors expressing each of the candidate guide RNA pairs together with Cas9. We plan to conduct analyses of editing efficiency and specificity to identify candidate guide RNA/Cas9 complexes for further studies in photoreceptor precursor cells differentiated from LCA10 patients' stem cells. We believe these studies of LCA10 patient cells, which will include functional analyses of differentiated photoreceptors, will give us an initial indication of the therapeutic potential of these product candidates. We aim to initiate IND enabling studies in our LCA10 research program in 2016 and a first clinical trial in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Eye Diseases</w:t>
      </w:r>
    </w:p>
    <w:p>
      <w:pPr>
        <w:spacing w:after="0" w:line="225" w:lineRule="exact"/>
        <w:rPr>
          <w:sz w:val="20"/>
          <w:szCs w:val="20"/>
          <w:color w:val="auto"/>
        </w:rPr>
      </w:pPr>
    </w:p>
    <w:p>
      <w:pPr>
        <w:ind w:right="300" w:firstLine="611"/>
        <w:spacing w:after="0" w:line="259" w:lineRule="auto"/>
        <w:rPr>
          <w:sz w:val="20"/>
          <w:szCs w:val="20"/>
          <w:color w:val="auto"/>
        </w:rPr>
      </w:pPr>
      <w:r>
        <w:rPr>
          <w:rFonts w:ascii="Arial" w:cs="Arial" w:eastAsia="Arial" w:hAnsi="Arial"/>
          <w:sz w:val="18"/>
          <w:szCs w:val="18"/>
          <w:color w:val="auto"/>
        </w:rPr>
        <w:t>We also intend to pursue the development of therapies for eye diseases other than LCA10, including Usher Syndrome 2A, or USH2A, and Herpes Simplex Virus 1, or HSV-1, infections. We believe that our experience with the LCA10 program will support the development of therapies for these other eye diseases. For example, the successful construction, packaging, and testing of the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AAV vector we are pursuing for LCA10 will continue to inform our approach to treating USH2A.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Usher Syndrome 2a</w:t>
      </w:r>
    </w:p>
    <w:p>
      <w:pPr>
        <w:spacing w:after="0" w:line="225" w:lineRule="exact"/>
        <w:rPr>
          <w:sz w:val="20"/>
          <w:szCs w:val="20"/>
          <w:color w:val="auto"/>
        </w:rPr>
      </w:pPr>
    </w:p>
    <w:p>
      <w:pPr>
        <w:ind w:right="200" w:firstLine="615"/>
        <w:spacing w:after="0" w:line="255" w:lineRule="auto"/>
        <w:rPr>
          <w:sz w:val="20"/>
          <w:szCs w:val="20"/>
          <w:color w:val="auto"/>
        </w:rPr>
      </w:pPr>
      <w:r>
        <w:rPr>
          <w:rFonts w:ascii="Arial" w:cs="Arial" w:eastAsia="Arial" w:hAnsi="Arial"/>
          <w:sz w:val="18"/>
          <w:szCs w:val="18"/>
          <w:color w:val="auto"/>
        </w:rPr>
        <w:t>USH2A gene mutations are the most common cause of Usher syndrome, a form of retinitis pigmentosa. The U.S. population prevalence of Usher syndrome is estimated to be one in 6,000 individuals, and USH2A gene mutations account for an estimated 25-30% of all cases of Usher syndrome. Loss of the usherin protein encoded by the USH2A gene leads to a degeneration of the retina and progressive vision loss. More than 200 mutations have been identified for this gene. Our initial goal in this research program is to address mutations within exon 13, which is the location of the highest percentage of USH2A gene mutations.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Herpes Simplex Virus 1</w:t>
      </w:r>
    </w:p>
    <w:p>
      <w:pPr>
        <w:spacing w:after="0" w:line="225"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Herpes Simplex Virus 1, or HSV-1, causes lifelong infections and mainly causes ocular and oral disease. Infected individuals develop persistent latent infections, mainly in the nerves in the affected part of the body. During latency, the HSV-1 DNA does not integrate into the infected individual's genome but it remains within the individual's cells as independent viral genomic material. The latent HSV-1 virus can then be reactivated by illness, emotional or physical stress, and other conditions. Ocular infection with HSV-1 is a major health problem, especially in developed countries. It is the most common infectious cause of blindness in the United States with over 35,000 new cases each year. Existing therapies have not been shown to be beneficial in preventing initial HSV-1 infection or recurrences. As a result, there is a need for an effective therapy that prevents or reduces reactivation of latent HSV-1. We plan to deliver the CRISPR/Cas9 molecular machinery to the eye and specifically cleave and inactivate latent HSV-1 DNA with the goal of eliminating or reducing reactivation.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T Cell Therapies for Immuno-Oncology</w:t>
      </w:r>
    </w:p>
    <w:p>
      <w:pPr>
        <w:spacing w:after="0" w:line="225" w:lineRule="exact"/>
        <w:rPr>
          <w:sz w:val="20"/>
          <w:szCs w:val="20"/>
          <w:color w:val="auto"/>
        </w:rPr>
      </w:pPr>
    </w:p>
    <w:p>
      <w:pPr>
        <w:jc w:val="both"/>
        <w:ind w:right="20" w:firstLine="615"/>
        <w:spacing w:after="0" w:line="291" w:lineRule="auto"/>
        <w:rPr>
          <w:sz w:val="20"/>
          <w:szCs w:val="20"/>
          <w:color w:val="auto"/>
        </w:rPr>
      </w:pPr>
      <w:r>
        <w:rPr>
          <w:rFonts w:ascii="Arial" w:cs="Arial" w:eastAsia="Arial" w:hAnsi="Arial"/>
          <w:sz w:val="16"/>
          <w:szCs w:val="16"/>
          <w:color w:val="auto"/>
        </w:rPr>
        <w:t>Engineered T cells have shown encouraging early clinical activity against multiple cancers, and there is significant interest in the medical community in expanding the application of this technology across a broader range of cancers and patients. Recent data suggest that improving T cell persistence, or the duration these cells are active in the body, positively correlates with anti-tumor activity. We believe that our genome editing technology has the potential to improve T cell persistence and confer other advantageous properties on engineered T cells, such as overcoming signals in the tumor microenvironment that reduce T cell activity. If we are successful, genome-edited engineered T cells have the potential to significantly expand the types of cancers treatable by chimeric antigen receptor/T cell receptor, or CAR/TCR, engineered T cells and to improve the outcomes of these therapies.</w:t>
      </w:r>
    </w:p>
    <w:p>
      <w:pPr>
        <w:spacing w:after="0" w:line="174"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 xml:space="preserve">Through our collaboration with Juno Therapeutics, a leader in the emerging field of immuno-oncology, we plan to direct our genome editing technology towards multiple targets in order to improve the efficacy and safety of CAR/TCR engineered T cells against a range of tumor types. We are currently optimizing genome editing components and delivery methods compatible with engineered T cell manufacturing methods developed by Juno Therapeutics. In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study under this collaboration, Cas9-guide RNA complexes directed against two different T cell target genes were delivered into human T cells obtained from three separate donors. At different time points, the extent of genome editing and the percentage of viable cells were measured. We assessed editing by measuring protein expression on the cells' surfaces following treatment with our Cas9-guide RNA complexes. We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observed high levels of editing, achieving approximately 90% for target A and 50% for target B, across samples from the three donors on day four, as shown in the figure below.</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Editing of T Cell Target Genes in Human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151765</wp:posOffset>
            </wp:positionV>
            <wp:extent cx="3447415" cy="2066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4741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In addition, we observed on average approximately 75% cell viability four days following delivery, as shown in the figure below. We believe this is a sufficiently favorable result to support further advancement of this program.</w:t>
      </w:r>
    </w:p>
    <w:p>
      <w:pPr>
        <w:spacing w:after="0" w:line="18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Cell Viability of Human T Cells Following</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Delivery of Cas9-Guide RNA Complexes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144145</wp:posOffset>
            </wp:positionV>
            <wp:extent cx="3430270" cy="22726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3027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 xml:space="preserve">We and Juno Therapeutics have selected a number of targets for editing using both NHEJ- and HDR-based approaches to evaluate the effects on safety and efficacy of CAR/TCR engineered T cells, both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These studies are designed to facilitate the selection of therapeutic programs to be pursued under our collaboration with Juno Therapeutics.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Research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Non-malignant Hematologic Diseases</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 xml:space="preserve">We intend to develop approaches for genome editing in hematopoietic stem cells to support the advancement of other programs to treat non-malignant hematological diseases. We are investigating the correction of the human beta globin, or HBB, gene in order to treat genetic disorders such as beta thalassemia and sickle cell disease.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study, Cas9-guide RNA complexes directed against the HBB gene were delivered into hematopoietic stem cells obtained from three separate donors and evaluated against untreated control cells to assess editing activity as well as effects on the cells' viability, proliferation, and ability to differentiate into different types of blood cells. As shown in the figure below, we observed approximately 55-60% editing of the HBB gene in cells treated with Cas9-guide RNA complexes as compared to no editing observed in the control cells. We observed no substantial differences between the treated cells and the untreated control cells in their viability, proliferation, or ability to differentiate into different types of blood cells.</w:t>
      </w:r>
    </w:p>
    <w:p>
      <w:pPr>
        <w:spacing w:after="0" w:line="172"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In addition, we are actively assessing other opportunities to develop medicines for diseases where we believe gene editing of hematopoietic stem cells is likely to produce a therapeutic effect.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Editing of Hemoglobin Beta Gene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Human Stem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144145</wp:posOffset>
            </wp:positionV>
            <wp:extent cx="3275965" cy="2212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7596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20" w:firstLine="611"/>
        <w:spacing w:after="0" w:line="332" w:lineRule="auto"/>
        <w:rPr>
          <w:sz w:val="20"/>
          <w:szCs w:val="20"/>
          <w:color w:val="auto"/>
        </w:rPr>
      </w:pPr>
      <w:r>
        <w:rPr>
          <w:rFonts w:ascii="Arial" w:cs="Arial" w:eastAsia="Arial" w:hAnsi="Arial"/>
          <w:sz w:val="16"/>
          <w:szCs w:val="16"/>
          <w:color w:val="auto"/>
        </w:rPr>
        <w:t>We believe advances developed through our collaboration with Juno Therapeutics, including our efforts to optimize genome editing components and delivery methods compatible with engineered T cells, may support our current and future non-malignant hematologic disease programs.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Duchenne Muscular Dystrophy</w:t>
      </w:r>
    </w:p>
    <w:p>
      <w:pPr>
        <w:spacing w:after="0" w:line="225" w:lineRule="exact"/>
        <w:rPr>
          <w:sz w:val="20"/>
          <w:szCs w:val="20"/>
          <w:color w:val="auto"/>
        </w:rPr>
      </w:pPr>
    </w:p>
    <w:p>
      <w:pPr>
        <w:ind w:right="60" w:firstLine="615"/>
        <w:spacing w:after="0" w:line="254" w:lineRule="auto"/>
        <w:rPr>
          <w:sz w:val="20"/>
          <w:szCs w:val="20"/>
          <w:color w:val="auto"/>
        </w:rPr>
      </w:pPr>
      <w:r>
        <w:rPr>
          <w:rFonts w:ascii="Arial" w:cs="Arial" w:eastAsia="Arial" w:hAnsi="Arial"/>
          <w:sz w:val="18"/>
          <w:szCs w:val="18"/>
          <w:color w:val="auto"/>
        </w:rPr>
        <w:t>Duchenne muscular dystrophy, or DMD, is a genetic disorder primarily affecting boys and is characterized by progressive muscle weakness and atrophy that presents in early childhood and rapidly results in loss of ambulation and respiratory muscle function. Additionally, DMD often causes cardiomyopathy in adolescence. Death occurs typically in early adulthood. The incidence of DMD is approximately one in every 3,500 male births with a prevalence of approximately 15,000 cases in the United States. There are no approved disease-modifying therapies for the disease. The current standard of care consists of palliative measures such as glucocorticoids and physical therapy as well as braces, wheelchairs, spinal surgeries for scoliosis, and mechanical ventilation. The disease is caused by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mutations in the gene that encodes dystrophin, a structural protein that is important for normal muscle health. Loss of dystrophin function leads to muscle degeneration. We believe that restoring dystrophin activity before the onset of severe loss of muscle function could significantly and favorably alter disease progression.</w:t>
      </w:r>
    </w:p>
    <w:p>
      <w:pPr>
        <w:spacing w:after="0" w:line="194"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The dystrophin gene is one of the largest in the human genome spanning 2.2 million base pairs. Pathogenic mutations can occur throughout the gene. Many disease-causing mutations in the dystrophin gene consist of deletions that lead to non-functional protein. Interestingly, large deletions in the middle of the dystrophin protein have been identified that cause only mild to moderate disease. For example, deletions of selected exons have been shown to cause the much less severe Becker muscular dystrophy. Our genome editing approach is to introduce targeted deletions of mutation-containing segments of the gene in order to create smaller, yet functional versions of the dystrophin gene. Based on the known spectrum of DMD-causing mutations, an NHEJ-mediated small deletion of exon 51 would be expected to address approximately 13% of patients whereas an NHEJ-mediated large deletion encompassing exons 45 through 55 would expand coverage to up to 60% of patients.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w:t>
      </w:r>
    </w:p>
    <w:p>
      <w:pPr>
        <w:spacing w:after="0" w:line="225"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Cystic fibrosis, or CF, is the most common lethal autosomal recessive disease in the Caucasian population. The overall birth prevalence of CF in the United States is approximately one in 3,700. While several organs are affected, the morbidity and mortality is primarily caused by the severity of lung disease. The gene that causes CF encodes the cystic fibrosis transmembrane conductance regulator, or CFTR, which helps maintain the water balance within the lung. Mutations in the CFTR gene lead to an imbalance of ion and water movement, leading to accumulation of mucus, chronic bacterial infection and inflammation of the airway epithelium. Our genome editing approach is premised on deleting, through NHEJ, a very rare mutation within the CFTR gene. We then intend to leverage that learning to embark on a more technologically challenging approach of correcting, through HDR, the DF508 mutation, which affects approximately 70% of all CF patients. Correcting the CF mutations in lung epithelial cells will require efficient editing of these cells and development of advanced pulmonary delivery modalities. We plan to establish multiple collaborations with academics, foundations, and other companies developing novel lung delivery approaches to achieve these goals.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Alpha-1 Antitrypsin Deficiency</w:t>
      </w:r>
    </w:p>
    <w:p>
      <w:pPr>
        <w:spacing w:after="0" w:line="225" w:lineRule="exact"/>
        <w:rPr>
          <w:sz w:val="20"/>
          <w:szCs w:val="20"/>
          <w:color w:val="auto"/>
        </w:rPr>
      </w:pPr>
    </w:p>
    <w:p>
      <w:pPr>
        <w:ind w:firstLine="605"/>
        <w:spacing w:after="0" w:line="254" w:lineRule="auto"/>
        <w:rPr>
          <w:sz w:val="20"/>
          <w:szCs w:val="20"/>
          <w:color w:val="auto"/>
        </w:rPr>
      </w:pPr>
      <w:r>
        <w:rPr>
          <w:rFonts w:ascii="Arial" w:cs="Arial" w:eastAsia="Arial" w:hAnsi="Arial"/>
          <w:sz w:val="18"/>
          <w:szCs w:val="18"/>
          <w:color w:val="auto"/>
        </w:rPr>
        <w:t>Alpha-1 antitrypsin deficiency is a genetic disease that causes defective production of the Alpha-1 Antitrypsin, or A1AT protein, leading to lung and liver disease. A1AT is one of the primary proteins made in the liver and protects the lungs from pro-inflammatory enzymes. This disease affects about one in 1,500 to 3,500 individuals with European ancestry. Mutations in A1AT lead to accumulation of A1AT aggregates and result in liver and lung disease. The current standards of care are weekly intravenous infusions of functional A1AT protein obtained from human donor plasma, and lung or liver transplant for severe cases. Our genome editing approach starts with deleting, through NHEJ, the gene in the liver to prevent liver disease, followed by gene correction in the liver to address both liver and lung disease.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Genome Editing Platform in Detail</w:t>
      </w:r>
    </w:p>
    <w:p>
      <w:pPr>
        <w:spacing w:after="0" w:line="231" w:lineRule="exact"/>
        <w:rPr>
          <w:sz w:val="20"/>
          <w:szCs w:val="20"/>
          <w:color w:val="auto"/>
        </w:rPr>
      </w:pPr>
    </w:p>
    <w:p>
      <w:pPr>
        <w:ind w:right="500" w:firstLine="611"/>
        <w:spacing w:after="0" w:line="268" w:lineRule="auto"/>
        <w:rPr>
          <w:sz w:val="20"/>
          <w:szCs w:val="20"/>
          <w:color w:val="auto"/>
        </w:rPr>
      </w:pPr>
      <w:r>
        <w:rPr>
          <w:rFonts w:ascii="Arial" w:cs="Arial" w:eastAsia="Arial" w:hAnsi="Arial"/>
          <w:sz w:val="18"/>
          <w:szCs w:val="18"/>
          <w:color w:val="auto"/>
        </w:rPr>
        <w:t>We are developing a proprietary genome editing platform consisting of four interrelated components that are designed to address four key goals of genome editing:</w:t>
      </w:r>
    </w:p>
    <w:p>
      <w:pPr>
        <w:spacing w:after="0" w:line="19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create a comprehensive toolbox for robust and selective genome engineering;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efficient and targeted delivery to any tissue or cell;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effect spatial and temporal control of gene editing and specificity;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orchestrate the cellular response to ensure accurate and precise genome editing.</w:t>
      </w:r>
    </w:p>
    <w:p>
      <w:pPr>
        <w:spacing w:after="0" w:line="225"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We believe that the developments we have made in our genome editing platform position us to be able to identify and develop innovative genome editing therapies targeting a wide variety of genetically defined diseases. All of our programs to develop medicines leverage aspects of this platform while also providing insights that help improve our ongoing and future drug development capabilities. We believe our genome editing platform forms the basis for our ongoing leadership in the field and differentiates us from other companies working in genome editing.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Nuclease Engineering</w:t>
      </w:r>
    </w:p>
    <w:p>
      <w:pPr>
        <w:spacing w:after="0" w:line="225"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use our genome editing platform to identify and optimize both Cas9 enzymes and guide RNA molecules to create what we believe will be the optimal Cas9-guide RNA complex for a given disease target. We have made substantial advances in the characterization and modification of different natural and engineered variants of Cas9 enzymes and in the design, synthesis, modification, analysis, and characterization of guide RNAs. We believe the diversity of the Cas9 enzymes that we are currently employing and those that we are continuing to further develop has the potential to provide us with a competitive advantage as we develop a range of products with different technical needs. We believe our systematic approach to measurement of both the efficiency and specificity of multiple possible Cas9 enzyme and guide RNA combinations enables us to optimize the identification of lead molecules to progress into more advanced testing. Our aim is to continue to develop new engineered Cas9 enzymes with altered specificities, different DNA cutting capabilities, and additional advanced properties. For example, we are using directed evolution, a form of guided protein engineering, to develop Cas9 enzymes that recognize different PAMs in order to target additional locations in the genome. We are also developing Cas9 enzymes that can cut DNA in an allele-specific manner. We believe that further developing our nuclease engineering capabilities will allow us to further broaden the range of diseases we can treat while at the same time ensuring that our products have the best possible safety profiles.</w:t>
      </w:r>
    </w:p>
    <w:p>
      <w:pPr>
        <w:spacing w:after="0" w:line="181" w:lineRule="exact"/>
        <w:rPr>
          <w:sz w:val="20"/>
          <w:szCs w:val="20"/>
          <w:color w:val="auto"/>
        </w:rPr>
      </w:pPr>
    </w:p>
    <w:p>
      <w:pPr>
        <w:ind w:right="120" w:firstLine="611"/>
        <w:spacing w:after="0" w:line="254" w:lineRule="auto"/>
        <w:rPr>
          <w:sz w:val="20"/>
          <w:szCs w:val="20"/>
          <w:color w:val="auto"/>
        </w:rPr>
      </w:pPr>
      <w:r>
        <w:rPr>
          <w:rFonts w:ascii="Arial" w:cs="Arial" w:eastAsia="Arial" w:hAnsi="Arial"/>
          <w:sz w:val="18"/>
          <w:szCs w:val="18"/>
          <w:color w:val="auto"/>
        </w:rPr>
        <w:t xml:space="preserve">We have characterized different Cas9 enzymes for several reasons. Firstly, a smaller enzyme will have advantages for delivering the endonuclease using a viral vector due to the inherent size limitations of most such delivery systems. For example, the Cas9 enzyme from </w:t>
      </w:r>
      <w:r>
        <w:rPr>
          <w:rFonts w:ascii="Arial" w:cs="Arial" w:eastAsia="Arial" w:hAnsi="Arial"/>
          <w:sz w:val="18"/>
          <w:szCs w:val="18"/>
          <w:i w:val="1"/>
          <w:iCs w:val="1"/>
          <w:color w:val="auto"/>
        </w:rPr>
        <w:t>Staphylococcus aureus</w:t>
      </w:r>
      <w:r>
        <w:rPr>
          <w:rFonts w:ascii="Arial" w:cs="Arial" w:eastAsia="Arial" w:hAnsi="Arial"/>
          <w:sz w:val="18"/>
          <w:szCs w:val="18"/>
          <w:color w:val="auto"/>
        </w:rPr>
        <w:t xml:space="preserve"> is significantly smaller than that from </w:t>
      </w:r>
      <w:r>
        <w:rPr>
          <w:rFonts w:ascii="Arial" w:cs="Arial" w:eastAsia="Arial" w:hAnsi="Arial"/>
          <w:sz w:val="18"/>
          <w:szCs w:val="18"/>
          <w:i w:val="1"/>
          <w:iCs w:val="1"/>
          <w:color w:val="auto"/>
        </w:rPr>
        <w:t>Streptococcus pyogenes</w:t>
      </w:r>
      <w:r>
        <w:rPr>
          <w:rFonts w:ascii="Arial" w:cs="Arial" w:eastAsia="Arial" w:hAnsi="Arial"/>
          <w:sz w:val="18"/>
          <w:szCs w:val="18"/>
          <w:color w:val="auto"/>
        </w:rPr>
        <w:t xml:space="preserve"> (3,159 vs. 4,104 base pairs), and this is important when working with AAV as a delivery vector, which has an effective packaging limit of approximately 4,700 base pairs. Secondly, identifying Cas9 enzymes with different editing properties will expand the number of potential editing sites in the human genome. As shown below, we have been able to demonstrate that </w:t>
      </w:r>
      <w:r>
        <w:rPr>
          <w:rFonts w:ascii="Arial" w:cs="Arial" w:eastAsia="Arial" w:hAnsi="Arial"/>
          <w:sz w:val="18"/>
          <w:szCs w:val="18"/>
          <w:i w:val="1"/>
          <w:iCs w:val="1"/>
          <w:color w:val="auto"/>
        </w:rPr>
        <w:t>S. aureus</w:t>
      </w:r>
      <w:r>
        <w:rPr>
          <w:rFonts w:ascii="Arial" w:cs="Arial" w:eastAsia="Arial" w:hAnsi="Arial"/>
          <w:sz w:val="18"/>
          <w:szCs w:val="18"/>
          <w:color w:val="auto"/>
        </w:rPr>
        <w:t xml:space="preserve"> Cas9 has cutting efficiency, as measured by percentage editing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DNA at specific target sites, substantially similar to that of the Cas9 enzyme from </w:t>
      </w:r>
      <w:r>
        <w:rPr>
          <w:rFonts w:ascii="Arial" w:cs="Arial" w:eastAsia="Arial" w:hAnsi="Arial"/>
          <w:sz w:val="18"/>
          <w:szCs w:val="18"/>
          <w:i w:val="1"/>
          <w:iCs w:val="1"/>
          <w:color w:val="auto"/>
        </w:rPr>
        <w:t>S. pyogenes</w:t>
      </w:r>
      <w:r>
        <w:rPr>
          <w:rFonts w:ascii="Arial" w:cs="Arial" w:eastAsia="Arial" w:hAnsi="Arial"/>
          <w:sz w:val="18"/>
          <w:szCs w:val="18"/>
          <w:color w:val="auto"/>
        </w:rPr>
        <w:t>, broadening the available range of sequences we are able to target under our genome editing platform.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Comparison of Editing of Target Genes by </w:t>
      </w:r>
      <w:r>
        <w:rPr>
          <w:rFonts w:ascii="Arial" w:cs="Arial" w:eastAsia="Arial" w:hAnsi="Arial"/>
          <w:sz w:val="18"/>
          <w:szCs w:val="18"/>
          <w:b w:val="1"/>
          <w:bCs w:val="1"/>
          <w:i w:val="1"/>
          <w:iCs w:val="1"/>
          <w:color w:val="auto"/>
        </w:rPr>
        <w:t>S. pyogenes</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S. aureus</w:t>
      </w:r>
      <w:r>
        <w:rPr>
          <w:rFonts w:ascii="Arial" w:cs="Arial" w:eastAsia="Arial" w:hAnsi="Arial"/>
          <w:sz w:val="18"/>
          <w:szCs w:val="18"/>
          <w:b w:val="1"/>
          <w:bCs w:val="1"/>
          <w:color w:val="auto"/>
        </w:rPr>
        <w:t>Cas9 Enzymes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152400</wp:posOffset>
            </wp:positionV>
            <wp:extent cx="5814695" cy="2324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1469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20" w:firstLine="615"/>
        <w:spacing w:after="0" w:line="294" w:lineRule="auto"/>
        <w:rPr>
          <w:sz w:val="20"/>
          <w:szCs w:val="20"/>
          <w:color w:val="auto"/>
        </w:rPr>
      </w:pPr>
      <w:r>
        <w:rPr>
          <w:rFonts w:ascii="Arial" w:cs="Arial" w:eastAsia="Arial" w:hAnsi="Arial"/>
          <w:sz w:val="16"/>
          <w:szCs w:val="16"/>
          <w:color w:val="auto"/>
        </w:rPr>
        <w:t xml:space="preserve">In order to accelerate and standardize the selection of guide RNAs, we have created proprietary analytical software that supports guide RNA design through single nucleotide polymorphism analysis, specificity prediction, and assessment of relative importance of potential off target sites. We have also advanced the engineering of guide RNAs such that we are able to produce molecules with suitable properties for use in human cells which have the potential to reduce the innate immune response associated with foreign RNA. This, coupled with active, purified protein enables efficient genome editing for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applications in human cells and has the potential to improve the safety and efficacy of the medicines we develop.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An appropriate product configuration must be designed and optimized to provide efficient and tightly controlled delivery to the desired tissue or cell type.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Two important elements of delivery are the mode of delivery to the cell and the type of molecule delivered.</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are three types of molecules that we can deliver to a cell to effect genome editing:</w:t>
      </w:r>
    </w:p>
    <w:p>
      <w:pPr>
        <w:spacing w:after="0" w:line="233" w:lineRule="exact"/>
        <w:rPr>
          <w:sz w:val="20"/>
          <w:szCs w:val="20"/>
          <w:color w:val="auto"/>
        </w:rPr>
      </w:pPr>
    </w:p>
    <w:p>
      <w:pPr>
        <w:jc w:val="both"/>
        <w:ind w:left="1080" w:right="80" w:hanging="532"/>
        <w:spacing w:after="0" w:line="310"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DNA. </w:t>
      </w:r>
      <w:r>
        <w:rPr>
          <w:rFonts w:ascii="Arial" w:cs="Arial" w:eastAsia="Arial" w:hAnsi="Arial"/>
          <w:sz w:val="16"/>
          <w:szCs w:val="16"/>
          <w:color w:val="auto"/>
        </w:rPr>
        <w:t>If DNA is delivered, both the DNA that codes for Cas9 itself along with DNA that codes for the guide RNA(s) must be introduced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cell. The cell can then use these DNA molecules to make the Cas9 enzyme and the guide RNA(s) and assemble them into the desired Cas9-guide RNA complex so this complex can then locate its target(s) in the cell's genome and make the relevant edit(s).</w:t>
      </w:r>
    </w:p>
    <w:p>
      <w:pPr>
        <w:spacing w:after="0" w:line="178" w:lineRule="exact"/>
        <w:rPr>
          <w:rFonts w:ascii="Arial" w:cs="Arial" w:eastAsia="Arial" w:hAnsi="Arial"/>
          <w:sz w:val="16"/>
          <w:szCs w:val="16"/>
          <w:color w:val="auto"/>
        </w:rPr>
      </w:pPr>
    </w:p>
    <w:p>
      <w:pPr>
        <w:ind w:left="1080" w:right="140" w:hanging="532"/>
        <w:spacing w:after="0" w:line="262"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RNA. </w:t>
      </w:r>
      <w:r>
        <w:rPr>
          <w:rFonts w:ascii="Arial" w:cs="Arial" w:eastAsia="Arial" w:hAnsi="Arial"/>
          <w:sz w:val="18"/>
          <w:szCs w:val="18"/>
          <w:color w:val="auto"/>
        </w:rPr>
        <w:t>If RNA is delivered, both the mRNA that codes for Cas9 itself along with the guide RNA(s) must be introduced into the cell. The cell can</w:t>
      </w:r>
      <w:r>
        <w:rPr>
          <w:rFonts w:ascii="Arial" w:cs="Arial" w:eastAsia="Arial" w:hAnsi="Arial"/>
          <w:sz w:val="18"/>
          <w:szCs w:val="18"/>
          <w:b w:val="1"/>
          <w:bCs w:val="1"/>
          <w:color w:val="auto"/>
        </w:rPr>
        <w:t xml:space="preserve"> </w:t>
      </w:r>
      <w:r>
        <w:rPr>
          <w:rFonts w:ascii="Arial" w:cs="Arial" w:eastAsia="Arial" w:hAnsi="Arial"/>
          <w:sz w:val="18"/>
          <w:szCs w:val="18"/>
          <w:color w:val="auto"/>
        </w:rPr>
        <w:t>then use the mRNA to make the Cas9 enzyme and assemble it with the guide RNA(s) to produce the desired Cas9-guide RNA complex so this complex can then locate its target(s) in the cell's genome and make the relevant edit(s).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1080" w:right="180" w:hanging="532"/>
        <w:spacing w:after="0" w:line="275"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RNP. </w:t>
      </w:r>
      <w:r>
        <w:rPr>
          <w:rFonts w:ascii="Arial" w:cs="Arial" w:eastAsia="Arial" w:hAnsi="Arial"/>
          <w:sz w:val="18"/>
          <w:szCs w:val="18"/>
          <w:color w:val="auto"/>
        </w:rPr>
        <w:t>Finally, if a pre-formed ribonucleoprotein, or RNP, complex is delivered, the cell is provided with an already-functional Cas9-guide RNA</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that is ready to act on target sites in the genome.</w:t>
      </w:r>
    </w:p>
    <w:p>
      <w:pPr>
        <w:spacing w:after="0" w:line="180"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 xml:space="preserve">The mode of delivery for the different Cas9-guide RNA complexes depends on the type of molecule (DNA, RNA, or RNP) that is delivered. Delivery can be performed through a range of approaches such as local or systemic injection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through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genome modification where cells are removed from the body, edited, and the engineered cells are given back to the patient. Delivery mode options depend on whether a therapy is being delivered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can include viral vectors, such as AAV, lipid nanoparticles, engineered cells, and nucleic acids. As shown below, these potential product configurations can be administered through intravenous infusion, a direct injection into a target tissue or organ, or by inhalation.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113030</wp:posOffset>
            </wp:positionV>
            <wp:extent cx="5746115" cy="30956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4611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 w:firstLine="611"/>
        <w:spacing w:after="0" w:line="318" w:lineRule="auto"/>
        <w:rPr>
          <w:sz w:val="20"/>
          <w:szCs w:val="20"/>
          <w:color w:val="auto"/>
        </w:rPr>
      </w:pPr>
      <w:r>
        <w:rPr>
          <w:rFonts w:ascii="Arial" w:cs="Arial" w:eastAsia="Arial" w:hAnsi="Arial"/>
          <w:sz w:val="15"/>
          <w:szCs w:val="15"/>
          <w:color w:val="auto"/>
        </w:rPr>
        <w:t xml:space="preserve">The delivery component of our genome editing platform aims to identify and develop delivery vehicles both by leveraging existing technologies, such as the electroporation system commercialized by MaxCyte, Inc., and also investing in new approaches that have the potential to be used to treat many diseases over the longer term. To this end, we have taken advantage of the smaller </w:t>
      </w:r>
      <w:r>
        <w:rPr>
          <w:rFonts w:ascii="Arial" w:cs="Arial" w:eastAsia="Arial" w:hAnsi="Arial"/>
          <w:sz w:val="15"/>
          <w:szCs w:val="15"/>
          <w:i w:val="1"/>
          <w:iCs w:val="1"/>
          <w:color w:val="auto"/>
        </w:rPr>
        <w:t>S. aureus</w:t>
      </w:r>
      <w:r>
        <w:rPr>
          <w:rFonts w:ascii="Arial" w:cs="Arial" w:eastAsia="Arial" w:hAnsi="Arial"/>
          <w:sz w:val="15"/>
          <w:szCs w:val="15"/>
          <w:color w:val="auto"/>
        </w:rPr>
        <w:t xml:space="preserve"> Cas9 and existing AAV technology to construct an "all-in-one" viral vector that is able to deliver the DNA coding for the nuclease protein and one or two guide RNAs directly to cells. We believe our ability to configure all the components for genome editing in an "all-in-one" AAV vector has substantial advantages for manufacturing and delivery compared to approaches that rely on multiple vectors.</w:t>
      </w:r>
    </w:p>
    <w:p>
      <w:pPr>
        <w:spacing w:after="0" w:line="154" w:lineRule="exact"/>
        <w:rPr>
          <w:sz w:val="20"/>
          <w:szCs w:val="20"/>
          <w:color w:val="auto"/>
        </w:rPr>
      </w:pPr>
    </w:p>
    <w:p>
      <w:pPr>
        <w:ind w:right="60" w:firstLine="605"/>
        <w:spacing w:after="0" w:line="294" w:lineRule="auto"/>
        <w:rPr>
          <w:sz w:val="20"/>
          <w:szCs w:val="20"/>
          <w:color w:val="auto"/>
        </w:rPr>
      </w:pPr>
      <w:r>
        <w:rPr>
          <w:rFonts w:ascii="Arial" w:cs="Arial" w:eastAsia="Arial" w:hAnsi="Arial"/>
          <w:sz w:val="16"/>
          <w:szCs w:val="16"/>
          <w:color w:val="auto"/>
        </w:rPr>
        <w:t xml:space="preserve">As part of our work to establish our ability to modify genes in the liver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we have successfully delivered an all-in-one AAV vector encoding </w:t>
      </w:r>
      <w:r>
        <w:rPr>
          <w:rFonts w:ascii="Arial" w:cs="Arial" w:eastAsia="Arial" w:hAnsi="Arial"/>
          <w:sz w:val="16"/>
          <w:szCs w:val="16"/>
          <w:i w:val="1"/>
          <w:iCs w:val="1"/>
          <w:color w:val="auto"/>
        </w:rPr>
        <w: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aureus </w:t>
      </w:r>
      <w:r>
        <w:rPr>
          <w:rFonts w:ascii="Arial" w:cs="Arial" w:eastAsia="Arial" w:hAnsi="Arial"/>
          <w:sz w:val="16"/>
          <w:szCs w:val="16"/>
          <w:color w:val="auto"/>
        </w:rPr>
        <w:t>Cas9 and a guide RNA and demonstrated efficient editing of the Factor VII gene, a target in the liver, in mice. In these experiments we evaluated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different AAV vector constructs against a control solution, which we refer to as Control 1, in each case administered by injection into the blood stream. The AAV vectors evaluated in the experiments delivered either an inactive control protein, which we refer to as Control 2,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Cas9 and a selected Factor VII guide RNA, which we refer to as Guide 1, or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Cas9 and a second selected Factor VII guide RNA, which we refer to as Guide 2. In these experiments,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observed editing of the DNA for the Factor VII gene in liver tissue with low levels of editing in tissues other than the liver, as shown in the figure below.</w:t>
      </w: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Editing of Factor VII Gene in Various Tissues of Mice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After Single IV Injection of All-in-One AAV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144145</wp:posOffset>
            </wp:positionV>
            <wp:extent cx="4408170" cy="20923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0817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In addition, we observed a significant reduction in serum levels of Factor VII by each of the two different guide RNAs targeting this gene, as shown in the figure below.</w:t>
      </w:r>
    </w:p>
    <w:p>
      <w:pPr>
        <w:spacing w:after="0" w:line="18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Editing of Factor VII Gene in Liver of Mice</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After Single IV Injection of All-in-One AAV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144145</wp:posOffset>
            </wp:positionV>
            <wp:extent cx="2933065" cy="21437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3306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We believe these data represent an important proof of concept for our ability to develop genome editing medicines that can be delivered to the liver by systemic administration. In addition, the results of this study also provide a framework by which to benchmark different systemic delivery modalities designed to target a range of genes expressed in the liver.</w:t>
      </w:r>
    </w:p>
    <w:p>
      <w:pPr>
        <w:spacing w:after="0" w:line="194" w:lineRule="exact"/>
        <w:rPr>
          <w:sz w:val="20"/>
          <w:szCs w:val="20"/>
          <w:color w:val="auto"/>
        </w:rPr>
      </w:pPr>
    </w:p>
    <w:p>
      <w:pPr>
        <w:ind w:right="60" w:firstLine="611"/>
        <w:spacing w:after="0" w:line="306" w:lineRule="auto"/>
        <w:rPr>
          <w:sz w:val="20"/>
          <w:szCs w:val="20"/>
          <w:color w:val="auto"/>
        </w:rPr>
      </w:pPr>
      <w:r>
        <w:rPr>
          <w:rFonts w:ascii="Arial" w:cs="Arial" w:eastAsia="Arial" w:hAnsi="Arial"/>
          <w:sz w:val="16"/>
          <w:szCs w:val="16"/>
          <w:color w:val="auto"/>
        </w:rPr>
        <w:t xml:space="preserve">We have also made substantial advances in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delivery of CRISPR/Cas9 systems to mature human T cells and hematopoietic stem cells derived from the bone marrow. We have been able to demonstrate approximately 90%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editing in human T cells and greater than 45%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editing in hematopoietic stem cells using either mRNA or RNP complexes. These results are consistent across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multiple cell donors and multiple target genes. We believe this supports the view that there are multiple delivery approaches that can be used to develop medicines for diseases of the blood and bone marrow.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and Specificity</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Control of cellular exposure to the Cas9-guide RNA complex and specificity of the DNA cut are important to optimizing the location and duration of editing activity. We believe these features are critical to designing medicines that are both safe and effective, and we are developing and applying technologies in these areas. We strive to identify, measure, and eliminate off-target activity in a systematic and scalable manner as we optimize our molecules. To accomplish this, we have combined multiple orthogonal methods in the design, testing, and optimization process. Our strategy to assess specificity during the research stage includes:</w:t>
      </w:r>
    </w:p>
    <w:p>
      <w:pPr>
        <w:spacing w:after="0" w:line="210" w:lineRule="exact"/>
        <w:rPr>
          <w:sz w:val="20"/>
          <w:szCs w:val="20"/>
          <w:color w:val="auto"/>
        </w:rPr>
      </w:pPr>
    </w:p>
    <w:p>
      <w:pPr>
        <w:ind w:left="1080" w:right="160" w:hanging="532"/>
        <w:spacing w:after="0" w:line="290"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Establish industry-leading computational tools to design guide RNAs. </w:t>
      </w:r>
      <w:r>
        <w:rPr>
          <w:rFonts w:ascii="Arial" w:cs="Arial" w:eastAsia="Arial" w:hAnsi="Arial"/>
          <w:sz w:val="16"/>
          <w:szCs w:val="16"/>
          <w:color w:val="auto"/>
        </w:rPr>
        <w:t>The guide RNA activates and directs the Cas9 enzyme to the right cutting</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in the genome. It is important for the guide RNA to be highly selective to ensure that the right site is cut. For every guide RNA we test, we compare the targeted DNA sequence to the sequence of the entire human genome to identify all sequences that have significant similarity to the targeted DNA sequence. Based on our internal algorithms, we eliminate any guide RNAs that have certain defined degrees of similarity to other sites across the genome. We continually refine our guide RNA design algorithms based on results from large-scale guide RNA screens and further confirmation and refinement experiments. We expect that this will enhance our ability to design efficient and specific guide RNAs as our database expands over time.</w:t>
      </w:r>
    </w:p>
    <w:p>
      <w:pPr>
        <w:spacing w:after="0" w:line="199" w:lineRule="exact"/>
        <w:rPr>
          <w:rFonts w:ascii="Arial" w:cs="Arial" w:eastAsia="Arial" w:hAnsi="Arial"/>
          <w:sz w:val="16"/>
          <w:szCs w:val="16"/>
          <w:color w:val="auto"/>
        </w:rPr>
      </w:pPr>
    </w:p>
    <w:p>
      <w:pPr>
        <w:ind w:left="1080" w:right="40" w:hanging="532"/>
        <w:spacing w:after="0" w:line="286"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Use multiple unbiased, comprehensive methods to empirically assess specificity in vitro. </w:t>
      </w:r>
      <w:r>
        <w:rPr>
          <w:rFonts w:ascii="Arial" w:cs="Arial" w:eastAsia="Arial" w:hAnsi="Arial"/>
          <w:sz w:val="16"/>
          <w:szCs w:val="16"/>
          <w:color w:val="auto"/>
        </w:rPr>
        <w:t>While computational tools are helpful, they are only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starting point and are insufficient to understand specificity completely. It is critical to make and test molecules in unbiased assays to assess the specificity of their activity. We intend to use multiple methods to empirically assess specificity in order to test for a variety of potential off-target cuts, at sites both similar and dissimilar to the targeted DNA site. For example, we have implemented in our laboratories a method called GUIDE-Seq, which was developed by one of our founders and works in cells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The GUIDE-Seq method identifies potential off-target cuts in DNA by inserting a small, unique piece of synthetic DNA at breaks in the cell's genome and then sequencing the cell's DNA near the site of insertion. A "read" is generated each time the unique piece of inserted DNA is mapped to the cell's genome. The genomic location of the "read" indicates whether a cut was made at the intended site or at an off-target site. We have used the GUIDE-Seq method to assess the specificity of different guide RNAs targeted to the same gene. In one experiment, we evaluated three different Cas9-guide RNA complexes targeted at a single gene and observed that two of the Cas9-guide RNA complexes were able to produce targeted cuts in the DNA with no apparent off-target cut sites while the third produced two different types of off-target cuts, as shown in the figure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Specificity Analysis by GUIDE-Seq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152400</wp:posOffset>
            </wp:positionV>
            <wp:extent cx="3173095" cy="23495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7309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20" w:right="20"/>
        <w:spacing w:after="0" w:line="268" w:lineRule="auto"/>
        <w:rPr>
          <w:sz w:val="20"/>
          <w:szCs w:val="20"/>
          <w:color w:val="auto"/>
        </w:rPr>
      </w:pPr>
      <w:r>
        <w:rPr>
          <w:rFonts w:ascii="Arial" w:cs="Arial" w:eastAsia="Arial" w:hAnsi="Arial"/>
          <w:sz w:val="18"/>
          <w:szCs w:val="18"/>
          <w:color w:val="auto"/>
        </w:rPr>
        <w:t>We are applying this method to our early programs, including our LCA10 and engineered T cell programs. In addition, we are expanding our capabilities to include techniques other than GUIDE-Seq to assess specificity empirically.</w:t>
      </w:r>
    </w:p>
    <w:p>
      <w:pPr>
        <w:spacing w:after="0" w:line="199" w:lineRule="exact"/>
        <w:rPr>
          <w:sz w:val="20"/>
          <w:szCs w:val="20"/>
          <w:color w:val="auto"/>
        </w:rPr>
      </w:pPr>
    </w:p>
    <w:p>
      <w:pPr>
        <w:ind w:left="1080" w:right="2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Create validated assay panels composed of potential off-target sites identified by both computational approaches and the use of other unbiased methods. </w:t>
      </w:r>
      <w:r>
        <w:rPr>
          <w:rFonts w:ascii="Arial" w:cs="Arial" w:eastAsia="Arial" w:hAnsi="Arial"/>
          <w:sz w:val="18"/>
          <w:szCs w:val="18"/>
          <w:color w:val="auto"/>
        </w:rPr>
        <w:t>These targeted resequencing assay panels will then be applied to</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experimental systems to confirm specificity as we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to the clinic.</w:t>
      </w:r>
    </w:p>
    <w:p>
      <w:pPr>
        <w:spacing w:after="0" w:line="194"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To optimize the specificity of any product candidate we may develop, there are a number of different aspects of the product configuration that we will refine in addition to the sequence of the guide RNA. The length of the guide RNA, the type of Cas9 enzyme, the delivery vector, the use of tissue-selective promoters, and the duration of exposure all contribute to overall specificity, and we optimize each of these elements for every program. We have evaluated various forms of Cas9 enzymes and different promoters for selective expression in different cell types, which we believe have the potential to increase the tissue specificity of our medicines. We have also identified and characterized an alternate promoter system for the expression of guide RNAs to selectively enhance editing activity in targeted tissues and implemented and produced a detailed characterization of multiple distinct approaches to specificity evaluation in order to best characterize the specificity of our genome editing approaches. To reduce the persistence of genome editing activity, we are developing self-regulating genome editing systems designed to deliver not only the Cas9-guide RNA complex, but also an "off switch" that reduces the presence of the Cas9-guide RNA complex over time. We have completed studies of these systems that demonstrate the ability to both maintain on-target editing and also reduce levels of editing components once the on-target edit is likely to have been completed.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Directed Editing</w:t>
      </w:r>
    </w:p>
    <w:p>
      <w:pPr>
        <w:spacing w:after="0" w:line="225"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There are different mechanisms that a cell can use to repair cuts in DNA. Each mechanism results in different kinds of genetic changes. The two major DNA repair mechanisms are NHEJ and HDR. We are developing approaches to selectively harness these DNA repair mechanisms to be able to drive the appropriate type of repair for a given disease. In particular, a significant part of our effort to expand our platform is to develop methods to better direct the HDR mechanism. We are taking several approaches to improve our understanding of HDR-based DNA repair and to develop tools to influence</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The ability to direct the DNA repair mechanism is critical to achieving the broadest potential for our platform.</w:t>
      </w:r>
    </w:p>
    <w:p>
      <w:pPr>
        <w:spacing w:after="0" w:line="225"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Our initial work in directed editing has focused on the gene for HBB, which is mutated in beta thalassemia and sickle cell disease. We have investigated how different kinds of DNA cuts by a CRISPR/Cas9 molecule drive the choice of DNA repair mechanism used by the cell to repair these cuts. These experiments took advantage of the flexibility of CRISPR/Cas9 targeting as well as a series of engineered variants of the Cas9 enzyme that either cut one or both strands of the DNA double helix. The wild type Cas9 enzyme cuts both strands of DNA. Engineered variants of the Cas9 enzyme that only cut one of the two strands are called nickases. In experiments in cells, we used three different versions of the Cas9 enzyme and we designed guide RNAs to direct them to make three kinds of cuts in the HBB gene:</w:t>
      </w:r>
    </w:p>
    <w:p>
      <w:pPr>
        <w:spacing w:after="0" w:line="212" w:lineRule="exact"/>
        <w:rPr>
          <w:sz w:val="20"/>
          <w:szCs w:val="20"/>
          <w:color w:val="auto"/>
        </w:rPr>
      </w:pPr>
    </w:p>
    <w:p>
      <w:pPr>
        <w:ind w:left="1080" w:right="3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Blunt-Ended DNA Cut</w:t>
      </w:r>
      <w:r>
        <w:rPr>
          <w:rFonts w:ascii="Arial" w:cs="Arial" w:eastAsia="Arial" w:hAnsi="Arial"/>
          <w:sz w:val="18"/>
          <w:szCs w:val="18"/>
          <w:color w:val="auto"/>
        </w:rPr>
        <w:t>: We used the wild type Cas9 enzyme with a single guide RNA to create a cut through both strands of the DNA double</w:t>
      </w:r>
      <w:r>
        <w:rPr>
          <w:rFonts w:ascii="Arial" w:cs="Arial" w:eastAsia="Arial" w:hAnsi="Arial"/>
          <w:sz w:val="18"/>
          <w:szCs w:val="18"/>
          <w:i w:val="1"/>
          <w:iCs w:val="1"/>
          <w:color w:val="auto"/>
        </w:rPr>
        <w:t xml:space="preserve"> </w:t>
      </w:r>
      <w:r>
        <w:rPr>
          <w:rFonts w:ascii="Arial" w:cs="Arial" w:eastAsia="Arial" w:hAnsi="Arial"/>
          <w:sz w:val="18"/>
          <w:szCs w:val="18"/>
          <w:color w:val="auto"/>
        </w:rPr>
        <w:t>helix in the same place, leaving what is referred to as a blunt end (left figure below).</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3' Overhang DNA Cut</w:t>
      </w:r>
      <w:r>
        <w:rPr>
          <w:rFonts w:ascii="Arial" w:cs="Arial" w:eastAsia="Arial" w:hAnsi="Arial"/>
          <w:sz w:val="18"/>
          <w:szCs w:val="18"/>
          <w:color w:val="auto"/>
        </w:rPr>
        <w:t>: We designed two "bottom strand" Cas9 nickases so that each nickase cuts one strand of the DNA double helix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guide RNAs directed them to opposite sides of the helix. These single-stranded cuts in the DNA were offset from one another by a short distance and resulted in what is termed a 3' overhang (middle figure below).</w:t>
      </w:r>
    </w:p>
    <w:p>
      <w:pPr>
        <w:spacing w:after="0" w:line="207" w:lineRule="exact"/>
        <w:rPr>
          <w:rFonts w:ascii="Arial" w:cs="Arial" w:eastAsia="Arial" w:hAnsi="Arial"/>
          <w:sz w:val="18"/>
          <w:szCs w:val="18"/>
          <w:color w:val="auto"/>
        </w:rPr>
      </w:pPr>
    </w:p>
    <w:p>
      <w:pPr>
        <w:ind w:left="1080" w:right="300" w:hanging="532"/>
        <w:spacing w:after="0" w:line="335" w:lineRule="auto"/>
        <w:tabs>
          <w:tab w:leader="none" w:pos="108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5' Overhang DNA Cut</w:t>
      </w:r>
      <w:r>
        <w:rPr>
          <w:rFonts w:ascii="Arial" w:cs="Arial" w:eastAsia="Arial" w:hAnsi="Arial"/>
          <w:sz w:val="15"/>
          <w:szCs w:val="15"/>
          <w:color w:val="auto"/>
        </w:rPr>
        <w:t>: We designed two "top strand" Cas9 nickases so that each nickase cuts one strand of the DNA double helix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 guide RNAs directed them to opposite sides of the helix. Once again, these single-stranded cuts in the DNA were offset from one another by a short distance. In this case, the use of two offset, top strand nickases resulted in what is termed a 5' overhang (right figure below).</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Schematic of Experiment Testing Role of Cut Type in HDR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152400</wp:posOffset>
            </wp:positionV>
            <wp:extent cx="4244975" cy="25298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4497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firstLine="611"/>
        <w:spacing w:after="0" w:line="332" w:lineRule="auto"/>
        <w:rPr>
          <w:sz w:val="20"/>
          <w:szCs w:val="20"/>
          <w:color w:val="auto"/>
        </w:rPr>
      </w:pPr>
      <w:r>
        <w:rPr>
          <w:rFonts w:ascii="Arial" w:cs="Arial" w:eastAsia="Arial" w:hAnsi="Arial"/>
          <w:sz w:val="16"/>
          <w:szCs w:val="16"/>
          <w:color w:val="auto"/>
        </w:rPr>
        <w:t>We applied these Cas9-guide RNA complexes to cells and assessed how the cells repaired their DNA as measured by editing of DNA for the HBB gene. In addition, we included in these studies an extra piece of DNA called a repair template. This DNA, or ssODN, contained a DNA sequence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could detect so that we could determine if the cell used the ssODN piece of DNA in the repair process. The results of this experiment are shown in the figure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Different Hemoglobin Beta</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 Editing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144145</wp:posOffset>
            </wp:positionV>
            <wp:extent cx="3164205" cy="24441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6420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These studies demonstrated that the cells used different DNA repair mechanisms to edit the HBB gene depending on the type of DNA cut. Importantly, in response to a 5' overhang cut, the cells used the HDR process much more often than in response to the other types of cuts. The cells used the experimentally supplied ssODN piece of DNA as the template for HDR fairly frequently (23%). In addition, there was a relatively high frequency (25%) of a phenomenon known as gene conversion. In the case of gene conversion, the template for repair was the gene for hemoglobin delta (HBD), a gene that is physically close and highly similar to the HBB gene.</w:t>
      </w:r>
    </w:p>
    <w:p>
      <w:pPr>
        <w:spacing w:after="0" w:line="197"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These results show the flexibility of CRISPR/Cas9 technology in creating multiple cut types and demonstrate that different cut types can result in profoundly different gene repair outcomes. In addition, the observed use of nearby very similar DNA from the HBD gene sequences suggests that a more generalizable approach to gene correction may be possible by designing cuts that drive cells to repair mutations from pre-existing DNA sequences that are appropriately co-located. Based in part on these observations, we are seeking to drive HDR-based repair by developing engineered DNA repair templates as well as tethering DNA repair templates to the Cas9-guide RNA complex. We believe that our ability to understand and harness the editing mechanisms used by cells creates opportunities to improve our existing programs and opens up new opportunities to develop medicines.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Juno Therapeutics Collaboration and License Agreement</w:t>
      </w:r>
    </w:p>
    <w:p>
      <w:pPr>
        <w:spacing w:after="0" w:line="231"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In May 2015, we entered into a collaboration and license agreement with Juno Therapeutics for the research and development of engineered T cells with chimeric antigen receptors, or CARs, and T cell receptors, or TCRs, that have been genetically modified to recognize and kill other cells. In particular, Juno Therapeutics and we will research and develop CAR and TCR engineered T cell products across three research programs over a five-year period, ending on May 26, 2020. Juno Therapeutics has the option to extend the research period through May 26, 2022, upon payment of one-year extension fees in the mid-single-digit millions of dollars per year. We refer to the five- to seven-year period as the research program term of the collaboration.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5"/>
        <w:spacing w:after="0" w:line="254" w:lineRule="auto"/>
        <w:rPr>
          <w:sz w:val="20"/>
          <w:szCs w:val="20"/>
          <w:color w:val="auto"/>
        </w:rPr>
      </w:pPr>
      <w:r>
        <w:rPr>
          <w:rFonts w:ascii="Arial" w:cs="Arial" w:eastAsia="Arial" w:hAnsi="Arial"/>
          <w:sz w:val="18"/>
          <w:szCs w:val="18"/>
          <w:color w:val="auto"/>
        </w:rPr>
        <w:t>During the research program term, we are responsible for generating genome editing reagents that modify gene targets selected by Juno Therapeutics. Juno Therapeutics is responsible for evaluating and selecting for further research and development CAR and TCR engineered T cell products modified with our genome editing reagents. Except for our obligations under the mutually agreed research plan, Juno Therapeutics has sole responsibility, at its own cost, for the worldwide development, manufacturing, and commercialization of the selected CAR and TCR engineered T cell products for the diagnosis, treatment, or prevention of any cancer in humans, excluding the diagnosis, treatment, or prevention of medullary cystic kidney disease 1, which we refer to as the exclusive field.</w:t>
      </w:r>
    </w:p>
    <w:p>
      <w:pPr>
        <w:spacing w:after="0" w:line="198" w:lineRule="exact"/>
        <w:rPr>
          <w:sz w:val="20"/>
          <w:szCs w:val="20"/>
          <w:color w:val="auto"/>
        </w:rPr>
      </w:pPr>
    </w:p>
    <w:p>
      <w:pPr>
        <w:ind w:right="40" w:firstLine="615"/>
        <w:spacing w:after="0" w:line="286" w:lineRule="auto"/>
        <w:rPr>
          <w:sz w:val="20"/>
          <w:szCs w:val="20"/>
          <w:color w:val="auto"/>
        </w:rPr>
      </w:pPr>
      <w:r>
        <w:rPr>
          <w:rFonts w:ascii="Arial" w:cs="Arial" w:eastAsia="Arial" w:hAnsi="Arial"/>
          <w:sz w:val="16"/>
          <w:szCs w:val="16"/>
          <w:color w:val="auto"/>
        </w:rPr>
        <w:t>Under the collaboration agreement, we granted to Juno Therapeutics an exclusive (even as to us), worldwide, milestone and royalty-bearing, sublicensable license to certain of our owned and in-licensed patent rights to research, develop, make, have made, use, offer for sale, sell and import selected CAR and TCR engineered T cell products in the exclusive field. In addition, we granted to Juno Therapeutics a non-exclusive, worldwide, milestone and royalty-bearing, sublicensable license to certain of our owned and in-licensed patent rights to use genome editing reagents that are used in the creation of a CAR or TCR engineered T cell product on which Juno Therapeutics has filed an IND for the treatment or prevention of a cancer in humans for researching, developing, making, having made, using, offering for sale, selling, and importing that CAR or TCR engineered T cell product in all fields outside of the exclusive field, excluding the diagnosis, treatment, or prevention of medullary cystic kidney disease 1. We further granted to Juno Therapeutics a non-exclusive, worldwide, non-sublicensable license to certain of our owned and in-licensed patent rights to, among other things, conduct the activities assigned to Juno under the mutually agreed research plan and to our genome editing reagents for further research and development of CAR and TCR engineered T cell products. Juno Therapeutics granted to us a non-exclusive, worldwide, royalty-free, and non-sublicensable license to certain Juno Therapeutics patents solely for the purpose of our conducting the research activities assigned to us under the mutually agreed research plan.</w:t>
      </w:r>
    </w:p>
    <w:p>
      <w:pPr>
        <w:spacing w:after="0" w:line="18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During the research program term and except pursuant to the collaboration agreement, we may not conduct or participate in, and may not license, fund or otherwise enable a third party to conduct or participate in, research, development, manufacture, or commercialization of CAR and TCR engineered T cells in the exclusive field. In addition, we may not enter into any collaboration, license, or other relationship with a third party to use our genome editing technology with respect to CAR and TCR engineered T cells in any other field, excluding the diagnosis, treatment, or prevention of medullary cystic kidney disease 1, unless we first provide written notice to Juno Therapeutics and provide Juno Therapeutics an opportunity to discuss a comparable collaboration, license, or other relationship. Juno Therapeutics has agreed to certain exclusivity obligations with us with respect to certain gene editing technologies.</w:t>
      </w:r>
    </w:p>
    <w:p>
      <w:pPr>
        <w:spacing w:after="0" w:line="174"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During the term of the collaboration agreement and except pursuant to the collaboration agreement, we may not conduct or participate in, and may not license, fund, or otherwise enable a third party to conduct or participate in, research, development, manufacturing, or commercialization activities involving the use of our genome editing technology, or any genome editing technology similar to ours, with respect to the gene targets selected by Juno Therapeutics during the research program term for further research and development in the exclusive field. During the term of the collaboration agreement and except pursuant to the collaboration agreement, we may not conduct or participate in, and may not license, fund, or otherwise enable a third party to conduct or participate in, research, development, manufacturing, or commercialization activities with respect to a certain type of CAR or TCR engineered T cell product for use in the exclusive field, where such product targets a protein designated by Juno Therapeutics during the research program term as a target for Juno Therapeutics' further research and development of that certain type of CAR or TCR engineered T cell product.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Juno Therapeutics and we each must use diligent efforts to perform all activities for which Juno Therapeutics or we are responsible under the collaboration. Juno Therapeutics also is required to achieve certain regulatory objectives with respect to the engineered T cells in each of the three programs by specified dates. Under the agreement, if Juno Therapeutics does not meet its initial regulatory objective by the required date with respect to an engineered T cell in a specified program, then we can, as our exclusive remedy to Juno Therapeutics' failure, convert the exclusive license we granted to Juno Therapeutics to a non-exclusive license to Juno Therapeutics with respect to the particular program to which Juno Therapeutics' failure relates. If Juno Therapeutics does not meet a subsequent regulatory objective with respect to an engineered T cell within a program, then we can, as our exclusive remedy to Juno Therapeutics' failure, convert the exclusive license we granted to Juno Therapeutics to a non-exclusive license to Juno Therapeutics with respect to the particular engineered T cell to which Juno Therapeutics' failure relates.</w:t>
      </w:r>
    </w:p>
    <w:p>
      <w:pPr>
        <w:spacing w:after="0" w:line="172"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collaboration is supervised by a joint research committee, or JRC, comprising an equal number of representatives from each of Juno Therapeutics and us. The JRC oversees and coordinates research activities during the research program term. Moreover, each party will appoint a project leader and the project leaders will be responsible for, among other things, coordinating the day-to-day work and raising cross-party disputes in a timely manner. Decisions of the JRC are made by unanimous vote, with each of Juno Therapeutics and us having one vote. If the JRC is not able to reach a unanimous decision, Juno Therapeutics' and our respective chief executive officers will attempt to resolve the dispute in good faith. If the chief executive officers cannot resolve the dispute, subject to certain requirements, Juno Therapeutics has the final decision making authority with respect to disputes relating to the development of the licensed products within the research plan, and we have the final decision making authority with respect to disputes relating to our patents, know-how and technology.</w:t>
      </w:r>
    </w:p>
    <w:p>
      <w:pPr>
        <w:spacing w:after="0" w:line="172"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Under the terms of the collaboration agreement, we received an upfront payment of $25.0 million from Juno Therapeutics. In addition, we will receive up to $22.0 million in research support over the next five years across the three programs under our collaboration, subject to adjustment in accordance with the terms of the agreement. We are eligible to receive future research and regulatory milestones of approximately $160 million for each of the first products developed in each of the three research programs and additional, reduced research and regulatory milestones for subsequent products. We also are eligible to receive future commercial sales milestones of $75 million based on certain specified thresholds of aggregate, worldwide net sales of all engineered T cell products within each of the three research programs. Further, we are eligible to receive tiered royalties of low double-digit percentages of Juno Therapeutics' net sales of products licensed under our collaboration agreement. Juno Therapeutics' obligation to pay royalties on a licensed product will expire on a product-by-product and country-by-country basis upon the later of the tenth anniversary of the first commercial sale of such licensed product and the expiration of the last to expire valid claim within the licensed patents covering such licensed product. If Juno Therapeutics is required to pay royalties on net sales of a licensed product to a third party because the licensed product is covered under the third party's patent, then Juno Therapeutics can credit a certain percentage of its payments to the third party against the royalties it owes us, subject to certain maximum deduction limits.</w:t>
      </w:r>
    </w:p>
    <w:p>
      <w:pPr>
        <w:spacing w:after="0" w:line="181" w:lineRule="exact"/>
        <w:rPr>
          <w:sz w:val="20"/>
          <w:szCs w:val="20"/>
          <w:color w:val="auto"/>
        </w:rPr>
      </w:pPr>
    </w:p>
    <w:p>
      <w:pPr>
        <w:ind w:right="120" w:firstLine="611"/>
        <w:spacing w:after="0" w:line="254" w:lineRule="auto"/>
        <w:rPr>
          <w:sz w:val="20"/>
          <w:szCs w:val="20"/>
          <w:color w:val="auto"/>
        </w:rPr>
      </w:pPr>
      <w:r>
        <w:rPr>
          <w:rFonts w:ascii="Arial" w:cs="Arial" w:eastAsia="Arial" w:hAnsi="Arial"/>
          <w:sz w:val="18"/>
          <w:szCs w:val="18"/>
          <w:color w:val="auto"/>
        </w:rPr>
        <w:t>We will own any inventions developed by our employees and agents during our collaboration with Juno Therapeutics. Juno Therapeutics and we will jointly own any inventions made jointly by employees or agents of Juno Therapeutics and us during our collaboration with Juno Therapeutics. We retain control, at our own cost, of the prosecution and maintenance of our solely owned patents. Juno Therapeutics and we will be jointly responsible for the prosecution and maintenance of any jointly owned patents. We hold the final decision making authority with respect to claims of jointly owned patents relating to our genome editing technology and Juno Therapeutics holds the final decision making authority with respect to claims of jointly owned patents relating to CAR and TCR engineered T cell products.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Unless terminated earlier, the term of the collaboration agreement will expire on a product-by-product and country-by-country basis until the date no further payments are due to us from Juno Therapeutics. Juno Therapeutics may terminate the agreement for convenience in its entirety upon six months' written notice to us. Either Juno Therapeutics or we may terminate the agreement if the other party is in material breach and fails to cure such breach within the specified cure period. Either Juno Therapeutics or we may terminate the agreement in the event of insolvency or bankruptcy of the other party.</w:t>
      </w:r>
    </w:p>
    <w:p>
      <w:pPr>
        <w:spacing w:after="0" w:line="167" w:lineRule="exact"/>
        <w:rPr>
          <w:sz w:val="20"/>
          <w:szCs w:val="20"/>
          <w:color w:val="auto"/>
        </w:rPr>
      </w:pPr>
    </w:p>
    <w:p>
      <w:pPr>
        <w:ind w:right="20" w:firstLine="615"/>
        <w:spacing w:after="0" w:line="298" w:lineRule="auto"/>
        <w:rPr>
          <w:sz w:val="20"/>
          <w:szCs w:val="20"/>
          <w:color w:val="auto"/>
        </w:rPr>
      </w:pPr>
      <w:r>
        <w:rPr>
          <w:rFonts w:ascii="Arial" w:cs="Arial" w:eastAsia="Arial" w:hAnsi="Arial"/>
          <w:sz w:val="16"/>
          <w:szCs w:val="16"/>
          <w:color w:val="auto"/>
        </w:rPr>
        <w:t>If Juno Therapeutics terminates the agreement as a result of our uncured material breach, Juno Therapeutics' rights and licenses to our specified patent rights, Juno Therapeutics' obligations to pay us certain research milestones and royalties, and Juno Therapeutics' rights to prosecute, maintain, and enforce certain patent rights each continue as set forth under the agreement. If Juno Therapeutics terminates the agreement for convenience or we terminate the agreement as a result of Juno Therapeutics' uncured material breach, the licenses we granted to Juno Therapeutics will terminate.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40" w:firstLine="611"/>
        <w:spacing w:after="0" w:line="254" w:lineRule="auto"/>
        <w:rPr>
          <w:sz w:val="20"/>
          <w:szCs w:val="20"/>
          <w:color w:val="auto"/>
        </w:rPr>
      </w:pPr>
      <w:r>
        <w:rPr>
          <w:rFonts w:ascii="Arial" w:cs="Arial" w:eastAsia="Arial" w:hAnsi="Arial"/>
          <w:sz w:val="18"/>
          <w:szCs w:val="18"/>
          <w:color w:val="auto"/>
        </w:rPr>
        <w:t>The biotechnology and pharmaceutical industries, including in the gene therapy and genome-editing fields, are characterized by rapidly advancing technologies, intense competition, and a strong emphasis on intellectual property and proprietary products.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98" w:lineRule="exact"/>
        <w:rPr>
          <w:sz w:val="20"/>
          <w:szCs w:val="20"/>
          <w:color w:val="auto"/>
        </w:rPr>
      </w:pPr>
    </w:p>
    <w:p>
      <w:pPr>
        <w:ind w:right="100" w:firstLine="611"/>
        <w:spacing w:after="0" w:line="259" w:lineRule="auto"/>
        <w:rPr>
          <w:sz w:val="20"/>
          <w:szCs w:val="20"/>
          <w:color w:val="auto"/>
        </w:rPr>
      </w:pPr>
      <w:r>
        <w:rPr>
          <w:rFonts w:ascii="Arial" w:cs="Arial" w:eastAsia="Arial" w:hAnsi="Arial"/>
          <w:sz w:val="18"/>
          <w:szCs w:val="18"/>
          <w:color w:val="auto"/>
        </w:rPr>
        <w:t>We compete in the segments of the pharmaceutical, biotechnology, and other related markets that utilize technologies encompassing genomic medicines to create therapies, including genome editing and gene therapy. There are additional companies that are working to develop therapies in areas related to our research programs.</w:t>
      </w:r>
    </w:p>
    <w:p>
      <w:pPr>
        <w:spacing w:after="0" w:line="194"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Our platform and product focus is the development of therapies using CRISPR/Cas9 technology. Other companies developing CRISPR/Cas9 technology include Caribou Biosciences, CRISPR Therapeutics, and Intellia Therapeutics. In addition, there have been and may continue to be discoveries of new CRISPR-based gene editing technologies, such as the recently discovered nuclease Cpf1. Cpf1 is early in its scientific characterization; however, its researchers have asserted that it might provide advantages over Cas9 in genome editing applications, including that Cpf1 requires only one guide RNA in contrast to the two guide RNAs required with Cas9, which could simplify the design and delivery of genome-editing tools, and that Cpf1 generates staggered DNA cuts in contrast to the blunt-end cuts generated by Cas9, which could be advantageous for facilitating NHEJ-based gene insertion.</w:t>
      </w:r>
    </w:p>
    <w:p>
      <w:pPr>
        <w:spacing w:after="0" w:line="174"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There are additional companies developing therapies using additional genome editing technologies, including TALENs, meganucleases, Mega-TALs, and zinc finger nucleases. Potential advantages of these additional genome editing technologies include their degree of scientific characterization to date, which may allow for more rapid development of subsequent programs; the range of sites that each is able to recognize and the location of the DNA cut relative to the recognition sequence, each of which may allow for a different range of targets to be addressed; and the orientation of the DNA ends that are left behind after cutting. The companies developing these additional genome editing technologies include bluebird bio, Cellectis, Poseida Therapeutics, Precision Biosciences, and Sangamo Biosciences. Additional companies developing gene therapy products include Abeona Therapeutics, AGTC Therapeutics, Avalanche Biotechnologies, Dimension Therapeutics,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REGENXBIO, Spark Therapeutics, uniQure, and Voyager Therapeutics. In addition to competition from other genome editing therapies or gene therapies, any products that we develop may also face competition from other types of therapies, such as small molecule, antibody, or protein therapies.</w:t>
      </w:r>
    </w:p>
    <w:p>
      <w:pPr>
        <w:spacing w:after="0" w:line="139"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Caribou Biosciences, CRISPR Therapeutics, and Intellia Therapeutics have all reported that they have obtained licenses to a family of patent applications that was filed by the University of California, the University of Vienna, and Emmanuelle Charpentier and has an earliest priority date which pre-dates the priority dates of our in-licensed patents and patent applications. CRISPR Therapeutics has reported that it has an exclusive license to patent rights from Emmanuelle Charpentier. Caribou Biosciences has reported that it has an exclusive license to patent rights from the University of California and the University of Vienna. Intellia Therapeutics has reported that it has an exclusive license to such rights from Caribou Biosciences in certain fields. The University of California derives rights in such applications from an assignment by Dr. Jennifer Doudna and certain other inventors listed on such applications. Dr. Doudna was a founder of our company and entered into a consulting agreement with us at the time of our founding. However, Dr. Doudna gave notice of termination of that agreement in May 2014 after less than seven months of service, and she has had no further engagement in our business since that time. Dr. Doudna is also a founder of Caribou Biosciences and has been publicly identified as an advisor to Intellia Therapeutics. For more information regarding the risks associated with third party intellectual property, please see "Risk Factors—Risks Related to Our Intellectual Property."</w:t>
      </w:r>
    </w:p>
    <w:p>
      <w:pPr>
        <w:spacing w:after="0" w:line="177"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181" w:lineRule="exact"/>
        <w:rPr>
          <w:sz w:val="20"/>
          <w:szCs w:val="20"/>
          <w:color w:val="auto"/>
        </w:rPr>
      </w:pPr>
    </w:p>
    <w:p>
      <w:pPr>
        <w:ind w:right="300" w:firstLine="615"/>
        <w:spacing w:after="0" w:line="259" w:lineRule="auto"/>
        <w:rPr>
          <w:sz w:val="20"/>
          <w:szCs w:val="20"/>
          <w:color w:val="auto"/>
        </w:rPr>
      </w:pPr>
      <w:r>
        <w:rPr>
          <w:rFonts w:ascii="Arial" w:cs="Arial" w:eastAsia="Arial" w:hAnsi="Arial"/>
          <w:sz w:val="18"/>
          <w:szCs w:val="18"/>
          <w:color w:val="auto"/>
        </w:rPr>
        <w:t>If our current programs are approved for the indications for which we are currently planning clinical trials, they may compete with other products currently under development, including genome editing and gene therapy products. Competition with other related products currently under development may include competition for clinical trial sites, patient recruitment, and product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Our success depends in part on our ability to obtain and maintain proprietary protection for our platform technology, programs, and know-how related to our business, defend and enforce our intellectual property rights, in particular, our patent rights, preserve the confidentiality of our trade secrets, and operate without infringing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available. 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97" w:lineRule="exact"/>
        <w:rPr>
          <w:sz w:val="20"/>
          <w:szCs w:val="20"/>
          <w:color w:val="auto"/>
        </w:rPr>
      </w:pPr>
    </w:p>
    <w:p>
      <w:pPr>
        <w:ind w:right="120" w:firstLine="615"/>
        <w:spacing w:after="0" w:line="294" w:lineRule="auto"/>
        <w:rPr>
          <w:sz w:val="20"/>
          <w:szCs w:val="20"/>
          <w:color w:val="auto"/>
        </w:rPr>
      </w:pPr>
      <w:r>
        <w:rPr>
          <w:rFonts w:ascii="Arial" w:cs="Arial" w:eastAsia="Arial" w:hAnsi="Arial"/>
          <w:sz w:val="16"/>
          <w:szCs w:val="16"/>
          <w:color w:val="auto"/>
        </w:rPr>
        <w:t xml:space="preserve">Our in-licensed patents cover various aspects of our genome editing platform technology, including CRISPR/Cas9 systems that employ viral vectors for delivery, single guide RNAs, modified guide RNAs,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Cas9, or a Cas9 nickase. In addition, we have filed patent applications and have in-licensed rights to filed patent applications directed to each of the four components of our genome editing platform technology. We intend to pursue, when possible, additional patent protection, including composition of matter, method of use, and process claims, directed to each component of our platform technology. We also intend to obtain rights to existing delivery technologies through one or more licenses from third parties.</w:t>
      </w:r>
    </w:p>
    <w:p>
      <w:pPr>
        <w:spacing w:after="0" w:line="170" w:lineRule="exact"/>
        <w:rPr>
          <w:sz w:val="20"/>
          <w:szCs w:val="20"/>
          <w:color w:val="auto"/>
        </w:rPr>
      </w:pPr>
    </w:p>
    <w:p>
      <w:pPr>
        <w:ind w:right="100" w:firstLine="615"/>
        <w:spacing w:after="0" w:line="291" w:lineRule="auto"/>
        <w:rPr>
          <w:sz w:val="20"/>
          <w:szCs w:val="20"/>
          <w:color w:val="auto"/>
        </w:rPr>
      </w:pPr>
      <w:r>
        <w:rPr>
          <w:rFonts w:ascii="Arial" w:cs="Arial" w:eastAsia="Arial" w:hAnsi="Arial"/>
          <w:sz w:val="16"/>
          <w:szCs w:val="16"/>
          <w:color w:val="auto"/>
        </w:rPr>
        <w:t>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Moreover, trade secrets can be difficult to protect.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"Risk Factors—Risks Related to Our Intellectual Property."</w:t>
      </w:r>
    </w:p>
    <w:p>
      <w:pPr>
        <w:spacing w:after="0" w:line="174" w:lineRule="exact"/>
        <w:rPr>
          <w:sz w:val="20"/>
          <w:szCs w:val="20"/>
          <w:color w:val="auto"/>
        </w:rPr>
      </w:pPr>
    </w:p>
    <w:p>
      <w:pPr>
        <w:ind w:firstLine="605"/>
        <w:spacing w:after="0" w:line="253" w:lineRule="auto"/>
        <w:rPr>
          <w:sz w:val="20"/>
          <w:szCs w:val="20"/>
          <w:color w:val="auto"/>
        </w:rPr>
      </w:pPr>
      <w:r>
        <w:rPr>
          <w:rFonts w:ascii="Arial" w:cs="Arial" w:eastAsia="Arial" w:hAnsi="Arial"/>
          <w:sz w:val="18"/>
          <w:szCs w:val="18"/>
          <w:color w:val="auto"/>
        </w:rPr>
        <w:t>As of November 30, 2015, we owned two pending U.S. non-provisional patent applications, 14 pending U.S. provisional patent applications, and 15 pending Patent Cooperation Treaty, or PCT, applications which include claims to compositions of matter and methods of use. With respect to one of these pending U.S. non-provisional applications and its corresponding pending PCT application, we have determined that certain of the claims of such applications cover subject matter invented jointly by us and other third parties, which will result in certain third parties holding co-ownership rights in such applications. Therefore, we intend to update these applications to reflect such joint inventorship and seek a license to such co-ownership rights from such third parties. We intend to pursue, when possible, composition of matter, method of use, dosing, and formulation patent protection for genome editing products that we develop during the course of our business.</w:t>
      </w:r>
    </w:p>
    <w:p>
      <w:pPr>
        <w:spacing w:after="0" w:line="201" w:lineRule="exact"/>
        <w:rPr>
          <w:sz w:val="20"/>
          <w:szCs w:val="20"/>
          <w:color w:val="auto"/>
        </w:rPr>
      </w:pPr>
    </w:p>
    <w:p>
      <w:pPr>
        <w:ind w:right="20" w:firstLine="605"/>
        <w:spacing w:after="0" w:line="288" w:lineRule="auto"/>
        <w:rPr>
          <w:sz w:val="20"/>
          <w:szCs w:val="20"/>
          <w:color w:val="auto"/>
        </w:rPr>
      </w:pPr>
      <w:r>
        <w:rPr>
          <w:rFonts w:ascii="Arial" w:cs="Arial" w:eastAsia="Arial" w:hAnsi="Arial"/>
          <w:sz w:val="16"/>
          <w:szCs w:val="16"/>
          <w:color w:val="auto"/>
        </w:rPr>
        <w:t>As of November 30, 2015, we in-licensed 21 U.S. patents, which include claims to compositions of matter, methods of use, and certain processes as well as approximately 66 pending U.S. patent applications, four European patents and related validations, 28 pending European patent applications, 23 pending PCT applications, and other related patent applications in jurisdictions outside the United States and Europe, which include claims to compositions of matter, methods of use, and certain processes. The patents and patent applications outside of the United States and Europe are held primarily in Canada, Japan, and Australia, although some of our in-licensed patent families were filed in a larger number of countries. Our in-licensed patents and patent applications claim the inventions of investigators at The Broad Institute Inc., or Broad, President and Fellows of Harvard College, or Harvard, Massachusetts Institute of Technology, or MIT, The General Hospital Corporation d/b/a Massachusetts General Hospital, or MGH, and Duke University, or Duke, and the majority of these licensed patents and patent applications are licensed on an exclusive basis. The exclusive licenses are, in some cases, limited to certain technical fields. Certain patent applications licensed to us by Broad (including a continuation of one of these applications) include Rockefeller as a joint applicant. Broad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does not and does not purport to grant any rights in Rockefeller's interest in these patent applications under our agreement. As a result, Broad may not be the sole and exclusive owner of any patents that issue from these patent applications. For more information regarding these license agreements, please see "Business— License Agreements."</w:t>
      </w:r>
    </w:p>
    <w:p>
      <w:pPr>
        <w:spacing w:after="0" w:line="194" w:lineRule="exact"/>
        <w:rPr>
          <w:sz w:val="20"/>
          <w:szCs w:val="20"/>
          <w:color w:val="auto"/>
        </w:rPr>
      </w:pPr>
    </w:p>
    <w:p>
      <w:pPr>
        <w:ind w:firstLine="615"/>
        <w:spacing w:after="0" w:line="282" w:lineRule="auto"/>
        <w:rPr>
          <w:sz w:val="20"/>
          <w:szCs w:val="20"/>
          <w:color w:val="auto"/>
        </w:rPr>
      </w:pPr>
      <w:r>
        <w:rPr>
          <w:rFonts w:ascii="Arial" w:cs="Arial" w:eastAsia="Arial" w:hAnsi="Arial"/>
          <w:sz w:val="16"/>
          <w:szCs w:val="16"/>
          <w:color w:val="auto"/>
        </w:rPr>
        <w:t>On January 11, 2016, the Patent Trial and Appeal Board of the USPTO, or PTAB, declared an interference between a pending U.S. patent application (U.S. Serial No. 13/842,859) that is owned by the University of California, the University of Vienna, and Emmanuelle Charpentier and 12 U.S. patents (U.S. Patent Nos. 8,697,359; 8,771,945; 8,795,965; 8,865,406; 8,871,445; 8,889,356; 8,895,308; 8,906,616; 8,932,814; 8,945,839; 8,993,233; and 8,999,641) that are co-owned by Broad and MIT, and in some cases Harvard, and in-licensed by us. An interference is a proceeding within the USPTO to determine priority of invention of the subject matter of patent claims filed by different parties. Prior to the declaration of interference, the University of California, acting on behalf of itself and the University of Vienna, and Emmanuelle Charpentier filed a "Suggestion of Interference" in the USPTO on April 13, 2015, which requested that an interference be declared between certain claims in their pending U.S. patent application (U.S. Serial No. 13/842,859) and certain claims in 10 U.S. patents, which we have in-licensed from Broad acting on behalf of itself, MIT, and Harvard. A Supplemental Suggestion of Interference was filed by the University of California and Emmanuelle Charpentier on November 5, 2015, which requested that an interference be declared between certain claims in their same pending U.S. patent application (U.S. Serial No. 13/842,859) and certain claims in two additional U.S. patents and five pending U.S. patent applications, which we have in-licensed from Broad, acting on behalf of itself, MIT, and Harvard. The 12 U.S. patents referred to in the Suggestion of Interference and Supplemental Suggestion of Interference are the same as those included in the declaration of interference. The Suggestion of Interference and Supplemental Suggestion of Interference assert that the inventors from the University of California and the University of Vienna and Emmanuelle Charpentier made certain inventions before the inventors from Broad and MIT and, in certain cases, Harvard, which will be evaluated in the interference. The University of California derives rights in U.S. Serial</w:t>
      </w:r>
    </w:p>
    <w:p>
      <w:pPr>
        <w:spacing w:after="0" w:line="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No. 13/842,859 from an assignment by Dr. Jennifer Doudna and certain of the other inventors listed on such application. Dr. Doudna was a founder of our company and entered into a consulting agreement with us at the time of our founding. However, Dr. Doudna gave notice of termination of that agreement in May 2014 after less than seven months of service, and she has had no further engagement in our business since that time. Dr. Doudna is also a founder of Caribou Biosciences and has been publicly identified as an advisor to Intellia Therapeutics, each of which is one of our competitors.</w:t>
      </w:r>
    </w:p>
    <w:p>
      <w:pPr>
        <w:spacing w:after="0" w:line="169" w:lineRule="exact"/>
        <w:rPr>
          <w:sz w:val="20"/>
          <w:szCs w:val="20"/>
          <w:color w:val="auto"/>
        </w:rPr>
      </w:pPr>
    </w:p>
    <w:p>
      <w:pPr>
        <w:ind w:right="280" w:firstLine="615"/>
        <w:spacing w:after="0" w:line="294" w:lineRule="auto"/>
        <w:rPr>
          <w:sz w:val="20"/>
          <w:szCs w:val="20"/>
          <w:color w:val="auto"/>
        </w:rPr>
      </w:pPr>
      <w:r>
        <w:rPr>
          <w:rFonts w:ascii="Arial" w:cs="Arial" w:eastAsia="Arial" w:hAnsi="Arial"/>
          <w:sz w:val="16"/>
          <w:szCs w:val="16"/>
          <w:color w:val="auto"/>
        </w:rPr>
        <w:t>Separately, ToolGen filed Suggestions of Interference in the USPTO on April 13, 2015, which became publicly available on November 12, 2015 and December 3, 2015, suggesting that it believes some of the claims pending in its applications (U.S. Serial No. 14/685,568 and U.S. Serial No. 14/685,510, respectively) interfere with certain claims in five U.S. patents, which we have in-licensed from Broad, acting on behalf of itself, MIT, and Harvard. These five U.S. patents are among the 12 U.S. patents with respect to which the PTAB has declared an interference. The Suggestions of Interference that were filed by ToolGen are still pending, and it is uncertain when and in what manner the USPTO will act on them.</w:t>
      </w:r>
    </w:p>
    <w:p>
      <w:pPr>
        <w:spacing w:after="0" w:line="170"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 xml:space="preserve">The 12 in-licensed U.S. patents that are the subject of the interference with the pending U.S. patent application (U.S. Serial No. 13/842,859) that is owned by the University of California, the University of Vienna, and Emmanuelle Charpentier (which includes the five in-licensed U.S. patents that are the subject of the Suggestions of Interference filed by ToolGen) relate generally to the CRISPR/Cas9 system and its use in eukaryotic cells. The claims of the 12 in-licensed U.S. patents vary in scope and coverage and include claims that are directed to CRISPR/Cas9 systems that employ viral vectors for delivery, single guide RNAs, modified guide RNAs,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Cas9, or a Cas9 nickase and are relevant to our genome editing platform technology. The loss of one or more of these in-licensed patents could have a material adverse effect on the conduct of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2" w:lineRule="auto"/>
        <w:rPr>
          <w:sz w:val="20"/>
          <w:szCs w:val="20"/>
          <w:color w:val="auto"/>
        </w:rPr>
      </w:pPr>
      <w:r>
        <w:rPr>
          <w:rFonts w:ascii="Arial" w:cs="Arial" w:eastAsia="Arial" w:hAnsi="Arial"/>
          <w:sz w:val="16"/>
          <w:szCs w:val="16"/>
          <w:color w:val="auto"/>
        </w:rPr>
        <w:t>In addition, we or our licensors may be subject to claims that former employees, collaborators, or other third parties have an interest in our owned or in-licensed patents or other intellectual property as an inventor or co-inventor. For example, we have determined that certain of the claims of one of our pending U.S. non-provisional patent applications, and its corresponding pending PCT application, cover subject matter invented jointly by us and other third parties, which will result in certain third parties holding co-ownership rights in such applications. If we are unable to obtain an exclusive license to any such third party co-owners' interest in such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 We are also aware of one third party, Rockefeller, that has independently filed a U.S. patent application (U.S. Serial No. 14/324,960) as a continuation of a U.S. patent application that we have in-licensed from Broad (U.S. Serial No. 14/183,429, which has since issued as U.S. Patent No. 8,771,945). In contrast to a Suggestion of Interference, a U.S. continuation patent application does not seek to challenge the priority date of an existing patent, rather it is a new filing of an existing U.S. patent application, which contains the same priority date as the existing application. However, it may provoke the declaration of an interference. In that regard, the U.S. continuation patent application filed by Rockefeller lists one of its employees as a co-inventor alongside Dr. Feng Zhang, who is an employee of Broad in addition to being one of our founders. The U.S. continuation patent application was filed by Rockefeller with copies of claims from one U.S. patent and one U.S. patent application which we have in-licensed from Broad, acting on behalf of itself, MIT, and Harvard (U.S. Patent</w:t>
      </w:r>
    </w:p>
    <w:p>
      <w:pPr>
        <w:spacing w:after="0" w:line="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No. 8,697,359 and U.S. Serial No. 14/183,429, which has since issued as U.S. Patent No. 8,771,945). The U.S. continuation patent application filed by Rockefeller may provoke the declaration of an interference by the USPTO with these or other patents that we have in-licensed from Broad, acting on behalf of itself, MIT, and Harvard. The U.S. continuation application filed by Rockefeller may also prompt a derivation proceeding in the USPTO or litigation in court regarding such continuation patent application. In addition, if the USPTO were to grant a patent based on this U.S. continuation patent application including the Rockefeller employee as an inventor, then Rockefeller could license its rights to such patent to one of our competitors or to another third party such that they may have freedom-to-operate under such patent and may commercialize similar or identical products and technology to us. We may also need the cooperation of Rockefeller to enforce such patent against third parties, and such cooperation may not be provided to us.</w:t>
      </w:r>
    </w:p>
    <w:p>
      <w:pPr>
        <w:spacing w:after="0" w:line="177" w:lineRule="exact"/>
        <w:rPr>
          <w:sz w:val="20"/>
          <w:szCs w:val="20"/>
          <w:color w:val="auto"/>
        </w:rPr>
      </w:pPr>
    </w:p>
    <w:p>
      <w:pPr>
        <w:ind w:right="20" w:firstLine="611"/>
        <w:spacing w:after="0" w:line="288" w:lineRule="auto"/>
        <w:rPr>
          <w:sz w:val="20"/>
          <w:szCs w:val="20"/>
          <w:color w:val="auto"/>
        </w:rPr>
      </w:pPr>
      <w:r>
        <w:rPr>
          <w:rFonts w:ascii="Arial" w:cs="Arial" w:eastAsia="Arial" w:hAnsi="Arial"/>
          <w:sz w:val="16"/>
          <w:szCs w:val="16"/>
          <w:color w:val="auto"/>
        </w:rPr>
        <w:t>We or our licensors are subject to and may also become a party to similar proceedings or priority disputes in Europe or other foreign jurisdictions. We are aware of nine oppositions filed by different third parties against a European patent that we in-license from Broad (European Patent No. EP 2,771,468 B1). The European Patent Office Opposition Division, or EPO OD, has sent a Communication of Notice of Opposition to Broad informing Broad of the nine oppositions and that an opposition proceeding in the EPO OD has been initiated. The EPO opposition proceeding may involve issues including, but not limited to, procedural formalities related to filing the European patent application, priority, and the patentability of the involved claims. We are also aware of eight oppositions filed by third parties against a second European patent that we in-license from Broad (European Patent No. EP 2,784,162 B1). One or more of the third parties that have filed oppositions against European Patent Nos. EP 2,771,468 B1 or EP 2,784,162 B1 or other third parties may file future oppositions against other European patents that we in-license or own. The loss of priority for, or the loss of, these European patents could have a material adverse effect on the conduct of our business.</w:t>
      </w:r>
    </w:p>
    <w:p>
      <w:pPr>
        <w:spacing w:after="0" w:line="174" w:lineRule="exact"/>
        <w:rPr>
          <w:sz w:val="20"/>
          <w:szCs w:val="20"/>
          <w:color w:val="auto"/>
        </w:rPr>
      </w:pPr>
    </w:p>
    <w:p>
      <w:pPr>
        <w:jc w:val="both"/>
        <w:ind w:right="220" w:firstLine="615"/>
        <w:spacing w:after="0" w:line="259" w:lineRule="auto"/>
        <w:rPr>
          <w:sz w:val="20"/>
          <w:szCs w:val="20"/>
          <w:color w:val="auto"/>
        </w:rPr>
      </w:pPr>
      <w:r>
        <w:rPr>
          <w:rFonts w:ascii="Arial" w:cs="Arial" w:eastAsia="Arial" w:hAnsi="Arial"/>
          <w:sz w:val="18"/>
          <w:szCs w:val="18"/>
          <w:color w:val="auto"/>
        </w:rPr>
        <w:t>For more information regarding the risks associated with the declared interference, the Suggestions of Interference, the continuation patent application filed by Rockefeller, the European oppositions and other potential third party intellectual property related disputes, please see "Risk Factors—Risks Related to Our Intellectual Property."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The Drug Price Competition and Patent Term Restoration Act of 1984 extension cannot extend the remaining term of a patent beyond a total of 14 years from the date of product approval, only one patent applicable to each regulatory review period may be extended and only those claims covering the approved drug or a method for using it may be extended.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CRISPR/Cas9</w:t>
      </w:r>
    </w:p>
    <w:p>
      <w:pPr>
        <w:spacing w:after="0" w:line="225" w:lineRule="exact"/>
        <w:rPr>
          <w:sz w:val="20"/>
          <w:szCs w:val="20"/>
          <w:color w:val="auto"/>
        </w:rPr>
      </w:pPr>
    </w:p>
    <w:p>
      <w:pPr>
        <w:ind w:firstLine="605"/>
        <w:spacing w:after="0" w:line="289" w:lineRule="auto"/>
        <w:rPr>
          <w:sz w:val="20"/>
          <w:szCs w:val="20"/>
          <w:color w:val="auto"/>
        </w:rPr>
      </w:pPr>
      <w:r>
        <w:rPr>
          <w:rFonts w:ascii="Arial" w:cs="Arial" w:eastAsia="Arial" w:hAnsi="Arial"/>
          <w:sz w:val="16"/>
          <w:szCs w:val="16"/>
          <w:color w:val="auto"/>
        </w:rPr>
        <w:t>As of November 30, 2015, we owned two pending U.S. non-provisional patent applications, 14 pending U.S. provisional patent applications, and 15 pending PCT patent applications that are related to our CRISPR/Cas9 technology and which include claims directed to our genome editing platform, including our directed editing component, as well as composition of matter and method of use claims for our therapeutic programs, including LCA10 and other genetic and infectious eye disorders, and engineered T cells. With respect to one of these pending U.S. non-provisional applications and its corresponding pending PCT application, we have determined that certain of the claims of such applications cover subject matter invented jointly by us and other third parties, which will result in certain third parties holding co-ownership rights in such applications. Therefore, we intend to update these applications to reflect such joint inventorship and seek a license to such co-ownership rights from such third parties. If issued as U.S. patents, and if the appropriate maintenance fees are paid, these U.S. patent applications would be expected to expire between 2034 and 2036, excluding any additional term for patent term adjustments or patent term extensions.</w:t>
      </w:r>
    </w:p>
    <w:p>
      <w:pPr>
        <w:spacing w:after="0" w:line="172"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 xml:space="preserve">As of November 30, 2015, we in-licensed 17 U.S. patents, four European patents and related validations, and over 180 pending patent applications, including 53 pending U.S. patent applications, 19 pending European patent applications, 22 pending PCT patent applications, and other related patent applications in jurisdictions outside the United States and Europe that are related to our CRISPR/Cas9 technology collectively from Broad, Harvard, MIT, MGH, and Duke, as more fully described below. The claims from our in-licensed portfolio include claims to compositions of matter, methods of use, and certain processes. These include claims directed to CRISPR/Cas9 systems that employ viral vectors for delivery, single guide RNAs, modified guide RNAs,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Cas9, or a Cas9 nickase. Our current in-licensed U.S. patents, if the appropriate maintenance fees are paid, are expected to expire between 2033 and 2034, excluding any additional term for patent term adjustments or patent term extensions.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LCA10</w:t>
      </w:r>
    </w:p>
    <w:p>
      <w:pPr>
        <w:spacing w:after="0" w:line="225"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color w:val="auto"/>
        </w:rPr>
        <w:t>As of November 30, 2015, we owned one pending U.S. patent application and one pending PCT patent application which are directed to compositions of matter, including guide RNAs directed to CEP290, and methods of use for the treatment of LCA10. If issued as a U.S. patent, and if the appropriate maintenance fees are paid, the U.S. patent application would be expected to expire in 2035, excluding any additional term for patent term adjustments or patent term extensions.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Our registered trademark portfolio currently contains two registered trademarks and one pending trademark application in the United States for the mark EDITAS and one registered trademark in Australia, China, Europe, Japan, and Switzerland.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31"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from third parties. The licensed intellectual property covers, in part, CRISPR/Cas9 and TAL-related compositions of matter and their use for genome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Broad Institute and President and Fellows of Harvard College License Agreement</w:t>
      </w:r>
    </w:p>
    <w:p>
      <w:pPr>
        <w:spacing w:after="0" w:line="225"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In October 2014, we entered into a license agreement with The Broad Institute, Inc., or Broad, and President and Fellows of Harvard College, or Harvard, for specified patent rights, which include rights to certain patents solely owned by Harvard, which we refer to as Harvard Patent Rights, certain patents co-owned by the Massachusetts Institute of Technology, or MIT, and Broad, which we refer to as MIT/Broad Patent Rights, and certain patents co-owned by MIT, Broad and Harvard, which we refer to as the Harvard/MIT/Broad Patent Rights. We refer to all the patents and patent applications licensed to us under the license agreement as the Harvard/Broad Patent Rights. Certain patent applications licensed to us by Broad (including a continuation of one of these applications) include Rockefeller as a joint applicant. Broad does not and does not purport to grant any rights in Rockefeller's interest in these patent applications under our agreement. As a result, Broad may not be the sole and exclusive owner of any patents that issue from these patent applications. For more information regarding the risks associated with Rockefeller's interest in these patent applications, please see "Risk Factors—Risks Related to Our Intellectual Property—Our rights to develop and commercialize our technology and product candidates are subject, in part, to the terms and conditions of licenses granted to us by others."</w:t>
      </w:r>
    </w:p>
    <w:p>
      <w:pPr>
        <w:spacing w:after="0" w:line="174" w:lineRule="exact"/>
        <w:rPr>
          <w:sz w:val="20"/>
          <w:szCs w:val="20"/>
          <w:color w:val="auto"/>
        </w:rPr>
      </w:pPr>
    </w:p>
    <w:p>
      <w:pPr>
        <w:ind w:right="80" w:firstLine="611"/>
        <w:spacing w:after="0" w:line="323" w:lineRule="auto"/>
        <w:rPr>
          <w:sz w:val="20"/>
          <w:szCs w:val="20"/>
          <w:color w:val="auto"/>
        </w:rPr>
      </w:pPr>
      <w:r>
        <w:rPr>
          <w:rFonts w:ascii="Arial" w:cs="Arial" w:eastAsia="Arial" w:hAnsi="Arial"/>
          <w:sz w:val="15"/>
          <w:szCs w:val="15"/>
          <w:color w:val="auto"/>
        </w:rPr>
        <w:t>The Harvard/Broad Patent Rights are directed, in part, to certain CRISPR/Cas9 and transcription activator-like effector (TALE)-related compositions of matter and their use for genome editing and to certain CRISPR/Cas9 and TALE-related delivery technologies. Pursuant to this license agreement, and as of November 30, 2015, we have certain rights under 21 U.S. patents, 54 pending U.S. patent applications, four European patents and related validations, 19 pending European patent applications, 20 pending PCT applications, and other related patent applications in jurisdictions outside of the United States and Europe.</w:t>
      </w:r>
    </w:p>
    <w:p>
      <w:pPr>
        <w:spacing w:after="0" w:line="152"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Pursuant to the license agreement, Harvard and Broad granted us an exclusive, worldwide, royalty-bearing, sublicensable license to the Harvard/Broad Patent Rights to make, have made, use, sell, offer for sale, have sold, import, and export products and services in the field of the prevention and treatment of human disease, subject to certain limitations and retained rights. The exclusive license granted by Broad and Harvard excludes certain fields, including the modification of animals or animal cells for the creation and sale of organs suitable for xenotransplantation into humans and the development and commercialization of products or services in the field of livestock applications. Moreover, the license granted by Broad is non-exclusive with respect to the treatment of medullary cystic kidney disease 1. We have also confirmed with Broad and Harvard that we are not using, and will not use, the licensed technology for human germline modification, including modifying the DNA of human embryos or human reproductive cells. Harvard and Broad also granted us a non-exclusive, worldwide, royalty-bearing, sublicensable license to the Harvard/Broad Patent Rights for all purposes, with the exception that the non-exclusive license to certain Harvard Patent Rights excludes the modification of animals or animal cells for the creation and sale of organs suitable for xenotransplantation into humans and the development and commercialization of products or services in the field of livestock applications.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1"/>
        <w:spacing w:after="0" w:line="323" w:lineRule="auto"/>
        <w:rPr>
          <w:sz w:val="20"/>
          <w:szCs w:val="20"/>
          <w:color w:val="auto"/>
        </w:rPr>
      </w:pPr>
      <w:r>
        <w:rPr>
          <w:rFonts w:ascii="Arial" w:cs="Arial" w:eastAsia="Arial" w:hAnsi="Arial"/>
          <w:sz w:val="15"/>
          <w:szCs w:val="15"/>
          <w:color w:val="auto"/>
        </w:rPr>
        <w:t>We are obligated to use commercially reasonable efforts to research, develop, and commercialize products for the prevention or treatment of human disease under the license agreement. Also, we are required to achieve certain development milestones within specified time periods for products incorporating the CRISPR/Cas9, TAL, and delivery-related technologies covered by the Harvard/Broad Patent Rights. Harvard and Broad have the right to terminate our license with respect to the Harvard/Broad Patent Rights covering the technology or technologies with respect to which we fail to achieve these development milestones.</w:t>
      </w:r>
    </w:p>
    <w:p>
      <w:pPr>
        <w:spacing w:after="0" w:line="152"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licenses granted by Broad and Harvard to us under the license agreement are subject to any retained rights of the U.S. government in the Harvard/Broad Patent Rights and the rights retained by Broad, Harvard, and MIT on behalf of themselves and other academic, government and non-profit entities, to practice the Harvard/Broad Patent Rights for research, educational, or teaching uses. In addition, certain rights granted to us under the license agreement are further subject to a non-exclusive license to the Howard Hughes Medical Institute for research purposes. Our exclusive license rights also are subject to rights retained by Broad, Harvard, and MIT and any third party to research, develop, make, have made, use, offer for sale, sell, have sold, import or otherwise exploit the Harvard/Broad Patent Rights and licensed products as research products or research tools, or for research purposes. In addition, Broad does not and does not purport to grant any rights in Rockefeller's interest in the patent applications licensed to us by Broad (including a continuation of one of these applications) that include Rockefeller as a joint applicant.</w:t>
      </w:r>
    </w:p>
    <w:p>
      <w:pPr>
        <w:spacing w:after="0" w:line="172" w:lineRule="exact"/>
        <w:rPr>
          <w:sz w:val="20"/>
          <w:szCs w:val="20"/>
          <w:color w:val="auto"/>
        </w:rPr>
      </w:pPr>
    </w:p>
    <w:p>
      <w:pPr>
        <w:ind w:right="120" w:firstLine="611"/>
        <w:spacing w:after="0" w:line="294" w:lineRule="auto"/>
        <w:rPr>
          <w:sz w:val="20"/>
          <w:szCs w:val="20"/>
          <w:color w:val="auto"/>
        </w:rPr>
      </w:pPr>
      <w:r>
        <w:rPr>
          <w:rFonts w:ascii="Arial" w:cs="Arial" w:eastAsia="Arial" w:hAnsi="Arial"/>
          <w:sz w:val="16"/>
          <w:szCs w:val="16"/>
          <w:color w:val="auto"/>
        </w:rPr>
        <w:t>We have the right to sublicense our licensed rights provided that the sublicense agreement must be in compliance and consistent with the terms of the license agreement. Any sublicense agreement cannot include the right to grant further sublicenses without the written consent of Broad and Harvard. In addition, any sublicense agreements must contain certain terms, including a provision requiring the sublicensee to indemnify Harvard, Broad, MIT, and Howard Hughes Medical Institute according to the same terms as are provided in our license agreement and a statement that Broad, Harvard, MIT, and Howard Hughes Medical Institute are intended third party beneficiaries of the sublicense agreement for certain purposes.</w:t>
      </w:r>
    </w:p>
    <w:p>
      <w:pPr>
        <w:spacing w:after="0" w:line="170" w:lineRule="exact"/>
        <w:rPr>
          <w:sz w:val="20"/>
          <w:szCs w:val="20"/>
          <w:color w:val="auto"/>
        </w:rPr>
      </w:pPr>
    </w:p>
    <w:p>
      <w:pPr>
        <w:ind w:right="40" w:firstLine="615"/>
        <w:spacing w:after="0" w:line="285" w:lineRule="auto"/>
        <w:rPr>
          <w:sz w:val="20"/>
          <w:szCs w:val="20"/>
          <w:color w:val="auto"/>
        </w:rPr>
      </w:pPr>
      <w:r>
        <w:rPr>
          <w:rFonts w:ascii="Arial" w:cs="Arial" w:eastAsia="Arial" w:hAnsi="Arial"/>
          <w:sz w:val="16"/>
          <w:szCs w:val="16"/>
          <w:color w:val="auto"/>
        </w:rPr>
        <w:t>Under the agreement, Harvard and Broad also retained rights to grant further licenses under specified circumstances to third parties, other than specified entities, that wish to develop and commercialize products that target a particular gene and that otherwise would fall within the scope of our exclusive license from Harvard and Broad. If, after a specified period of time, a third party requests a license under the Harvard/Broad Patent Rights for the development and commercialization of a product that would be subject to our exclusive license grant from Harvard and Broad, Harvard and Broad may notify us of the request. We refer to these requests as Third Party Proposed Product Requests. A Third Party Proposed Product Request must be accompanied by a research, development and commercialization plan reasonably satisfactory to Harvard and Broad, including evidence that the third party has, or reasonably expects to have, access to any necessary intellectual property and funding. Harvard and Broad may not grant a Third Party Proposed Product Request if our collaborators or we are researching, developing, or commercializing a product directed to the same gene target as the product that is the subject of the Third Party Proposed Product Request. If we, directly or through any of our affiliates or sublicensees, are not researching, developing or commercializing a product directed to the same gene target that is the subject of the Third Party Proposed Product Request, which we refer to as a Licensee Product, and we wish to do so either alone or with a collaboration partner, Harvard and Broad may not grant the Third Party Proposed Product Request if we can demonstrate to Harvard and Broad's reasonable satisfaction that we are interested in researching, developing, and commercializing a Licensee Product, that we have a commercially reasonable research, development, and commercialization plan to do so, and we commence and continue reasonable commercial efforts under the plan. If our collaborators and we are neither researching, developing or commercializing a Licensee Product nor able to develop and implement a plan reasonably satisfactory to Harvard and Broad, Harvard and Broad may grant a license to the third party on a gene target-by-gene target basis.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the license granted to the third party is exclusive, it shall be on milestone and royalty terms that taken as a whole are no more favorable to the third party than those provided in our license agreement and shall require such third party to use commercially reasonable efforts to implement the research, development and commercialization plan submitted by the third party to Harvard and Broad.</w:t>
      </w:r>
    </w:p>
    <w:p>
      <w:pPr>
        <w:spacing w:after="0" w:line="194"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color w:val="auto"/>
        </w:rPr>
        <w:t xml:space="preserve">Under the license agreement, we paid Broad and Harvard an upfront license fee in the low six figures and issued a single-digit percentage of shares of our common stock to Broad (with Broad holding a right to request re-issuance to its designees, including MIT or MIT's designee) and Harvard. We also must pay an annual license maintenance fee ranging from the low- to mid-five figures to the low-six figures, depending on the calendar year, beginning in 2016. This annual license maintenance fee is creditable against royalties owed on products and services in the same year as the maintenance fee is paid. We are obligated to reimburse Broad and Harvard for expenses associated with the prosecution and maintenance of the Harvard/Broad Patent Rights, including expenses associated with any interference proceedings in the USPTO, any opposition proceedings in the European Patent Office, or EPO, or any other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or other post grant proceedings in these or other jurisdictions where we are seeking patent protection. Therefore, we are obligated to reimburse Broad and/or Harvard for expenses associated with the interference and opposition proceedings involving patents licensed to us under this agreement (which are discussed below and described in more detail in "Business—Legal Proceedings").</w:t>
      </w:r>
    </w:p>
    <w:p>
      <w:pPr>
        <w:spacing w:after="0" w:line="174" w:lineRule="exact"/>
        <w:rPr>
          <w:sz w:val="20"/>
          <w:szCs w:val="20"/>
          <w:color w:val="auto"/>
        </w:rPr>
      </w:pPr>
    </w:p>
    <w:p>
      <w:pPr>
        <w:ind w:right="60" w:firstLine="615"/>
        <w:spacing w:after="0" w:line="286" w:lineRule="auto"/>
        <w:rPr>
          <w:sz w:val="20"/>
          <w:szCs w:val="20"/>
          <w:color w:val="auto"/>
        </w:rPr>
      </w:pPr>
      <w:r>
        <w:rPr>
          <w:rFonts w:ascii="Arial" w:cs="Arial" w:eastAsia="Arial" w:hAnsi="Arial"/>
          <w:sz w:val="16"/>
          <w:szCs w:val="16"/>
          <w:color w:val="auto"/>
        </w:rPr>
        <w:t>Broad and Harvard are collectively entitled to receive clinical and regulatory milestone payments totaling up to $14.8 million in the aggregate per licensed product approved in the United States, European Union and Japan for the prevention or treatment of a human disease that afflicts at least a specified number of patients in the aggregate in the United States. If we undergo a change of control during the term of the license agreement, these clinical and regulatory milestone payments will be increased by a certain percentage in the mid double-digits. We are also obligated to make additional payments to Broad and Harvard, collectively, of up to an aggregate of $54.0 million upon the occurrence of certain sales milestones per licensed product for the prevention or treatment of a human disease that afflicts at least a specified number of patients in the aggregate in the United States. Broad and Harvard are collectively entitled to receive clinical and regulatory milestone payments totaling up to $4.1 million in the aggregate per licensed product approved in the United States and at least one jurisdiction outside the United States for the prevention or treatment of a human disease that afflicts fewer than a specified number of patients in the aggregate in the United States or a specified number of patients per year in the United States, which we refer to as an ultra-orphan disease. We are also obligated to make additional payments to Broad and Harvard, collectively, of up to an aggregate of $36.0 million upon the occurrence of certain sales milestones per licensed product for the prevention or treatment of an ultra-orphan disease.</w:t>
      </w:r>
    </w:p>
    <w:p>
      <w:pPr>
        <w:spacing w:after="0" w:line="181"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Broad and Harvard, collectively, are entitled to receive mid single-digit percentage royalties on net sales of products for the prevention or treatment of human disease, and ranging from low single-digit to high single-digit percentage royalties on net sales of other products and services, made by us, our affiliates, or our sublicensees. The royalty percentage depends on the product and service, and whether such licensed product or licensed service is covered by a valid claim within the Harvard/Broad Patent Rights. If we are legally required to pay royalties to a Third Party on net sales of our products because such third party holds patent rights that cover such licensed product, then we can credit up to a mid double-digit percentage of the amount paid to such third party against the royalties due to Harvard and Broad in the same period. Our obligation to pay royalties will expire on a product-by-product and country-by-country basis upon the later of the expiration of the last to expire valid claim of the Harvard/Broad Patent Rights that cover the composition, manufacture, or use of each covered product or service in each country or the tenth anniversary of the date of the first commercial sale of the product or service. If we sublicense any of the Harvard/Broad Patent Rights to a third party pursuant to our exclusive license under the license agreement, Broad and Harvard, collectively, have the right to receive a low double-digit percentage of the sublicense income, which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percentage decreases to a high single-digit percentage for products for the prevention or treatment of human disease under sublicenses executed after we meet certain clinical milestones.</w:t>
      </w:r>
    </w:p>
    <w:p>
      <w:pPr>
        <w:spacing w:after="0" w:line="186"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Broad and Harvard retain control of the prosecution of their respective patent rights. If an interference is declared or a derivation proceeding is initiated, with respect to any Harvard/Broad Patent Rights, then our prosecution related rights, including our right to receive correspondence from a patent office, will be suspended with respect to the patent rights involved in the interference or derivation proceeding until, under some circumstances, we enter into a common interest agreement with that institution. Nevertheless, we remain responsible for the cost of such interference or derivation proceeding. On January 11, 2016, the PTAB declared an interference between a pending U.S. patent application (U.S. Serial No. 13/842,859) that is owned by the University of California, the University of Vienna, and Emmanuelle Charpentier and 12 U.S. patents (U.S. Patent Nos. 8,697,359; 8,771,945; 8,795,965; 8,865,406; 8,871,445; 8,889,356; 8,895,308; 8,906,616; 8,932,814; 8,945,839; 8,993,233; and 8,999,641) that are co-owned by Broad and MIT, and in some cases Harvard, and in-licensed by us under this license agreement. Therefore, we will be responsible for the cost of such interference proceeding. Broad and Harvard are required to maintain any application or patent within the Harvard/Broad Patents Rights so long as we meet our obligation to reimburse Broad and Harvard for expenses related to prosecution and there is a good faith basis for doing so. If we cease payment for the prosecution of any Harvard/Broad Patent Right, then any license granted to us with respect to such Harvard/Broad Patent Right will terminate.</w:t>
      </w:r>
    </w:p>
    <w:p>
      <w:pPr>
        <w:spacing w:after="0" w:line="18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We have the first right, but not the obligation, to enforce the Harvard/Broad Patent Rights with respect to our licensed products so long as certain conditions are met, such as providing Broad and Harvard with evidence demonstrating a good faith basis for bringing suit against a third party. We are solely responsible for the costs of any lawsuits we elect to initiate and cannot enter into a settlement without the prior written consent of Broad and Harvard (and MIT if applicable). Any sums recovered in such lawsuits will be shared between us, Broad, and Harvard.</w:t>
      </w:r>
    </w:p>
    <w:p>
      <w:pPr>
        <w:spacing w:after="0" w:line="167"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Unless terminated earlier, the term of the license agreement will expire on a country-by-country basis, upon the expiration of the last to expire valid claim of the Harvard/Broad Patent Rights in such country. However, our royalty obligations, discussed above, may survive expiration or termination. We have the right to terminate the agreement at will upon four months' written notice to Broad and Harvard. Broad and Harvard may terminate the agreement upon a specified period of notice in the event of our uncured material breach, such notice period varying depending on the nature of the breach. Both Broad and Harvard may terminate the license agreement immediately if we challenge the enforceability, validity, or scope of any Harvard/Broad Patent Right or assist a third party to do so, or in the event of our bankruptcy or insolvency. Neither Broad nor Harvard acting alone has the right to terminate the license agreement. However, Broad and Harvard may separately terminate the licenses granted to us with respect to their respective patent rights upon the occurrence of the same events that would give rise to the right of both institutions acting collectively to terminate the license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General Hospital Corporation License Agreement</w:t>
      </w:r>
    </w:p>
    <w:p>
      <w:pPr>
        <w:spacing w:after="0" w:line="225" w:lineRule="exact"/>
        <w:rPr>
          <w:sz w:val="20"/>
          <w:szCs w:val="20"/>
          <w:color w:val="auto"/>
        </w:rPr>
      </w:pPr>
    </w:p>
    <w:p>
      <w:pPr>
        <w:ind w:right="220" w:firstLine="615"/>
        <w:spacing w:after="0" w:line="294" w:lineRule="auto"/>
        <w:rPr>
          <w:sz w:val="20"/>
          <w:szCs w:val="20"/>
          <w:color w:val="auto"/>
        </w:rPr>
      </w:pPr>
      <w:r>
        <w:rPr>
          <w:rFonts w:ascii="Arial" w:cs="Arial" w:eastAsia="Arial" w:hAnsi="Arial"/>
          <w:sz w:val="16"/>
          <w:szCs w:val="16"/>
          <w:color w:val="auto"/>
        </w:rPr>
        <w:t>In August 2014, we entered into a license agreement with The General Hospital Corporation, d/b/a Massachusetts General Hospital, or MGH, for specified patent rights, which we refer to as the MGH Patent Rights, and specified know-how and biological materials. The MGH Patent Rights are directed, in part, to CRISPR/Cas9 and TALE-related compositions of matter and their use for genome editing. Pursuant to the license agreement, and as of November 30, 2015, we have certain rights under 10 pending U.S. patent applications, eight pending European patent applications, two pending PCT applications, and other related patent applications in jurisdictions outside of the United States and Europe.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307" w:lineRule="auto"/>
        <w:rPr>
          <w:sz w:val="20"/>
          <w:szCs w:val="20"/>
          <w:color w:val="auto"/>
        </w:rPr>
      </w:pPr>
      <w:r>
        <w:rPr>
          <w:rFonts w:ascii="Arial" w:cs="Arial" w:eastAsia="Arial" w:hAnsi="Arial"/>
          <w:sz w:val="15"/>
          <w:szCs w:val="15"/>
          <w:color w:val="auto"/>
        </w:rPr>
        <w:t>Pursuant to the license agreement, MGH granted us an exclusive, worldwide, royalty-bearing, sublicensable license to the MGH Patent Rights, to make, have made, use, have used, sell, offer for sale, and import products and processes in the fields of the prevention or treatment of human or animal disease and agriculture, which includes plants and animals bred and raised for human consumption. We refer to these fields as the exclusive license field. Products and processes used for clinical diagnostic assays, and the research, development and sale of research tools, kits, and reagents in the field of agriculture are specifically excluded from our exclusive license to the MGH Patent Rights. MGH also granted us a non-exclusive, worldwide, royalty-bearing, sublicensable license to the MGH Patent Rights to make, have made, use, have used, sell, offer for sale, and import products and processes in substantially all fields other than the exclusive license field. Products and processes used for clinical diagnostic assays are specifically excluded from our non-exclusive license to the MGH Patent Rights. In addition, MGH granted us a non-exclusive, worldwide, royalty-bearing sublicensable license under specified MGH know-how and biological materials to make, have made, use, have used, sell, offer for sale, and import products and processes in all fields, except for products and processes used for clinical diagnostic assays. The licenses granted to us by MGH under the license agreement are subject to any retained rights of the U.S. government in the MGH Patent Rights and a royalty-free right of MGH, academic, and not-for-profit institutions, to practice the MGH Patent Rights for educational, research, and clinical purposes.</w:t>
      </w:r>
    </w:p>
    <w:p>
      <w:pPr>
        <w:spacing w:after="0" w:line="166"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are obligated to use commercially reasonable efforts to research, develop, and commercialize products and processes in the exclusive license field and outside the exclusive license field under the license agreement. Also, we are required to achieve certain development milestones within specified time periods for products and processes in the exclusive license field and outside the exclusive license field. MGH has the right to terminate our license if we fail to achieve these development milestones.</w:t>
      </w:r>
    </w:p>
    <w:p>
      <w:pPr>
        <w:spacing w:after="0" w:line="197"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 xml:space="preserve">Under the license agreement, we paid MGH an upfront license fee in the low six digit dollar amount and issued less than one percent of our common stock to MGH. We also must pay an annual license maintenance fee ranging from low- to mid-five digit dollar amount, depending on the calendar year, beginning in 2017. We are obligated to reimburse MGH for expenses associated with the prosecution and maintenance of the MGH Patent Rights, including expenses associated with any interference proceedings in the USPTO, any opposition proceedings in the EPO, or any other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or other post grant proceedings in these or other jurisdictions where we are seeking patent protection.</w:t>
      </w:r>
    </w:p>
    <w:p>
      <w:pPr>
        <w:spacing w:after="0" w:line="197"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MGH is entitled to receive clinical, regulatory, and commercial milestone payments totaling up to $1.4 million in the aggregate for the first licensed product or process, clinical, and regulatory milestone payments totaling up to $125,000 in the aggregate for each of the second, third, and fourth indications for which we conduct clinical trials of a licensed product or process and commercial milestone payments totaling up to $625,000 in the aggregate for each of the second, third, and fourth licensed products or process we introduce into the market. We are obligated to make additional payments to MGH of up to an aggregate of $1.8 million upon the occurrence of certain sales milestones.</w:t>
      </w:r>
    </w:p>
    <w:p>
      <w:pPr>
        <w:spacing w:after="0" w:line="197" w:lineRule="exact"/>
        <w:rPr>
          <w:sz w:val="20"/>
          <w:szCs w:val="20"/>
          <w:color w:val="auto"/>
        </w:rPr>
      </w:pPr>
    </w:p>
    <w:p>
      <w:pPr>
        <w:ind w:right="160" w:firstLine="611"/>
        <w:spacing w:after="0" w:line="254" w:lineRule="auto"/>
        <w:rPr>
          <w:sz w:val="20"/>
          <w:szCs w:val="20"/>
          <w:color w:val="auto"/>
        </w:rPr>
      </w:pPr>
      <w:r>
        <w:rPr>
          <w:rFonts w:ascii="Arial" w:cs="Arial" w:eastAsia="Arial" w:hAnsi="Arial"/>
          <w:sz w:val="18"/>
          <w:szCs w:val="18"/>
          <w:color w:val="auto"/>
        </w:rPr>
        <w:t>We are also obligated to pay MGH low single-digit percentage royalties on net sales of products for the prevention or treatment of human disease, and ranging from low single-digit to low double-digit percentage royalties on net sales of other products and services made by us, our affiliates, or our sublicensees. The royalty percentage depends on the product and service, and whether such licensed product or licensed service is covered by a valid claim within the MGH Patent Rights. If we pay royalties to a third party on net sales of our products, then we can credit up to a mid double-digit percentage of the amount paid to such third party against the royalties due to MGH. Our obligation to pay royalties will expire on a product-by-product and country-by-country basis upon the later of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expiration of the last to expire valid claim of the MGH Patent Rights that cover the composition, manufacture or use of each covered product or service in each country or the tenth anniversary of the date of the first commercial sale of the product or service. If we sublicense any of the MGH Patent Rights or know-how or materials licensed under the license agreement to a third party in the exclusive license field, MGH has the right to receive a low double-digit percentage of the sublicense income, which percentage decreases to a high single-digit percentage after a specified period of time. If we sublicense any of the MGH Patent Rights or know-how or materials licensed under the license agreement to a third party in the field of research products or processes, MGH has the right to receive a high double-digit percentage of the sublicense income. If we sublicense any of the MGH Patent Rights or know-how or materials licensed under the license agreement to a third party in any field outside the exclusive license field and outside the field of research products or processes, MGH has the right to receive a low double-digit percentage of the sublicense income.</w:t>
      </w:r>
    </w:p>
    <w:p>
      <w:pPr>
        <w:spacing w:after="0" w:line="172" w:lineRule="exact"/>
        <w:rPr>
          <w:sz w:val="20"/>
          <w:szCs w:val="20"/>
          <w:color w:val="auto"/>
        </w:rPr>
      </w:pPr>
    </w:p>
    <w:p>
      <w:pPr>
        <w:ind w:right="60" w:firstLine="615"/>
        <w:spacing w:after="0" w:line="298" w:lineRule="auto"/>
        <w:rPr>
          <w:sz w:val="20"/>
          <w:szCs w:val="20"/>
          <w:color w:val="auto"/>
        </w:rPr>
      </w:pPr>
      <w:r>
        <w:rPr>
          <w:rFonts w:ascii="Arial" w:cs="Arial" w:eastAsia="Arial" w:hAnsi="Arial"/>
          <w:sz w:val="16"/>
          <w:szCs w:val="16"/>
          <w:color w:val="auto"/>
        </w:rPr>
        <w:t>MGH retains control of the prosecution and maintenance of the MGH Patent Rights. We have the right to provide input in the prosecution of the MGH Patent Rights, including directing MGH to file and prosecute patents in certain countries. MGH controls the enforcement of the MGH Patent Rights, except for the enforcement of the rights exclusively licensed to us, which we control at our expense. We may not enter into any settlement without the prior written consent of MGH. We also retain the first right to defend against any legal or administrative action taken by a third party against an MGH Patent Right at our own costs.</w:t>
      </w:r>
    </w:p>
    <w:p>
      <w:pPr>
        <w:spacing w:after="0" w:line="167"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Unless terminated earlier, the term of the license agreement will expire, on a country-by-country basis, upon the expiration or abandonment of all MGH Patent Rights in such country. However, our royalty obligations, discussed above, may survive expiration or termination. We have the right to terminate the license agreement at will upon 90 days' written notice to MGH. MGH may terminate the license agreement upon a specified period of written notice in the event of our uncured material breach, such notice period varying depending on the nature of the breach. MGH also may terminate the license agreement immediately if we challenge the enforceability, validity, or scope of any MGH Patent Right or assist a third party to do so, or in the event of our bankruptcy or insolvency.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License Agreement</w:t>
      </w:r>
    </w:p>
    <w:p>
      <w:pPr>
        <w:spacing w:after="0" w:line="225"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In October 2014, we entered into a license agreement with Duke University, or Duke, for specified patent rights, which we refer to as the Duke Patent Rights, and specified know-how. The Duke Patent Rights are directed, in part, to genome editing approaches, including CRISPR/Cas9 and TALEN approaches, for treating Duchenne muscular dystrophy. Pursuant to this license agreement, and as of November 30, 2015, we have certain rights under two pending U.S. patent applications, one pending European patent application, and one pending PCT application.</w:t>
      </w:r>
    </w:p>
    <w:p>
      <w:pPr>
        <w:spacing w:after="0" w:line="167"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Pursuant to the license agreement, Duke granted us an exclusive, worldwide, royalty-bearing, sublicensable license to the Duke Patent Rights, to make, have made, use, have used, sell, offer for sale, and import products and services in the field of the prevention or treatment of human disease. Research reagents are specifically excluded from our exclusive license to the Duke Patent Rights. Duke also granted us a non-exclusive and non-sublicensable license to the Duke Patent Rights for internal research in any field, including the research reagent field. In addition, Duke granted us a non-exclusive, worldwide, royalty-bearing sublicensable license under specified Duke know-how to make, have made, use, have used, sell, offer for sale, and import products and processes in field of the prevention or treatment of human disease and specifically excluding the research reagent field. The licenses granted to us by Duke under the license agreement are subject to any retained rights of the U.S. government in the Duke Patent Rights and a royalty-free right of Duke to practice or license the Duke Patent Rights for educational, research, and clinical purposes, including the right to provide licenses to governmental</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laboratories and other non-profit or not-for-profit institutions for non-commercial academic research purposes or other non-commercial, not-for-profit scholarly purposes.</w:t>
      </w:r>
    </w:p>
    <w:p>
      <w:pPr>
        <w:spacing w:after="0" w:line="186"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We are obligated to use commercially reasonable efforts to research, develop, and commercialize products and services in the field of the prevention or treatment of human disease. Also, we are required to achieve certain development milestones within specified time periods for products for the treatment of Duchenne muscular dystrophy and for other products in the field of the prevention or treatment of human disease. Duke has the right to terminate our license if we fail to achieve these development milestones.</w:t>
      </w:r>
    </w:p>
    <w:p>
      <w:pPr>
        <w:spacing w:after="0" w:line="197"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Pursuant to the license agreement, we paid Duke an upfront license fee in the high five digits. We also must pay an annual license maintenance fee ranging from mid-four digit to low-five digit dollar amount, depending on the calendar year, beginning in 2015. We are obligated to reimburse Duke for expenses associated with the prosecution and maintenance of the Duke Patent Rights.</w:t>
      </w:r>
    </w:p>
    <w:p>
      <w:pPr>
        <w:spacing w:after="0" w:line="194"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Duke is entitled to receive clinical, regulatory, and commercial milestone payments totaling up to $625,000 in the aggregate per licensed product. We are also obligated to pay to Duke low single-digit percentage royalties based on annual net sales of licensed products and licensed services by us and our affiliates and sublicensees. If we pay royalties to a third party on net sales of a licensed product and the aggregate royalties on the net sales of the licensed product payable to all of our licensors exceeds a specified threshold, then we can credit up to a mid double-digit percentage of the amount paid to such third party against the royalties due to Duke, subject to a limitation on the amounts we may offset against our obligations to Duke that is determined with regard to the pro rata amount of the total royalties payable by us on net sales of the licensed product that are royalties payable to Duke. Our obligation to pay royalties will expire on a product-by-product and country-by-country basis upon the later of the expiration of the last to expire valid claim of the Duke Patent Rights that cover the composition, manufacture or use of each covered product or service in each country or the tenth anniversary of the date of the first commercial sale of the product or service. If we sublicense any of the Duke Patent Rights to a third party, Duke has the right to receive a low double-digit percentage of the sublicense income, the percentage of which decreases after we meet certain pre-clinical milestones. To the extent that such sublicense includes a sublicense of rights granted us to from parties other than Duke, we are entitled to assess the relative contributions of the rights licensed under the applicable agreement and apportion to Duke a lower percentage that reflects the portion of the sublicense income attributable to the Duke Patent Rights. In addition, to the extent that our collaboration and license agreement with Juno Therapeutics continues to provide for a sublicense to Juno Therapeutics of the Duke Patent Rights, we have agreed to apportion to Duke no less than a low-single-digit percentage of future non-royalty sublicense income that we receive under the agreement.</w:t>
      </w:r>
    </w:p>
    <w:p>
      <w:pPr>
        <w:spacing w:after="0" w:line="18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Duke controls the prosecution and maintenance of the Duke Patent Rights and will prosecute and maintain the Duke Patent Rights in the United States and in specified foreign countries. We can amend the specified foreign countries to include any jurisdictions we desire to add. If a third party alleges infringement against Duke or us as a result of our or our sublicensee's practice of the Duke Patent Rights or know-how licensed to us under the license agreement, then we will control the litigation and have the obligation to assume all costs. We further have the first right, but not the obligation, to enforce the Duke Patent Rights at our own expense. In the event a third party brings a declaratory judgment action or any other action or defense alleging invalidity of the Duke Patent Rights, then Duke has the right, but not the obligation, to intervene and control the defense of the action at Duke's own expense.</w:t>
      </w:r>
    </w:p>
    <w:p>
      <w:pPr>
        <w:spacing w:after="0" w:line="174" w:lineRule="exact"/>
        <w:rPr>
          <w:sz w:val="20"/>
          <w:szCs w:val="20"/>
          <w:color w:val="auto"/>
        </w:rPr>
      </w:pPr>
    </w:p>
    <w:p>
      <w:pPr>
        <w:ind w:right="200" w:firstLine="615"/>
        <w:spacing w:after="0" w:line="332" w:lineRule="auto"/>
        <w:rPr>
          <w:sz w:val="20"/>
          <w:szCs w:val="20"/>
          <w:color w:val="auto"/>
        </w:rPr>
      </w:pPr>
      <w:r>
        <w:rPr>
          <w:rFonts w:ascii="Arial" w:cs="Arial" w:eastAsia="Arial" w:hAnsi="Arial"/>
          <w:sz w:val="16"/>
          <w:szCs w:val="16"/>
          <w:color w:val="auto"/>
        </w:rPr>
        <w:t>Unless terminated earlier, the term of the license agreement will expire upon on a country-by-country basis, upon the expiration of the last to expire of the Duke Patent Rights in such country. However, our royalty obligations, discussed above, may survive expiration or termination. We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have the right to terminate the license agreement at will upon at least two months' written notice to Duke. Duke may terminate the license agreement upon a specified period of written notice in the event of our uncured material breach, such notice period varying depending on the nature of the breach. Duke also may terminate the license agreement upon a specified period of written notice if we challenge the enforceability, validity, or scope of any Duke Patent Right or assist a third party to do so. Duke may terminate the license agreement immediately for our fraud, willful misconduct, or illegal conduct. The license agreement will terminate immediately in the event of our bankruptcy or insolvency.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180" w:firstLine="611"/>
        <w:spacing w:after="0" w:line="294" w:lineRule="auto"/>
        <w:rPr>
          <w:sz w:val="20"/>
          <w:szCs w:val="20"/>
          <w:color w:val="auto"/>
        </w:rPr>
      </w:pPr>
      <w:r>
        <w:rPr>
          <w:rFonts w:ascii="Arial" w:cs="Arial" w:eastAsia="Arial" w:hAnsi="Arial"/>
          <w:sz w:val="16"/>
          <w:szCs w:val="16"/>
          <w:color w:val="auto"/>
        </w:rPr>
        <w:t>We currently contract with third parties for the manufacturing of our materials for preclinical studies and expect to do so for our planned clinical trials. We do not own or operate manufacturing facilities for the production of our program materials. We currently have no plans to build our own clinical or commercial scale manufacturing capabilities. The use of contracted manufacturing and reliance on collaboration partners is relatively cost-efficient and has eliminated the need for our direct investment in manufacturing facilities and additional staff early in development. Although we rely on contract manufacturers, we have personnel with manufacturing experience to oversee our contract manufacturers.</w:t>
      </w:r>
    </w:p>
    <w:p>
      <w:pPr>
        <w:spacing w:after="0" w:line="170"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To date, our third-party manufacturers have met our manufacturing requirements. We expect third-party manufacturers to be capable of providing sufficient quantities of our program materials to meet anticipated clinical-trial scale demands. To meet our projected needs for commercial manufacturing, third parties with whom we currently work might need to increase their scale of production or we will need to secure alternate suppliers. We believe that there are alternate sources of supply that can satisfy our clinical and commercial requirements, although we cannot be certain that identifying and establishing relationships with such sources, if necessary, would not result in significant delay or material additional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31" w:lineRule="exact"/>
        <w:rPr>
          <w:sz w:val="20"/>
          <w:szCs w:val="20"/>
          <w:color w:val="auto"/>
        </w:rPr>
      </w:pPr>
    </w:p>
    <w:p>
      <w:pPr>
        <w:ind w:right="120" w:firstLine="611"/>
        <w:spacing w:after="0" w:line="298" w:lineRule="auto"/>
        <w:rPr>
          <w:sz w:val="20"/>
          <w:szCs w:val="20"/>
          <w:color w:val="auto"/>
        </w:rPr>
      </w:pPr>
      <w:r>
        <w:rPr>
          <w:rFonts w:ascii="Arial" w:cs="Arial" w:eastAsia="Arial" w:hAnsi="Arial"/>
          <w:sz w:val="16"/>
          <w:szCs w:val="16"/>
          <w:color w:val="auto"/>
        </w:rPr>
        <w:t>We currently intend to build the commercial infrastructure in the United States and Europe necessary to effectively support the commercialization of all of our programs, if and when we first believe a regulatory approval of a product candidate under one of our programs in a particular geographic market appears probable. The commercial infrastructure for orphan products typically consists of a targeted, specialty sales force that calls on a limited and focused group of physicians supported by sales management, medical liaisons, internal sales support, an internal marketing group, and distribution support.</w:t>
      </w:r>
    </w:p>
    <w:p>
      <w:pPr>
        <w:spacing w:after="0" w:line="167" w:lineRule="exact"/>
        <w:rPr>
          <w:sz w:val="20"/>
          <w:szCs w:val="20"/>
          <w:color w:val="auto"/>
        </w:rPr>
      </w:pPr>
    </w:p>
    <w:p>
      <w:pPr>
        <w:ind w:right="460" w:firstLine="605"/>
        <w:spacing w:after="0" w:line="256" w:lineRule="auto"/>
        <w:rPr>
          <w:sz w:val="20"/>
          <w:szCs w:val="20"/>
          <w:color w:val="auto"/>
        </w:rPr>
      </w:pPr>
      <w:r>
        <w:rPr>
          <w:rFonts w:ascii="Arial" w:cs="Arial" w:eastAsia="Arial" w:hAnsi="Arial"/>
          <w:sz w:val="18"/>
          <w:szCs w:val="18"/>
          <w:color w:val="auto"/>
        </w:rPr>
        <w:t>Additional capabilities important to the orphan marketplace include the management of key accounts such as managed care organizations, group purchasing organizations, specialty pharmacies, and government accounts. To develop the appropriate commercial infrastructure, we will have to invest significant amounts of financial and management resources, some of which will be committed prior to any confirmation that any product candidate we may develop will be approved.</w:t>
      </w:r>
    </w:p>
    <w:p>
      <w:pPr>
        <w:spacing w:after="0" w:line="197"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Outside of the United States and Europe, where appropriate, we may elect in the future to utilize strategic partners, distributors, or contract sales forces to assist in the commercialization of our products. In certain instances, we may consider building our own commercial infrastructure.</w:t>
      </w:r>
    </w:p>
    <w:p>
      <w:pPr>
        <w:spacing w:after="0" w:line="139" w:lineRule="exact"/>
        <w:rPr>
          <w:sz w:val="20"/>
          <w:szCs w:val="20"/>
          <w:color w:val="auto"/>
        </w:rPr>
      </w:pPr>
    </w:p>
    <w:p>
      <w:pPr>
        <w:ind w:right="200" w:firstLine="605"/>
        <w:spacing w:after="0" w:line="332" w:lineRule="auto"/>
        <w:rPr>
          <w:sz w:val="20"/>
          <w:szCs w:val="20"/>
          <w:color w:val="auto"/>
        </w:rPr>
      </w:pPr>
      <w:r>
        <w:rPr>
          <w:rFonts w:ascii="Arial" w:cs="Arial" w:eastAsia="Arial" w:hAnsi="Arial"/>
          <w:sz w:val="16"/>
          <w:szCs w:val="16"/>
          <w:color w:val="auto"/>
        </w:rPr>
        <w:t>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manufacturing needs may all influence our strategies in the United States, Europe, and the rest of the world.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160" w:firstLine="615"/>
        <w:spacing w:after="0" w:line="318" w:lineRule="auto"/>
        <w:rPr>
          <w:sz w:val="20"/>
          <w:szCs w:val="20"/>
          <w:color w:val="auto"/>
        </w:rPr>
      </w:pPr>
      <w:r>
        <w:rPr>
          <w:rFonts w:ascii="Arial" w:cs="Arial" w:eastAsia="Arial" w:hAnsi="Arial"/>
          <w:sz w:val="15"/>
          <w:szCs w:val="15"/>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including biological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Licensure and Regulation of Biologics in the United States</w:t>
      </w:r>
    </w:p>
    <w:p>
      <w:pPr>
        <w:spacing w:after="0" w:line="225" w:lineRule="exact"/>
        <w:rPr>
          <w:sz w:val="20"/>
          <w:szCs w:val="20"/>
          <w:color w:val="auto"/>
        </w:rPr>
      </w:pPr>
    </w:p>
    <w:p>
      <w:pPr>
        <w:ind w:right="140" w:firstLine="615"/>
        <w:spacing w:after="0" w:line="289" w:lineRule="auto"/>
        <w:rPr>
          <w:sz w:val="20"/>
          <w:szCs w:val="20"/>
          <w:color w:val="auto"/>
        </w:rPr>
      </w:pPr>
      <w:r>
        <w:rPr>
          <w:rFonts w:ascii="Arial" w:cs="Arial" w:eastAsia="Arial" w:hAnsi="Arial"/>
          <w:sz w:val="16"/>
          <w:szCs w:val="16"/>
          <w:color w:val="auto"/>
        </w:rPr>
        <w:t>In the United States, our candidate products would be regulated as biological products, or biologics, under the Public Health Service Act, or PHSA, and the Federal Food, Drug and Cosmetic Act, or FDCA, and its implementing regulations and guidances. The failure to comply with the applicable U.S. requirements at any time during the product development process, including non-clinical testing, clinical testing, the approval process or post-approval process, may subject an applicant to delays in the conduct of the study, regulatory review and approval, and/or administrative or judicial sanctions. These sanctions may include, but are not limited to, the U.S. Food and Drug Administration's, or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the Department of Justice, or DOJ, or other governmental entities.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An applicant seeking approval to market and distribute a new biologic in the United States generally must satisfactorily complete each of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steps:</w:t>
      </w:r>
    </w:p>
    <w:p>
      <w:pPr>
        <w:spacing w:after="0" w:line="232" w:lineRule="exact"/>
        <w:rPr>
          <w:sz w:val="20"/>
          <w:szCs w:val="20"/>
          <w:color w:val="auto"/>
        </w:rPr>
      </w:pPr>
    </w:p>
    <w:p>
      <w:pPr>
        <w:ind w:left="1080" w:right="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or GLP, regulations;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for human clinical testing, which must become effective before human clinical trials may begin;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representing each clinical site before each clinical trial may be initiated;</w:t>
      </w:r>
    </w:p>
    <w:p>
      <w:pPr>
        <w:spacing w:after="0" w:line="261"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 License Application, or BLA, for a biologic product requesting marketing for one or more proposed indications, including submission of detailed information on the manufacture and composition of the product in clinical development and proposed labelling;</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98"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including those of third parties, at which the product, or components thereof, are produced to assess compliance with current Good Manufacturing Practices, or cGMP, requirements and to assure that the facilities, methods, and controls are adequate to preserve the product's identity, strength, quality, and purity, and, if applicable, the FDA's current good tissue practice, or GTP, for the use of human cellular and tissue products;</w:t>
      </w:r>
    </w:p>
    <w:p>
      <w:pPr>
        <w:spacing w:after="0" w:line="193"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GCPs and the integrity of clinical data in support of the BLA;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and licensure of the new biologic product;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any post-approval studies required by the FDA.</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225"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Before testing any biologic product candidate in humans, including a gene therapy product candidate,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Investigational New Drug, or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w:t>
      </w:r>
    </w:p>
    <w:p>
      <w:pPr>
        <w:spacing w:after="0" w:line="172" w:lineRule="exact"/>
        <w:rPr>
          <w:sz w:val="20"/>
          <w:szCs w:val="20"/>
          <w:color w:val="auto"/>
        </w:rPr>
      </w:pPr>
    </w:p>
    <w:p>
      <w:pPr>
        <w:ind w:firstLine="605"/>
        <w:spacing w:after="0" w:line="294" w:lineRule="auto"/>
        <w:rPr>
          <w:sz w:val="20"/>
          <w:szCs w:val="20"/>
          <w:color w:val="auto"/>
        </w:rPr>
      </w:pPr>
      <w:r>
        <w:rPr>
          <w:rFonts w:ascii="Arial" w:cs="Arial" w:eastAsia="Arial" w:hAnsi="Arial"/>
          <w:sz w:val="16"/>
          <w:szCs w:val="16"/>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study or cause suspension of an ongoing study, until all outstanding concerns have been adequately addressed and the FDA has notified the company that investigations may proceed. This could cause significant delays or difficulties in completing planned clinical studies in a timely manner.</w:t>
      </w:r>
    </w:p>
    <w:p>
      <w:pPr>
        <w:spacing w:after="0" w:line="170" w:lineRule="exact"/>
        <w:rPr>
          <w:sz w:val="20"/>
          <w:szCs w:val="20"/>
          <w:color w:val="auto"/>
        </w:rPr>
      </w:pPr>
    </w:p>
    <w:p>
      <w:pPr>
        <w:ind w:right="120" w:firstLine="611"/>
        <w:spacing w:after="0" w:line="255" w:lineRule="auto"/>
        <w:rPr>
          <w:sz w:val="20"/>
          <w:szCs w:val="20"/>
          <w:color w:val="auto"/>
        </w:rPr>
      </w:pPr>
      <w:r>
        <w:rPr>
          <w:rFonts w:ascii="Arial" w:cs="Arial" w:eastAsia="Arial" w:hAnsi="Arial"/>
          <w:sz w:val="18"/>
          <w:szCs w:val="18"/>
          <w:color w:val="auto"/>
        </w:rPr>
        <w:t>With gene therapy protocols, if the FDA allows the IND to proceed, but the Recombinant DNA Advisory Committee, or RAC, of the National Institute of Health, or NIH, decides that full public review of the protocol is warranted, the FDA will request at the completion of its IND review that sponsors delay initiation of the protocol until after completion of the RAC review process. The FDA also may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225"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a qualified principal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investigator in accordance with GCP requirements.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94" w:lineRule="exact"/>
        <w:rPr>
          <w:sz w:val="20"/>
          <w:szCs w:val="20"/>
          <w:color w:val="auto"/>
        </w:rPr>
      </w:pPr>
    </w:p>
    <w:p>
      <w:pPr>
        <w:ind w:firstLine="605"/>
        <w:spacing w:after="0" w:line="255"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BLA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97"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Further, each clinical trial must be reviewed and approved by an independent institutional review board, or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 points based on access to certain data from the study. Finally, research activities involving infectious agents, hazardous chemicals, recombinant DNA, and genetically altered organisms and agents may be subject to review and approval of an Institutional Biosafety Committee in accordance with NIH Guidelines for Research Involving Recombinant or Synthetic Nucleic Acid Molecules.</w:t>
      </w:r>
    </w:p>
    <w:p>
      <w:pPr>
        <w:spacing w:after="0" w:line="177"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199" w:lineRule="exact"/>
        <w:rPr>
          <w:sz w:val="20"/>
          <w:szCs w:val="20"/>
          <w:color w:val="auto"/>
        </w:rPr>
      </w:pPr>
    </w:p>
    <w:p>
      <w:pPr>
        <w:ind w:left="1080" w:right="220" w:hanging="532"/>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on occasion, in patients, such as cancer patients.</w:t>
      </w:r>
    </w:p>
    <w:p>
      <w:pPr>
        <w:spacing w:after="0" w:line="221"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clinical trials are generally conducted in a limited patient population to identify possible adverse effects and safety risks,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74" w:lineRule="exact"/>
        <w:rPr>
          <w:rFonts w:ascii="Arial" w:cs="Arial" w:eastAsia="Arial" w:hAnsi="Arial"/>
          <w:sz w:val="16"/>
          <w:szCs w:val="16"/>
          <w:color w:val="auto"/>
        </w:rPr>
      </w:pPr>
    </w:p>
    <w:p>
      <w:pPr>
        <w:ind w:left="1080" w:right="100" w:hanging="532"/>
        <w:spacing w:after="0" w:line="255"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proceed if the Phase 2 clinical trials demonstrate that a dose range of the product candidate is potentially effective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approved, how to appropriately label a biologic; such Phase 3 studies are referred to as "pivotal."</w:t>
      </w:r>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Special Regulations and Guidance Governing Gene Therapy Products</w:t>
      </w:r>
    </w:p>
    <w:p>
      <w:pPr>
        <w:spacing w:after="0" w:line="225" w:lineRule="exact"/>
        <w:rPr>
          <w:sz w:val="20"/>
          <w:szCs w:val="20"/>
          <w:color w:val="auto"/>
        </w:rPr>
      </w:pPr>
    </w:p>
    <w:p>
      <w:pPr>
        <w:ind w:right="80" w:firstLine="615"/>
        <w:spacing w:after="0" w:line="286" w:lineRule="auto"/>
        <w:rPr>
          <w:sz w:val="20"/>
          <w:szCs w:val="20"/>
          <w:color w:val="auto"/>
        </w:rPr>
      </w:pPr>
      <w:r>
        <w:rPr>
          <w:rFonts w:ascii="Arial" w:cs="Arial" w:eastAsia="Arial" w:hAnsi="Arial"/>
          <w:sz w:val="16"/>
          <w:szCs w:val="16"/>
          <w:color w:val="auto"/>
        </w:rPr>
        <w:t xml:space="preserve">It is possible that the procedures and standards applied to gene therapy products and cell therapy products may be applied to any CRISPR/Cas9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transferred to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prior to administration to the recipient. Within the FDA, the Center for Biologics Evaluation and Research, or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CBER works closely with the NIH and the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gene therapy INDs.</w:t>
      </w:r>
    </w:p>
    <w:p>
      <w:pPr>
        <w:spacing w:after="0" w:line="181"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In addition to the foregoing, products classified as gene therapies are subject to additional regulation. The FDA has issued various guidance documents regarding gene therapies. Although the FDA has indicated that these guidance documents are not legally binding, we believe that our compliance with them is likely necessary to gain approval for any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172" w:lineRule="exact"/>
        <w:rPr>
          <w:sz w:val="20"/>
          <w:szCs w:val="20"/>
          <w:color w:val="auto"/>
        </w:rPr>
      </w:pPr>
    </w:p>
    <w:p>
      <w:pPr>
        <w:ind w:right="360" w:firstLine="615"/>
        <w:spacing w:after="0" w:line="332" w:lineRule="auto"/>
        <w:rPr>
          <w:sz w:val="20"/>
          <w:szCs w:val="20"/>
          <w:color w:val="auto"/>
        </w:rPr>
      </w:pPr>
      <w:r>
        <w:rPr>
          <w:rFonts w:ascii="Arial" w:cs="Arial" w:eastAsia="Arial" w:hAnsi="Arial"/>
          <w:sz w:val="16"/>
          <w:szCs w:val="16"/>
          <w:color w:val="auto"/>
        </w:rPr>
        <w:t>If a gene therapy trial is conducted at, or sponsored by, institutions receiving the NIH funding for recombinant DNA research, a protocol and related documentation must submitted to, and the study registered with, the NIH Office of Biotechnology Activities, or OBA, pursuant to the NIH Guidelines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Research Involving Recombinant DNA Molecules prior to the submission of an IND to the FDA. In addition, many companies and other institutions not otherwise subject to the NIH Guidelines voluntarily follow them. The NIH will convene the Recombinant DNA Advisory Committee, or RAC, a federal advisory committee, to discuss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 site and may be accessed by the public.</w:t>
      </w:r>
    </w:p>
    <w:p>
      <w:pPr>
        <w:spacing w:after="0" w:line="197" w:lineRule="exact"/>
        <w:rPr>
          <w:sz w:val="20"/>
          <w:szCs w:val="20"/>
          <w:color w:val="auto"/>
        </w:rPr>
      </w:pPr>
    </w:p>
    <w:p>
      <w:pPr>
        <w:jc w:val="both"/>
        <w:ind w:right="120" w:firstLine="615"/>
        <w:spacing w:after="0" w:line="255" w:lineRule="auto"/>
        <w:rPr>
          <w:sz w:val="20"/>
          <w:szCs w:val="20"/>
          <w:color w:val="auto"/>
        </w:rPr>
      </w:pPr>
      <w:r>
        <w:rPr>
          <w:rFonts w:ascii="Arial" w:cs="Arial" w:eastAsia="Arial" w:hAnsi="Arial"/>
          <w:sz w:val="18"/>
          <w:szCs w:val="18"/>
          <w:color w:val="auto"/>
        </w:rPr>
        <w:t>Finally, to facilitate adverse event reporting and dissemination of additional information about gene therapy trials, the FDA and the NIH established the Genetic Modification Clinical Research Information System, or GeMCRIS. Investigators and sponsors of a human gene transfer trials can utilize this web-based system to report serious adverse events and annual reports. GeMCRIS also allows members of the public to access basic reports about human gene transfer trials registered with the NIH and to search for information such as trial location, the names of investigators conducting trials, and the names of gene transfer products being studied.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cGMP and GTP Requirements</w:t>
      </w:r>
    </w:p>
    <w:p>
      <w:pPr>
        <w:spacing w:after="0" w:line="225"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97"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For a gene therapy product, the FDA also will not approve the product if the manufacturer is not in compliance with GTP. These standards are found in FDA regulations and guidances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74"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Review and Approval of a BLA</w:t>
      </w:r>
    </w:p>
    <w:p>
      <w:pPr>
        <w:spacing w:after="0" w:line="225" w:lineRule="exact"/>
        <w:rPr>
          <w:sz w:val="20"/>
          <w:szCs w:val="20"/>
          <w:color w:val="auto"/>
        </w:rPr>
      </w:pPr>
    </w:p>
    <w:p>
      <w:pPr>
        <w:ind w:right="60" w:firstLine="611"/>
        <w:spacing w:after="0" w:line="332" w:lineRule="auto"/>
        <w:rPr>
          <w:sz w:val="20"/>
          <w:szCs w:val="20"/>
          <w:color w:val="auto"/>
        </w:rPr>
      </w:pPr>
      <w:r>
        <w:rPr>
          <w:rFonts w:ascii="Arial" w:cs="Arial" w:eastAsia="Arial" w:hAnsi="Arial"/>
          <w:sz w:val="16"/>
          <w:szCs w:val="16"/>
          <w:color w:val="auto"/>
        </w:rPr>
        <w:t>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detailed information on the composition of the product and proposed labeling as well as payment of a user fee.</w:t>
      </w:r>
    </w:p>
    <w:p>
      <w:pPr>
        <w:spacing w:after="0" w:line="225"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Prescription Drug User Fee Act, or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72" w:lineRule="exact"/>
        <w:rPr>
          <w:sz w:val="20"/>
          <w:szCs w:val="20"/>
          <w:color w:val="auto"/>
        </w:rPr>
      </w:pPr>
    </w:p>
    <w:p>
      <w:pPr>
        <w:ind w:right="540" w:firstLine="615"/>
        <w:spacing w:after="0" w:line="268" w:lineRule="auto"/>
        <w:rPr>
          <w:sz w:val="20"/>
          <w:szCs w:val="20"/>
          <w:color w:val="auto"/>
        </w:rPr>
      </w:pPr>
      <w:r>
        <w:rPr>
          <w:rFonts w:ascii="Arial" w:cs="Arial" w:eastAsia="Arial" w:hAnsi="Arial"/>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w:t>
      </w:r>
    </w:p>
    <w:p>
      <w:pPr>
        <w:spacing w:after="0" w:line="186"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On the basis of the FDA's evaluation of the application and accompanying information, including the results of the inspection of the manufacturing facilities and any FDA audits of non-clinical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w:t>
      </w:r>
    </w:p>
    <w:p>
      <w:pPr>
        <w:spacing w:after="0" w:line="174"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The FDA may also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225" w:lineRule="exact"/>
        <w:rPr>
          <w:sz w:val="20"/>
          <w:szCs w:val="20"/>
          <w:color w:val="auto"/>
        </w:rPr>
      </w:pPr>
    </w:p>
    <w:p>
      <w:pPr>
        <w:jc w:val="both"/>
        <w:ind w:right="220" w:firstLine="611"/>
        <w:spacing w:after="0" w:line="259"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w:t>
      </w:r>
    </w:p>
    <w:p>
      <w:pPr>
        <w:spacing w:after="0" w:line="194"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2"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Second,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2"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Third, the FDA may designate a product for priority review if it is a product that treats a serious condition and, if approved, would provide a significant improvement in safety or effectiveness. The FDA determines, on a case- 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74"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201" w:lineRule="exact"/>
        <w:rPr>
          <w:sz w:val="20"/>
          <w:szCs w:val="20"/>
          <w:color w:val="auto"/>
        </w:rPr>
      </w:pPr>
    </w:p>
    <w:p>
      <w:pPr>
        <w:ind w:right="120" w:firstLine="611"/>
        <w:spacing w:after="0" w:line="255"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97"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05"/>
        <w:spacing w:after="0" w:line="294" w:lineRule="auto"/>
        <w:rPr>
          <w:sz w:val="20"/>
          <w:szCs w:val="20"/>
          <w:color w:val="auto"/>
        </w:rPr>
      </w:pPr>
      <w:r>
        <w:rPr>
          <w:rFonts w:ascii="Arial" w:cs="Arial" w:eastAsia="Arial" w:hAnsi="Arial"/>
          <w:sz w:val="16"/>
          <w:szCs w:val="16"/>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0"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Orphan drug designation in the United States is designed to encourage sponsors to develop products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167"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or OOPD, at the FDA based on acceptable confidential requests made under the regulatory provisions. The product must then go through the review and approval process like any other product.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05"/>
        <w:spacing w:after="0" w:line="255" w:lineRule="auto"/>
        <w:rPr>
          <w:sz w:val="20"/>
          <w:szCs w:val="20"/>
          <w:color w:val="auto"/>
        </w:rPr>
      </w:pPr>
      <w:r>
        <w:rPr>
          <w:rFonts w:ascii="Arial" w:cs="Arial" w:eastAsia="Arial" w:hAnsi="Arial"/>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97"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4"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97"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Biosimilars and Exclusivity</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2010 Patient Protection and Affordable Care Act, which was signed into law in March 2010, included a subtitle called the Biologics Price Competition and Innovation Act of 2009 or BPCIA. The BPCIA established a regulatory scheme authorizing the FDA to approve biosimilars and interchangeable biosimilars. To date, one biosimilar product has been approved by the FDA for use in the United States. No interchangeable biosimilars, however, have been approved. The FDA has issued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several guidance documents outlining an approach to review and approval of biosimilars. Additional guidances are expected to be finalized by the FDA in the near term.</w:t>
      </w:r>
    </w:p>
    <w:p>
      <w:pPr>
        <w:spacing w:after="0" w:line="186" w:lineRule="exact"/>
        <w:rPr>
          <w:sz w:val="20"/>
          <w:szCs w:val="20"/>
          <w:color w:val="auto"/>
        </w:rPr>
      </w:pPr>
    </w:p>
    <w:p>
      <w:pPr>
        <w:ind w:right="220" w:firstLine="615"/>
        <w:spacing w:after="0" w:line="291"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4"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225" w:lineRule="exact"/>
        <w:rPr>
          <w:sz w:val="20"/>
          <w:szCs w:val="20"/>
          <w:color w:val="auto"/>
        </w:rPr>
      </w:pPr>
    </w:p>
    <w:p>
      <w:pPr>
        <w:ind w:right="80" w:firstLine="605"/>
        <w:spacing w:after="0" w:line="289" w:lineRule="auto"/>
        <w:rPr>
          <w:sz w:val="20"/>
          <w:szCs w:val="20"/>
          <w:color w:val="auto"/>
        </w:rPr>
      </w:pPr>
      <w:r>
        <w:rPr>
          <w:rFonts w:ascii="Arial" w:cs="Arial" w:eastAsia="Arial" w:hAnsi="Arial"/>
          <w:sz w:val="16"/>
          <w:szCs w:val="16"/>
          <w:color w:val="auto"/>
        </w:rPr>
        <w:t>A patent claiming a new biologic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FDA Approval of Companion Diagno</w:t>
      </w:r>
      <w:r>
        <w:rPr>
          <w:rFonts w:ascii="Arial" w:cs="Arial" w:eastAsia="Arial" w:hAnsi="Arial"/>
          <w:sz w:val="18"/>
          <w:szCs w:val="18"/>
          <w:color w:val="auto"/>
        </w:rPr>
        <w:t>stics</w:t>
      </w:r>
    </w:p>
    <w:p>
      <w:pPr>
        <w:spacing w:after="0" w:line="225" w:lineRule="exact"/>
        <w:rPr>
          <w:sz w:val="20"/>
          <w:szCs w:val="20"/>
          <w:color w:val="auto"/>
        </w:rPr>
      </w:pPr>
    </w:p>
    <w:p>
      <w:pPr>
        <w:ind w:right="80" w:firstLine="615"/>
        <w:spacing w:after="0" w:line="312" w:lineRule="auto"/>
        <w:rPr>
          <w:sz w:val="20"/>
          <w:szCs w:val="20"/>
          <w:color w:val="auto"/>
        </w:rPr>
      </w:pPr>
      <w:r>
        <w:rPr>
          <w:rFonts w:ascii="Arial" w:cs="Arial" w:eastAsia="Arial" w:hAnsi="Arial"/>
          <w:sz w:val="15"/>
          <w:szCs w:val="15"/>
          <w:color w:val="auto"/>
        </w:rPr>
        <w:t xml:space="preserve">In August 2014, the FDA issued final guidance clarifying the requirements that will apply to approval of therapeutic products and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Under the FDCA,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an exemption applies, diagnostic tests require marketing clearance or approval from the FDA prior to commercial distribution.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 has been implemented through national legislation of the member states. Under this system, an applicant must obtain approval from the competent national authority of an EU member state in which the clinical trial is to be conducted, or in multiple member states if the clinical trial is to be conducted in a number of member states. Furthermore, the applicant may only start a clinical trial at a specific study site after the competent ethics committee has issued a favorable opinion. The clinical trial application, or CTA,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201" w:lineRule="exact"/>
        <w:rPr>
          <w:sz w:val="20"/>
          <w:szCs w:val="20"/>
          <w:color w:val="auto"/>
        </w:rPr>
      </w:pPr>
    </w:p>
    <w:p>
      <w:pPr>
        <w:ind w:right="180" w:firstLine="615"/>
        <w:spacing w:after="0" w:line="294"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The new Clinical Trials Regulation (EU) No 536/2014 will become applicable no earlier than May 28, 2016. It will overhaul the current system of approvals for clinical trials in the EU. Specifically, the new legislation, which will be directly applicable in all member states,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ind w:right="80" w:firstLine="611"/>
        <w:spacing w:after="0" w:line="291" w:lineRule="auto"/>
        <w:rPr>
          <w:sz w:val="20"/>
          <w:szCs w:val="20"/>
          <w:color w:val="auto"/>
        </w:rPr>
      </w:pPr>
      <w:r>
        <w:rPr>
          <w:rFonts w:ascii="Arial" w:cs="Arial" w:eastAsia="Arial" w:hAnsi="Arial"/>
          <w:sz w:val="16"/>
          <w:szCs w:val="16"/>
          <w:color w:val="auto"/>
        </w:rPr>
        <w:t>To obtain a marketing authorization for a product under the EU regulatory system, an applicant must submit an MAA, either under a centralized procedure administered by the European Medicines Authority, or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11"/>
        <w:spacing w:after="0" w:line="294"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0" w:lineRule="exact"/>
        <w:rPr>
          <w:sz w:val="20"/>
          <w:szCs w:val="20"/>
          <w:color w:val="auto"/>
        </w:rPr>
      </w:pPr>
    </w:p>
    <w:p>
      <w:pPr>
        <w:ind w:right="200" w:firstLine="615"/>
        <w:spacing w:after="0" w:line="253" w:lineRule="auto"/>
        <w:rPr>
          <w:sz w:val="20"/>
          <w:szCs w:val="20"/>
          <w:color w:val="auto"/>
        </w:rPr>
      </w:pPr>
      <w:r>
        <w:rPr>
          <w:rFonts w:ascii="Arial" w:cs="Arial" w:eastAsia="Arial" w:hAnsi="Arial"/>
          <w:sz w:val="18"/>
          <w:szCs w:val="18"/>
          <w:color w:val="auto"/>
        </w:rPr>
        <w:t>Specifically,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application for marketing authorization. The European Commission grants or refuses marketing authorization in light of the opinion delivered by EMA.</w:t>
      </w:r>
    </w:p>
    <w:p>
      <w:pPr>
        <w:spacing w:after="0" w:line="201" w:lineRule="exact"/>
        <w:rPr>
          <w:sz w:val="20"/>
          <w:szCs w:val="20"/>
          <w:color w:val="auto"/>
        </w:rPr>
      </w:pPr>
    </w:p>
    <w:p>
      <w:pPr>
        <w:ind w:right="40" w:firstLine="615"/>
        <w:spacing w:after="0" w:line="283"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an initial assessment of a product.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150 days, but it is possible that the CHMP may revert to the standard time limit for the centralized procedure if it determines that it is no longer appropriate to conduct an accelerated assessment.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Regulatory Data Protection in the European Union</w:t>
      </w:r>
    </w:p>
    <w:p>
      <w:pPr>
        <w:spacing w:after="0" w:line="225" w:lineRule="exact"/>
        <w:rPr>
          <w:sz w:val="20"/>
          <w:szCs w:val="20"/>
          <w:color w:val="auto"/>
        </w:rPr>
      </w:pPr>
    </w:p>
    <w:p>
      <w:pPr>
        <w:ind w:right="200" w:firstLine="615"/>
        <w:spacing w:after="0" w:line="286" w:lineRule="auto"/>
        <w:rPr>
          <w:sz w:val="20"/>
          <w:szCs w:val="20"/>
          <w:color w:val="auto"/>
        </w:rPr>
      </w:pPr>
      <w:r>
        <w:rPr>
          <w:rFonts w:ascii="Arial" w:cs="Arial" w:eastAsia="Arial" w:hAnsi="Arial"/>
          <w:sz w:val="16"/>
          <w:szCs w:val="16"/>
          <w:color w:val="auto"/>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w:t>
      </w:r>
    </w:p>
    <w:p>
      <w:pPr>
        <w:spacing w:after="0" w:line="287" w:lineRule="auto"/>
        <w:rPr>
          <w:sz w:val="20"/>
          <w:szCs w:val="20"/>
          <w:color w:val="auto"/>
        </w:rPr>
      </w:pPr>
      <w:r>
        <w:rPr>
          <w:rFonts w:ascii="Arial" w:cs="Arial" w:eastAsia="Arial" w:hAnsi="Arial"/>
          <w:sz w:val="16"/>
          <w:szCs w:val="16"/>
          <w:color w:val="auto"/>
        </w:rPr>
        <w:t>Directive 2001/83/EC, as amended. Data exclusivity prevents regulatory authorities in the European Union from referencing the innovator's data to assess a generic (abbreviated) application for a period of eight years.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05"/>
        <w:spacing w:after="0" w:line="290"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225" w:lineRule="exact"/>
        <w:rPr>
          <w:sz w:val="20"/>
          <w:szCs w:val="20"/>
          <w:color w:val="auto"/>
        </w:rPr>
      </w:pPr>
    </w:p>
    <w:p>
      <w:pPr>
        <w:ind w:right="140" w:firstLine="615"/>
        <w:spacing w:after="0" w:line="312" w:lineRule="auto"/>
        <w:rPr>
          <w:sz w:val="20"/>
          <w:szCs w:val="20"/>
          <w:color w:val="auto"/>
        </w:rPr>
      </w:pPr>
      <w:r>
        <w:rPr>
          <w:rFonts w:ascii="Arial" w:cs="Arial" w:eastAsia="Arial" w:hAnsi="Arial"/>
          <w:sz w:val="15"/>
          <w:szCs w:val="15"/>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ind w:right="20" w:firstLine="615"/>
        <w:spacing w:after="0" w:line="314" w:lineRule="auto"/>
        <w:rPr>
          <w:sz w:val="20"/>
          <w:szCs w:val="20"/>
          <w:color w:val="auto"/>
        </w:rPr>
      </w:pPr>
      <w:r>
        <w:rPr>
          <w:rFonts w:ascii="Arial" w:cs="Arial" w:eastAsia="Arial" w:hAnsi="Arial"/>
          <w:sz w:val="15"/>
          <w:szCs w:val="15"/>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59"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An orphan drug designation provides a number of benefits, including fee reductions, regulatory assistance, and the possibility to apply for a centralized EU marketing authorization. Marketing authorization for an orphan drug leads to a ten-year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Even if any product candidates we may develop are approved,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1" w:lineRule="exact"/>
        <w:rPr>
          <w:sz w:val="20"/>
          <w:szCs w:val="20"/>
          <w:color w:val="auto"/>
        </w:rPr>
      </w:pPr>
    </w:p>
    <w:p>
      <w:pPr>
        <w:ind w:right="80" w:firstLine="615"/>
        <w:spacing w:after="0" w:line="288"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spacing w:after="0" w:line="174" w:lineRule="exact"/>
        <w:rPr>
          <w:sz w:val="20"/>
          <w:szCs w:val="20"/>
          <w:color w:val="auto"/>
        </w:rPr>
      </w:pPr>
    </w:p>
    <w:p>
      <w:pPr>
        <w:ind w:right="20" w:firstLine="611"/>
        <w:spacing w:after="0" w:line="314" w:lineRule="auto"/>
        <w:rPr>
          <w:sz w:val="20"/>
          <w:szCs w:val="20"/>
          <w:color w:val="auto"/>
        </w:rPr>
      </w:pPr>
      <w:r>
        <w:rPr>
          <w:rFonts w:ascii="Arial" w:cs="Arial" w:eastAsia="Arial" w:hAnsi="Arial"/>
          <w:sz w:val="15"/>
          <w:szCs w:val="15"/>
          <w:color w:val="auto"/>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59" w:lineRule="exact"/>
        <w:rPr>
          <w:sz w:val="20"/>
          <w:szCs w:val="20"/>
          <w:color w:val="auto"/>
        </w:rPr>
      </w:pPr>
    </w:p>
    <w:p>
      <w:pPr>
        <w:ind w:right="20" w:firstLine="615"/>
        <w:spacing w:after="0" w:line="323" w:lineRule="auto"/>
        <w:rPr>
          <w:sz w:val="20"/>
          <w:szCs w:val="20"/>
          <w:color w:val="auto"/>
        </w:rPr>
      </w:pPr>
      <w:r>
        <w:rPr>
          <w:rFonts w:ascii="Arial" w:cs="Arial" w:eastAsia="Arial" w:hAnsi="Arial"/>
          <w:sz w:val="15"/>
          <w:szCs w:val="15"/>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or HTAs)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210" w:lineRule="exact"/>
        <w:rPr>
          <w:sz w:val="20"/>
          <w:szCs w:val="20"/>
          <w:color w:val="auto"/>
        </w:rPr>
      </w:pPr>
    </w:p>
    <w:p>
      <w:pPr>
        <w:ind w:left="1080" w:right="300" w:hanging="532"/>
        <w:spacing w:after="0" w:line="256"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224"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10"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06"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87" w:lineRule="exact"/>
        <w:rPr>
          <w:rFonts w:ascii="Arial" w:cs="Arial" w:eastAsia="Arial" w:hAnsi="Arial"/>
          <w:sz w:val="16"/>
          <w:szCs w:val="16"/>
          <w:color w:val="auto"/>
        </w:rPr>
      </w:pPr>
    </w:p>
    <w:p>
      <w:pPr>
        <w:ind w:left="1080" w:right="140" w:hanging="532"/>
        <w:spacing w:after="0" w:line="294"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or PPACA, as amended by the Health Care Education Reconciliation Act,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83"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6"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240" w:firstLine="605"/>
        <w:spacing w:after="0" w:line="259" w:lineRule="auto"/>
        <w:rPr>
          <w:sz w:val="20"/>
          <w:szCs w:val="20"/>
          <w:color w:val="auto"/>
        </w:rPr>
      </w:pPr>
      <w:r>
        <w:rPr>
          <w:rFonts w:ascii="Arial" w:cs="Arial" w:eastAsia="Arial" w:hAnsi="Arial"/>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94" w:lineRule="exact"/>
        <w:rPr>
          <w:sz w:val="20"/>
          <w:szCs w:val="20"/>
          <w:color w:val="auto"/>
        </w:rPr>
      </w:pPr>
    </w:p>
    <w:p>
      <w:pPr>
        <w:jc w:val="both"/>
        <w:ind w:right="40" w:firstLine="615"/>
        <w:spacing w:after="0" w:line="306" w:lineRule="auto"/>
        <w:rPr>
          <w:sz w:val="20"/>
          <w:szCs w:val="20"/>
          <w:color w:val="auto"/>
        </w:rPr>
      </w:pPr>
      <w:r>
        <w:rPr>
          <w:rFonts w:ascii="Arial" w:cs="Arial" w:eastAsia="Arial" w:hAnsi="Arial"/>
          <w:sz w:val="16"/>
          <w:szCs w:val="16"/>
          <w:color w:val="auto"/>
        </w:rPr>
        <w:t>By way of example, the United States and state governments continue to propose and pass legislation designed to reduce the cost of healthcare. In March 2010, the United States Congress enacted the PPACA, which, among other things, includes changes to the coverage and payment for products under government health care programs. Among the provisions of the PPACA of importance to our potential product candidates are:</w:t>
      </w:r>
    </w:p>
    <w:p>
      <w:pPr>
        <w:spacing w:after="0" w:line="174" w:lineRule="exact"/>
        <w:rPr>
          <w:sz w:val="20"/>
          <w:szCs w:val="20"/>
          <w:color w:val="auto"/>
        </w:rPr>
      </w:pPr>
    </w:p>
    <w:p>
      <w:pPr>
        <w:ind w:left="1080" w:right="34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221"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52"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products that are inhaled, infused, instilled, implanted or injected;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38"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off the negotiated price of applicable products to eligible beneficiaries during their coverage gap period as a condition for the manufacturers' outpatient products to be covered under Medicare Part D;</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12" w:lineRule="exact"/>
        <w:rPr>
          <w:rFonts w:ascii="Arial" w:cs="Arial" w:eastAsia="Arial" w:hAnsi="Arial"/>
          <w:sz w:val="18"/>
          <w:szCs w:val="18"/>
          <w:color w:val="auto"/>
        </w:rPr>
      </w:pPr>
    </w:p>
    <w:p>
      <w:pPr>
        <w:ind w:left="1080" w:right="320" w:hanging="532"/>
        <w:spacing w:after="0" w:line="298"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Independent Payment Advisory Board, or IPAB, which has authority to recommend certain changes to the Medicare program to reduce expenditures by the program that could result in reduced payments for prescription products. However, the IPAB implementation has been not been clearly defined. The PPACA provided that under certain circumstances, IPAB recommendations will become law unless Congress enacts legislation that will achieve the same or greater Medicare cost savings; and</w:t>
      </w:r>
    </w:p>
    <w:p>
      <w:pPr>
        <w:spacing w:after="0" w:line="180"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CMS to test innovative payment and service delivery models to lower Medicare and Medicaid spending, potentially including prescription product spending. Funding has been allocated to support the mission of the Center for Medicare and Medicaid Innovation from 2011 to 2019.</w:t>
      </w:r>
    </w:p>
    <w:p>
      <w:pPr>
        <w:spacing w:after="0" w:line="194"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Other legislative changes have been proposed and adopted in the United States since the PPACA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will remain in effect through 2024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2" w:lineRule="exact"/>
        <w:rPr>
          <w:sz w:val="20"/>
          <w:szCs w:val="20"/>
          <w:color w:val="auto"/>
        </w:rPr>
      </w:pPr>
    </w:p>
    <w:p>
      <w:pPr>
        <w:ind w:right="300" w:firstLine="611"/>
        <w:spacing w:after="0" w:line="256"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225"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third countries that impose similar obligations.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420" w:firstLine="605"/>
        <w:spacing w:after="0" w:line="259" w:lineRule="auto"/>
        <w:rPr>
          <w:sz w:val="20"/>
          <w:szCs w:val="20"/>
          <w:color w:val="auto"/>
        </w:rPr>
      </w:pPr>
      <w:r>
        <w:rPr>
          <w:rFonts w:ascii="Arial" w:cs="Arial" w:eastAsia="Arial" w:hAnsi="Arial"/>
          <w:sz w:val="18"/>
          <w:szCs w:val="18"/>
          <w:color w:val="auto"/>
        </w:rPr>
        <w:t>As of November 30, 2015, we had 55 full-time employees, including 26 employees with M.D. or Ph.D. degrees. Of these full-time employees, 43 employees are engaged in research and development activities. None of our employees is represented by a labor union or covered by a collective bargaining agreement.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occupy approximately 18,000 square feet of office and laboratory space in Cambridge, Massachusetts under a sublease that expires in September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2016. We also occupy approximately 9,300 square feet of additional laboratory space in Cambridge, Massachusetts under a sublease that expires in November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We believe that our facilities are sufficient to meet our current needs and that suitable additional space will be available as and when needed.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615"/>
        <w:spacing w:after="0" w:line="284" w:lineRule="auto"/>
        <w:rPr>
          <w:sz w:val="20"/>
          <w:szCs w:val="20"/>
          <w:color w:val="auto"/>
        </w:rPr>
      </w:pPr>
      <w:r>
        <w:rPr>
          <w:rFonts w:ascii="Arial" w:cs="Arial" w:eastAsia="Arial" w:hAnsi="Arial"/>
          <w:sz w:val="16"/>
          <w:szCs w:val="16"/>
          <w:color w:val="auto"/>
        </w:rPr>
        <w:t>From time to time, we may become involved in litigation or other legal proceedings relating to claims arising from the ordinary course of business. On January 11, 2016, the PTAB declared an interference between a pending U.S. patent application (U.S. Serial No. 13/842,859) that is owned by the University of California, the University of Vienna, and Emmanuelle Charpentier and 12 U.S. patents (U.S. Patent Nos. 8,697,359; 8,771,945; 8,795,965; 8,865,406; 8,871,445; 8,889,356; 8,895,308; 8,906,616; 8,932,814; 8,945,839; 8,993,233; and 8,999,641) that are co-owned by Broad and MIT, and in some cases Harvard, and in-licensed by us. An interference is a proceeding within the USPTO to determine priority of invention of the subject matter of patent claims filed by different parties. In the declared interference, the University of California, acting on behalf of itself and the University of Vienna, and Emmanuelle Charpentier have been designated as the senior party and Broad has been designated as the junior party. Prior to the declaration of interference, the University of California, acting on behalf of itself and the University of Vienna, and Emmanuelle Charpentier filed a Suggestion of Interference in the USPTO on April 13, 2015 against 10 U.S. patents that we have in-licensed from Broad, acting on behalf of itself, MIT, and Harvard. A Supplemental Suggestion of Interference was filed by the University of California and Emmanuelle Charpentier on November 5, 2015 against two additional U.S. patents and five pending U.S. patent applications that we have in-licensed from Broad, acting on behalf of MIT and Harvard. The 12 U.S. patents referred to in the Suggestion of Interference and Supplemental Suggestion of Interference are the same as those referred to above and will be evaluated by the PTAB in the interference described above. Separately, ToolGen also filed Suggestions of Interference in the USPTO on April 13, 2015, which became publicly available on November 12, 2015 and December 3, 2015, against five U.S. patents, which are among the 12 U.S. patents with respect to which the PTAB has declared an interference and which we have in-licensed from Broad, acting on behalf of itself, MIT, and Harvard. In addition, we are aware that Rockefeller has independently filed a U.S. patent application as a continuation of a U.S. patent that we have in-licensed from Broad and added one of its employees as a co-inventor on this patent application. In addition, the EPO OD has initiated an opposition proceeding in the EPO against a European patent that we in-license from Broad, and we are also aware of eight oppositions filed against a second European patent that we in-license from Broad. There can be no assurance that any proceedings that result from these third-party actions will be resolved in favor of Broad. In addition, if they are not resolved in favor of Broad, there can be no assurance that the result will not have a material adverse effect on our business, financial condition, results of operations, or prospects. See "Risk Factors—Risks Related to Our Intellectual Property—Some of our in-licensed patents are subject to priority disputes." and "Business—Intellectual Property." Regardless of outcome, litigation or other legal proceedings can have an adverse impact on us because of defense and settlement costs, diversion of management resources, and other factors.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January 25, 2016.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362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Katrine S. Bosley</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w w:val="96"/>
              </w:rPr>
              <w:t>President and Chief Executive Officer, Director</w:t>
            </w: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A. F. Hack, M.D., Ph.D.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Alexandra Glucksmann, Ph.D.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Chief Operating Officer</w:t>
            </w:r>
          </w:p>
        </w:tc>
      </w:tr>
      <w:tr>
        <w:trPr>
          <w:trHeight w:val="432"/>
        </w:trPr>
        <w:tc>
          <w:tcPr>
            <w:tcW w:w="20" w:type="dxa"/>
            <w:vAlign w:val="bottom"/>
          </w:tcPr>
          <w:p>
            <w:pPr>
              <w:spacing w:after="0"/>
              <w:rPr>
                <w:sz w:val="24"/>
                <w:szCs w:val="24"/>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4820" w:type="dxa"/>
            <w:vAlign w:val="bottom"/>
            <w:gridSpan w:val="3"/>
          </w:tcPr>
          <w:p>
            <w:pPr>
              <w:spacing w:after="0" w:line="256" w:lineRule="exact"/>
              <w:rPr>
                <w:sz w:val="20"/>
                <w:szCs w:val="20"/>
                <w:color w:val="auto"/>
              </w:rPr>
            </w:pPr>
            <w:r>
              <w:rPr>
                <w:rFonts w:ascii="Arial" w:cs="Arial" w:eastAsia="Arial" w:hAnsi="Arial"/>
                <w:sz w:val="18"/>
                <w:szCs w:val="18"/>
                <w:color w:val="auto"/>
              </w:rPr>
              <w:t>Kevin Bitterman, Ph.D.</w:t>
            </w:r>
            <w:r>
              <w:rPr>
                <w:rFonts w:ascii="Arial" w:cs="Arial" w:eastAsia="Arial" w:hAnsi="Arial"/>
                <w:sz w:val="29"/>
                <w:szCs w:val="29"/>
                <w:color w:val="auto"/>
                <w:vertAlign w:val="superscript"/>
              </w:rPr>
              <w:t>(1)(2)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48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Alexis Borisy</w:t>
            </w:r>
            <w:r>
              <w:rPr>
                <w:rFonts w:ascii="Arial" w:cs="Arial" w:eastAsia="Arial" w:hAnsi="Arial"/>
                <w:sz w:val="29"/>
                <w:szCs w:val="29"/>
                <w:color w:val="auto"/>
                <w:vertAlign w:val="superscript"/>
              </w:rPr>
              <w:t>(1)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4820" w:type="dxa"/>
            <w:vAlign w:val="bottom"/>
            <w:gridSpan w:val="3"/>
          </w:tcPr>
          <w:p>
            <w:pPr>
              <w:spacing w:after="0" w:line="256" w:lineRule="exact"/>
              <w:rPr>
                <w:sz w:val="20"/>
                <w:szCs w:val="20"/>
                <w:color w:val="auto"/>
              </w:rPr>
            </w:pPr>
            <w:r>
              <w:rPr>
                <w:rFonts w:ascii="Arial" w:cs="Arial" w:eastAsia="Arial" w:hAnsi="Arial"/>
                <w:sz w:val="18"/>
                <w:szCs w:val="18"/>
                <w:color w:val="auto"/>
              </w:rPr>
              <w:t>Douglas G. Cole, M.D.</w:t>
            </w:r>
            <w:r>
              <w:rPr>
                <w:rFonts w:ascii="Arial" w:cs="Arial" w:eastAsia="Arial" w:hAnsi="Arial"/>
                <w:sz w:val="29"/>
                <w:szCs w:val="29"/>
                <w:color w:val="auto"/>
                <w:vertAlign w:val="superscript"/>
              </w:rPr>
              <w:t>(2)(3)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48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John D. Mendlein, Ph.D.</w:t>
            </w:r>
            <w:r>
              <w:rPr>
                <w:rFonts w:ascii="Arial" w:cs="Arial" w:eastAsia="Arial" w:hAnsi="Arial"/>
                <w:sz w:val="29"/>
                <w:szCs w:val="29"/>
                <w:color w:val="auto"/>
                <w:vertAlign w:val="superscript"/>
              </w:rPr>
              <w:t>(2)(3)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365"/>
        </w:trPr>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Boris Nikolic, M.D.</w:t>
            </w:r>
            <w:r>
              <w:rPr>
                <w:rFonts w:ascii="Arial" w:cs="Arial" w:eastAsia="Arial" w:hAnsi="Arial"/>
                <w:sz w:val="29"/>
                <w:szCs w:val="29"/>
                <w:color w:val="auto"/>
                <w:vertAlign w:val="superscript"/>
              </w:rPr>
              <w:t>(1)(3)</w:t>
            </w:r>
          </w:p>
        </w:tc>
        <w:tc>
          <w:tcPr>
            <w:tcW w:w="27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431"/>
        </w:trPr>
        <w:tc>
          <w:tcPr>
            <w:tcW w:w="380" w:type="dxa"/>
            <w:vAlign w:val="bottom"/>
            <w:gridSpan w:val="2"/>
          </w:tcPr>
          <w:p>
            <w:pPr>
              <w:spacing w:after="0"/>
              <w:rPr>
                <w:sz w:val="20"/>
                <w:szCs w:val="20"/>
                <w:color w:val="auto"/>
              </w:rPr>
            </w:pPr>
            <w:r>
              <w:rPr>
                <w:rFonts w:ascii="Arial" w:cs="Arial" w:eastAsia="Arial" w:hAnsi="Arial"/>
                <w:sz w:val="18"/>
                <w:szCs w:val="18"/>
                <w:color w:val="auto"/>
              </w:rPr>
              <w:t>(1)</w:t>
            </w: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Member of audit committee</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43"/>
        </w:trPr>
        <w:tc>
          <w:tcPr>
            <w:tcW w:w="380" w:type="dxa"/>
            <w:vAlign w:val="bottom"/>
            <w:gridSpan w:val="2"/>
          </w:tcPr>
          <w:p>
            <w:pPr>
              <w:spacing w:after="0"/>
              <w:rPr>
                <w:sz w:val="20"/>
                <w:szCs w:val="20"/>
                <w:color w:val="auto"/>
              </w:rPr>
            </w:pPr>
            <w:r>
              <w:rPr>
                <w:rFonts w:ascii="Arial" w:cs="Arial" w:eastAsia="Arial" w:hAnsi="Arial"/>
                <w:sz w:val="18"/>
                <w:szCs w:val="18"/>
                <w:color w:val="auto"/>
              </w:rPr>
              <w:t>(2)</w:t>
            </w: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Member of compensation committee</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36"/>
        </w:trPr>
        <w:tc>
          <w:tcPr>
            <w:tcW w:w="380" w:type="dxa"/>
            <w:vAlign w:val="bottom"/>
            <w:gridSpan w:val="2"/>
          </w:tcPr>
          <w:p>
            <w:pPr>
              <w:spacing w:after="0"/>
              <w:rPr>
                <w:sz w:val="20"/>
                <w:szCs w:val="20"/>
                <w:color w:val="auto"/>
              </w:rPr>
            </w:pPr>
            <w:r>
              <w:rPr>
                <w:rFonts w:ascii="Arial" w:cs="Arial" w:eastAsia="Arial" w:hAnsi="Arial"/>
                <w:sz w:val="18"/>
                <w:szCs w:val="18"/>
                <w:color w:val="auto"/>
              </w:rPr>
              <w:t>(3)</w:t>
            </w: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88"/>
              </w:rPr>
              <w:t>Member of nominating and corporate governance committee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tcPr>
          <w:p>
            <w:pPr>
              <w:spacing w:after="0"/>
              <w:rPr>
                <w:sz w:val="20"/>
                <w:szCs w:val="20"/>
                <w:color w:val="auto"/>
              </w:rPr>
            </w:pPr>
          </w:p>
        </w:tc>
      </w:tr>
    </w:tbl>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b w:val="1"/>
          <w:bCs w:val="1"/>
          <w:i w:val="1"/>
          <w:iCs w:val="1"/>
          <w:color w:val="auto"/>
        </w:rPr>
        <w:t xml:space="preserve">Katrine S. Bosley </w:t>
      </w:r>
      <w:r>
        <w:rPr>
          <w:rFonts w:ascii="Arial" w:cs="Arial" w:eastAsia="Arial" w:hAnsi="Arial"/>
          <w:sz w:val="16"/>
          <w:szCs w:val="16"/>
          <w:color w:val="auto"/>
        </w:rPr>
        <w:t>has served as our President and Chief Executive Officer and a member of our board of directors since June 2014. Prior to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Editas, Ms. Bosley was the Entrepreneur-in-Residence at The Broad Institute from September 2013 to May 2014. She served as Chief Executive Officer of Avila Therapeutics Inc., or Avila, a biotechnology company, from May 2009 to March 2012, when Avila was acquired by Celgene Corporation, or Celgene, a public biopharmaceutical company. Ms. Bosley served as President, Celgene Avilomics Research at Celgene from March 2012 to May 2012. Before Avila, she was Vice President, Strategic Operations at Adnexus, a Bristol-Myers Squibb Company and was Vice President, Business Development at Adnexus Therapeutics Inc., or Adnexus, a biotechnology company, before that. She joined Adnexus from Biogen Idec, Inc., a public biotechnology company, where she held roles in business development, commercial operations, and portfolio strategy in the United States and Europe. Earlier, she was part of the healthcare team at the venture firm Highland Capital Partners. Ms. Bosley currently serves as chairman of the board of directors of Genocea Biosciences, Inc., a public biotechnology company, and is a director of Galapagos NV, a public biotechnology company, and of Scholar Rock, Inc., a private biotechnology company. She also serves on the board of directors of the Biotechnology Industry Organization, a not-for-profit organization, and is a review committee member of the Wellcome Trust. Ms. Bosley graduated from Cornell University with a B.A. in biological sciences. We believe that Ms. Bosley's operational and historical experience with Editas gained from serving as our President and Chief Executive Officer and member of our board of directors, combined with her prior experiences in creating strategic and business development value and her network in the biopharmaceutical industry, qualifies her to serve as a member of our board of directors.</w:t>
      </w:r>
    </w:p>
    <w:p>
      <w:pPr>
        <w:spacing w:after="0" w:line="175" w:lineRule="exact"/>
        <w:rPr>
          <w:sz w:val="20"/>
          <w:szCs w:val="20"/>
          <w:color w:val="auto"/>
        </w:rPr>
      </w:pPr>
    </w:p>
    <w:p>
      <w:pPr>
        <w:ind w:right="360" w:firstLine="615"/>
        <w:spacing w:after="0" w:line="259" w:lineRule="auto"/>
        <w:rPr>
          <w:sz w:val="20"/>
          <w:szCs w:val="20"/>
          <w:color w:val="auto"/>
        </w:rPr>
      </w:pPr>
      <w:r>
        <w:rPr>
          <w:rFonts w:ascii="Arial" w:cs="Arial" w:eastAsia="Arial" w:hAnsi="Arial"/>
          <w:sz w:val="18"/>
          <w:szCs w:val="18"/>
          <w:b w:val="1"/>
          <w:bCs w:val="1"/>
          <w:i w:val="1"/>
          <w:iCs w:val="1"/>
          <w:color w:val="auto"/>
        </w:rPr>
        <w:t xml:space="preserve">Andrew A. F. Hack, M.D., Ph.D., </w:t>
      </w:r>
      <w:r>
        <w:rPr>
          <w:rFonts w:ascii="Arial" w:cs="Arial" w:eastAsia="Arial" w:hAnsi="Arial"/>
          <w:sz w:val="18"/>
          <w:szCs w:val="18"/>
          <w:color w:val="auto"/>
        </w:rPr>
        <w:t>has served as our Chief Financial Officer since July 2015. Prior to joining Editas, from May 2011 to June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Hack was a portfolio manager at Millennium Management LLC, an institutional asset manager, where he ran a healthcare fund focused on biotechnology, pharmaceutical, and medical device companies. Before joining Millennium Management,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Dr. Hack was a healthcare analyst at HealthCor Management, L.P., a registered investment advisor, from December 2008 to May 2011. Prior to HealthCor, Dr. Hack served as a healthcare analyst for hedge fund Carlyle-Blue Wave Partners and as principal of the MPM BioEquities Fund, a hedge fund that was affiliated with MPM Capital. Dr. Hack began his investment career covering the biotechnology sector at investment banks Banc of America Securities LLC and Rodman &amp; Renshaw, LLC. Dr. Hack co-founded Reify Corporation, a life science tools and drug discovery company. Dr. Hack received his B.A. in biology with special honors from the University of Chicago, where he also received his M.D. and Ph.D.</w:t>
      </w:r>
    </w:p>
    <w:p>
      <w:pPr>
        <w:spacing w:after="0" w:line="170"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b w:val="1"/>
          <w:bCs w:val="1"/>
          <w:i w:val="1"/>
          <w:iCs w:val="1"/>
          <w:color w:val="auto"/>
        </w:rPr>
        <w:t xml:space="preserve">Alexandra Glucksmann, Ph.D., </w:t>
      </w:r>
      <w:r>
        <w:rPr>
          <w:rFonts w:ascii="Arial" w:cs="Arial" w:eastAsia="Arial" w:hAnsi="Arial"/>
          <w:sz w:val="16"/>
          <w:szCs w:val="16"/>
          <w:color w:val="auto"/>
        </w:rPr>
        <w:t>has served as our Chief Operating Officer since April 2015. From November 2013 to April 2015, she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interim Chief Operating Officer. Prior to joining Editas, she served as Senior Vice President of Research and Business Operations at Cerulean Pharma Inc., then a private pharmaceutical company, from 2006 until June 2013. Prior to joining Cerulean, Dr. Glucksmann spent 13 years at Millennium Pharmaceuticals, Inc., a pharmaceutical company, where she held a series of positions. She is the chairperson of the board of directors of Women Entrepreneurs in Science and Technology, or WEST. Dr. Glucksmann was a post-doctoral fellow at the Massachusetts Institute of Technology and holds a Ph.D. with honors from the University of Chicago and a B.S. in molecular biology from the University of Wisconsin.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b w:val="1"/>
          <w:bCs w:val="1"/>
          <w:i w:val="1"/>
          <w:iCs w:val="1"/>
          <w:color w:val="auto"/>
        </w:rPr>
        <w:t xml:space="preserve">Kevin Bitterman, Ph.D., </w:t>
      </w:r>
      <w:r>
        <w:rPr>
          <w:rFonts w:ascii="Arial" w:cs="Arial" w:eastAsia="Arial" w:hAnsi="Arial"/>
          <w:sz w:val="16"/>
          <w:szCs w:val="16"/>
          <w:color w:val="auto"/>
        </w:rPr>
        <w:t>has served as a member of our board of directors since June 2014. From November 2013 until June 2014, Dr. Bitterman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our President. Dr. Bitterman currently serves as a partner at venture firm Polaris Partners, or Polaris, where he has been employed since 2004 and where he focuses on investments in life sciences companies. Dr. Bitterman is a cofounder of Sirtris Pharmaceuticals, Inc., which was acquired by GlaxoSmithKline plc., and was the founding CEO at Visterra Inc. and Morphic Rock, LLC. Dr. Bitterman serves as a director of Genocea Biosciences, Inc., a public biopharmaceutical company, and of Direct Vet Marketing, Inc., InSeal Medical Ltd., Kala Pharmaceuticals, Inc., Morphic Rock Therapeutic Inc., Neuronetics, Inc., TARIS Biomedical, Inc., and Visterra, Inc., each a private company. Dr. Bitterman received a Ph.D. in genetics from Harvard Medical School and a B.A. in biological sciences from Rutgers College. We believe that Dr. Bitterman's extensive experience investing in, guiding, and leading start-up and early phase companies, as well as his experience as a director of other companies, qualifies him to serve as a member of our board of directors.</w:t>
      </w:r>
    </w:p>
    <w:p>
      <w:pPr>
        <w:spacing w:after="0" w:line="172" w:lineRule="exact"/>
        <w:rPr>
          <w:sz w:val="20"/>
          <w:szCs w:val="20"/>
          <w:color w:val="auto"/>
        </w:rPr>
      </w:pPr>
    </w:p>
    <w:p>
      <w:pPr>
        <w:ind w:right="40" w:firstLine="615"/>
        <w:spacing w:after="0" w:line="286" w:lineRule="auto"/>
        <w:rPr>
          <w:sz w:val="20"/>
          <w:szCs w:val="20"/>
          <w:color w:val="auto"/>
        </w:rPr>
      </w:pPr>
      <w:r>
        <w:rPr>
          <w:rFonts w:ascii="Arial" w:cs="Arial" w:eastAsia="Arial" w:hAnsi="Arial"/>
          <w:sz w:val="16"/>
          <w:szCs w:val="16"/>
          <w:b w:val="1"/>
          <w:bCs w:val="1"/>
          <w:i w:val="1"/>
          <w:iCs w:val="1"/>
          <w:color w:val="auto"/>
        </w:rPr>
        <w:t xml:space="preserve">Alexis Borisy </w:t>
      </w:r>
      <w:r>
        <w:rPr>
          <w:rFonts w:ascii="Arial" w:cs="Arial" w:eastAsia="Arial" w:hAnsi="Arial"/>
          <w:sz w:val="16"/>
          <w:szCs w:val="16"/>
          <w:color w:val="auto"/>
        </w:rPr>
        <w:t>has served as a member of our board of directors since November 2013. Mr. Borisy joined Third Rock Ventures, a life sciences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firm focused on the formation, development and strategy of new companies, in 2009, and has been a partner since 2010. He co-founded Foundation Medicine, Inc., a public molecular information company, in 2009 and served as its interim Chief Executive Officer through May 2011; he currently serves as chairman. Mr. Borisy also co-founded Blueprint Medicines Corporation, a public oncology company, in 2010, served as its interim chief executive officer from 2013 to 2014, and he currently serves on its board of directors. In addition, since 2011, Mr. Borisy has served as chairman of Warp Drive Bio, LLC, a private life sciences company focusing on genomics, where he served as chief executive officer from 2011 to July 2013. Mr. Borisy also serves on the board of directors of Revolution Medicines, Inc., a private company focused on the discovery and development of innovative drugs derived from natural compounds. From 2007 through 2012, Mr. Borisy served as chairman of FORMA Therapeutics, Inc., a private life science company focused on targeting cancers for treatment. In 2000, Mr. Borisy founded CombinatoRx, Inc. (now EPIRUS Biopharmaceuticals, Inc.), a public drug development company, and served as its chief executive officer and on its board of directors from 2000 to 2009. Mr. Borisy holds a B.S. in chemistry from the University of Chicago and an A.M. from Harvard University. We believe Mr. Borisy's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experience working with and serving on the boards of directors of life sciences companies and his experience working in the venture capital industry qualifies him to serve on our board of directors.</w:t>
      </w:r>
    </w:p>
    <w:p>
      <w:pPr>
        <w:spacing w:after="0" w:line="186"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b w:val="1"/>
          <w:bCs w:val="1"/>
          <w:i w:val="1"/>
          <w:iCs w:val="1"/>
          <w:color w:val="auto"/>
        </w:rPr>
        <w:t xml:space="preserve">Douglas G. Cole, M.D., </w:t>
      </w:r>
      <w:r>
        <w:rPr>
          <w:rFonts w:ascii="Arial" w:cs="Arial" w:eastAsia="Arial" w:hAnsi="Arial"/>
          <w:sz w:val="16"/>
          <w:szCs w:val="16"/>
          <w:color w:val="auto"/>
        </w:rPr>
        <w:t>has served as a member of our board of directors since November 2013. Dr. Cole is a managing partner of venture firm Flagship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where he has focused on life science investments since 2001. He currently serves on the board of directors of Agios Pharmaceuticals, Inc., a public biopharmaceutical company. He also serves on the boards of directors of several private biopharmaceutical and diagnostics companies, including Denali Therapeutics, Inc., Ensemble Therapeutics Corporation, Quanterix Corporation, Syros Pharmaceuticals Inc., and Torque Therapeutics, Inc. In the past five years, Dr. Cole has served on the boards of the following public biopharmaceutical companies: Concert Pharmaceuticals, Inc., Receptos, Inc., which was acquired by Celgene, Inc., and Tetraphase Pharmaceuticals, Inc. and of the following private biopharmaceutical companies: Avedro, Inc., Moderna Therapeutics, Resolvyx Pharmaceuticals, Inc., Selecta Biosciences, Inc., and Seventh Sense Biosystems, Inc. Dr. Cole holds a B.A. in English from Dartmouth College and an M.D. from the University of Pennsylvania School of Medicine. We believe Dr. Cole's qualifications to sit on our board of directors include his substantial experience as an investor in emerging biopharmaceutical and life sciences companies, as well as his experience serving on the board of directors for several biopharmaceutical companies.</w:t>
      </w:r>
    </w:p>
    <w:p>
      <w:pPr>
        <w:spacing w:after="0" w:line="204" w:lineRule="exact"/>
        <w:rPr>
          <w:sz w:val="20"/>
          <w:szCs w:val="20"/>
          <w:color w:val="auto"/>
        </w:rPr>
      </w:pPr>
    </w:p>
    <w:p>
      <w:pPr>
        <w:ind w:right="40" w:firstLine="756"/>
        <w:spacing w:after="0" w:line="286" w:lineRule="auto"/>
        <w:rPr>
          <w:sz w:val="20"/>
          <w:szCs w:val="20"/>
          <w:color w:val="auto"/>
        </w:rPr>
      </w:pPr>
      <w:r>
        <w:rPr>
          <w:rFonts w:ascii="Arial" w:cs="Arial" w:eastAsia="Arial" w:hAnsi="Arial"/>
          <w:sz w:val="16"/>
          <w:szCs w:val="16"/>
          <w:b w:val="1"/>
          <w:bCs w:val="1"/>
          <w:i w:val="1"/>
          <w:iCs w:val="1"/>
          <w:color w:val="auto"/>
        </w:rPr>
        <w:t>John D. Mendlein, Ph.D.</w:t>
      </w:r>
      <w:r>
        <w:rPr>
          <w:rFonts w:ascii="Arial" w:cs="Arial" w:eastAsia="Arial" w:hAnsi="Arial"/>
          <w:sz w:val="16"/>
          <w:szCs w:val="16"/>
          <w:color w:val="auto"/>
        </w:rPr>
        <w:t>, joined our board of directors in January 2016. Since July 2010, he has served as Executive Chairman of aTyr Pharma,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aTyr, a public biopharmaceutical company, and since September 2011, he has also served as aTyr's Chief Executive Officer. Dr. Mendlein is Vice Chairman of the Board of Fate Therapeutics, Inc., a public biopharmaceutical company, and also serves on the boards of directors of Moderna Therapeutics, Inc. and Pronutria Biosciences, Inc., both private biopharmaceutical companies, and BIO (Biotechnology Industry Organization) emerging companies board. From 2005 to 2008, Dr. Mendlein served as the Chief Executive Officer of Adnexus Therapeutics, Inc., a private biopharmaceutical company, which was purchased by Bristol-Myers Squibb Company in 2008. Dr. Mendlein also served on the board of directors of Monogram Biosciences, Inc., then a public HIV and oncology diagnostic company that was acquired by Laboratory Corporation of America Holdings in 2009. Before that, he served as Chairman and Chief Executive Officer of Affinium Pharmaceuticals, Ltd., a private specialty pharmaceutical company (acquired by Debiopharm Group), from 2000 to 2005, and as a director, General Counsel, and Chief Knowledge Officer at Aurora Bioscience Corporation, then a public drug discovery company (acquired by Vertex Pharmaceuticals), from August 1996 to September 2001. Dr. Mendlein holds a Ph.D. in physiology and biophysics from the University of California, Los Angeles, a J.D. from the University of California, Hastings College of the Law, and a B.S. in biology from the University of Miami. We believe that Dr. Mendlein's experience working as an executive for, and serving on the boards of directors of, numerous public and private life sciences companies qualifies him to serve as a member of our board of directors.</w:t>
      </w:r>
    </w:p>
    <w:p>
      <w:pPr>
        <w:spacing w:after="0" w:line="202" w:lineRule="exact"/>
        <w:rPr>
          <w:sz w:val="20"/>
          <w:szCs w:val="20"/>
          <w:color w:val="auto"/>
        </w:rPr>
      </w:pPr>
    </w:p>
    <w:p>
      <w:pPr>
        <w:ind w:firstLine="756"/>
        <w:spacing w:after="0" w:line="290" w:lineRule="auto"/>
        <w:rPr>
          <w:sz w:val="20"/>
          <w:szCs w:val="20"/>
          <w:color w:val="auto"/>
        </w:rPr>
      </w:pPr>
      <w:r>
        <w:rPr>
          <w:rFonts w:ascii="Arial" w:cs="Arial" w:eastAsia="Arial" w:hAnsi="Arial"/>
          <w:sz w:val="16"/>
          <w:szCs w:val="16"/>
          <w:b w:val="1"/>
          <w:bCs w:val="1"/>
          <w:i w:val="1"/>
          <w:iCs w:val="1"/>
          <w:color w:val="auto"/>
        </w:rPr>
        <w:t xml:space="preserve">Boris Nikolic, M.D., </w:t>
      </w:r>
      <w:r>
        <w:rPr>
          <w:rFonts w:ascii="Arial" w:cs="Arial" w:eastAsia="Arial" w:hAnsi="Arial"/>
          <w:sz w:val="16"/>
          <w:szCs w:val="16"/>
          <w:color w:val="auto"/>
        </w:rPr>
        <w:t>has served as a member of our board of directors since August 2015. Dr. Nikolic has served as managing partner of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 bng0, LLC since February 2015 and has served as Managing Partner of investment fund Biomatics Capital since April 2014. From April 2009 to April 2014, he served as Chief Advisor for Science and Technology to Bill Gates at bgC3, a think tank. From 2002 to 2010, Dr. Nikolic was an assistant professor at Harvard Medical School. Dr. Nikolic earned his M.D. from the Zagreb Medical School in Zagreb, Croatia. He has currently serves on the board of directors of BlueTalon, Inc. and Digisight Technologies, Inc., both private software companies, and he previously served on the board of directors of Schrödinger, LLC, a private chemical simulation software company. We believe Dr. Nikolic's qualifications to sit on our board of directors include his substantial experience as an investor in life sciences companies, as well as his medical experience.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Election of Directors and Independence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Our board of directors currently consists of six members, all of whom serve as directors pursuant to a voting agreement that we have entered into with the holders of our preferred stock and certain holders of our common stock. The voting agreement will terminate upon the closing of this offering and there will be no further contractual obligations regarding the election of our directors. Our directors hold office until their successors have been elected and qualified or until the earlier of their resignation or removal.</w:t>
      </w:r>
    </w:p>
    <w:p>
      <w:pPr>
        <w:spacing w:after="0" w:line="197" w:lineRule="exact"/>
        <w:rPr>
          <w:sz w:val="20"/>
          <w:szCs w:val="20"/>
          <w:color w:val="auto"/>
        </w:rPr>
      </w:pPr>
    </w:p>
    <w:p>
      <w:pPr>
        <w:ind w:right="180" w:firstLine="615"/>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that will become effective upon the closing of this offering provide that the authorized number of directors may be changed only by resolution of our board of directors. Our amended and restated certificate of incorporation and amended and restated bylaws that will become effective upon the closing of this offering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98"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In accordance with the terms of our certificate of incorporation and bylaws that will become effective upon the closing of this offering, our board of directors will be divided into three classes, class I, class II, and class III, with members of each class serving staggered three-year terms. Upon the closing of this offering, the members of the classes will be divided as follows:</w:t>
      </w:r>
    </w:p>
    <w:p>
      <w:pPr>
        <w:spacing w:after="0" w:line="208" w:lineRule="exact"/>
        <w:rPr>
          <w:sz w:val="20"/>
          <w:szCs w:val="20"/>
          <w:color w:val="auto"/>
        </w:rPr>
      </w:pPr>
    </w:p>
    <w:p>
      <w:pPr>
        <w:ind w:left="1080" w:right="1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 directors will be Alexis Borisy and Douglas G. Cole, M.D., and their term will expire at the annual meeting of stockholders to be held in 2017;</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II directors will be Kevin Bitterman, Ph.D. and Boris Nikolic, M.D., and their term will expire at the annual meeting of stockholders to be held in 2018; and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III directors will be Katrine S. Bosley and John D. Mendlein, Ph.D., and their terms will expire at the annual meeting of stockholders to be held in 2019.</w:t>
      </w:r>
    </w:p>
    <w:p>
      <w:pPr>
        <w:spacing w:after="0" w:line="186"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86" w:lineRule="exact"/>
        <w:rPr>
          <w:sz w:val="20"/>
          <w:szCs w:val="20"/>
          <w:color w:val="auto"/>
        </w:rPr>
      </w:pPr>
    </w:p>
    <w:p>
      <w:pPr>
        <w:ind w:right="120" w:firstLine="611"/>
        <w:spacing w:after="0" w:line="259" w:lineRule="auto"/>
        <w:rPr>
          <w:sz w:val="20"/>
          <w:szCs w:val="20"/>
          <w:color w:val="auto"/>
        </w:rPr>
      </w:pPr>
      <w:r>
        <w:rPr>
          <w:rFonts w:ascii="Arial" w:cs="Arial" w:eastAsia="Arial" w:hAnsi="Arial"/>
          <w:sz w:val="18"/>
          <w:szCs w:val="18"/>
          <w:color w:val="auto"/>
        </w:rPr>
        <w:t>We have no formal policy regarding board diversity. Our priority in selection of board members is identification of members who will further the interests of our stockholders through his or her established record of professional accomplishment, the ability to contribute positively to the collaborative culture among board members, knowledge of our business and understanding of the competitive landscape.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independence criteria set forth in Rule 10A-3 under the Exchange Act, and compensation committee members must also satisfy the independence criteria set forth in Rule 10C-1 under the Exchange Act. Under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82"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January 2016,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Mr. Borisy and Drs. Cole, Mendlein, and Nikolic is an "independent director" as defined under NASDAQ Listing Rules. In making such determination,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174" w:lineRule="exact"/>
        <w:rPr>
          <w:sz w:val="20"/>
          <w:szCs w:val="20"/>
          <w:color w:val="auto"/>
        </w:rPr>
      </w:pPr>
    </w:p>
    <w:p>
      <w:pPr>
        <w:ind w:right="100" w:firstLine="611"/>
        <w:spacing w:after="0" w:line="259" w:lineRule="auto"/>
        <w:rPr>
          <w:sz w:val="20"/>
          <w:szCs w:val="20"/>
          <w:color w:val="auto"/>
        </w:rPr>
      </w:pPr>
      <w:r>
        <w:rPr>
          <w:rFonts w:ascii="Arial" w:cs="Arial" w:eastAsia="Arial" w:hAnsi="Arial"/>
          <w:sz w:val="18"/>
          <w:szCs w:val="18"/>
          <w:color w:val="auto"/>
        </w:rPr>
        <w:t>We expect to satisfy the member independence requirements for the audit, compensation, and nominating and corporate governance committees prior to the end of the transition period provided under current NASDAQ Listing Rules and SEC rules and regulations for companies completing their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180" w:firstLine="615"/>
        <w:spacing w:after="0" w:line="268"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these committees will operate under a charter that has been approved by our board of directors.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60" w:firstLine="611"/>
        <w:spacing w:after="0" w:line="259" w:lineRule="auto"/>
        <w:rPr>
          <w:sz w:val="20"/>
          <w:szCs w:val="20"/>
          <w:color w:val="auto"/>
        </w:rPr>
      </w:pPr>
      <w:r>
        <w:rPr>
          <w:rFonts w:ascii="Arial" w:cs="Arial" w:eastAsia="Arial" w:hAnsi="Arial"/>
          <w:sz w:val="18"/>
          <w:szCs w:val="18"/>
          <w:color w:val="auto"/>
        </w:rPr>
        <w:t>The members of our audit committee are Alexis Borisy, Kevin Bitterman, Ph.D., and Boris Nikolic, M.D. Mr. Borisy is the chair of our audit committee. Our board of directors has determined that each of Mr. Borisy and Dr. Nikolic is independent within the meaning of Rule 10A-3 under the Exchange Act. Our board of directors has determined that we do not have an "audit committee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financial expert" as defined by applicable SEC rules serving on our audit committee. Our board of directors believes that, given the size and stage of development of our company, an audit committee financial expert is not necessary at this time because the collective financial and business expertise of the members of the audit committee is sufficient to satisfy the functions of the audit committee under the terms of the audit committee charter. In making this determination, our board of directors has considered the formal education and nature and scope of our audit committee members' previous experience, coupled with past and present service on various audit committees. Our audit committee assists our board of directors in its oversight of our accounting and financial reporting process and the audits of our financial statements. Following this offering, our audit committee's responsibilities will include:</w:t>
      </w:r>
    </w:p>
    <w:p>
      <w:pPr>
        <w:spacing w:after="0" w:line="188"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the our registered public accounting firm;</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 related complaints and concerns;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our independent registered public accounting firm,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25" w:lineRule="exact"/>
        <w:rPr>
          <w:sz w:val="20"/>
          <w:szCs w:val="20"/>
          <w:color w:val="auto"/>
        </w:rPr>
      </w:pPr>
    </w:p>
    <w:p>
      <w:pPr>
        <w:ind w:right="120" w:firstLine="605"/>
        <w:spacing w:after="0" w:line="268" w:lineRule="auto"/>
        <w:rPr>
          <w:sz w:val="20"/>
          <w:szCs w:val="20"/>
          <w:color w:val="auto"/>
        </w:rPr>
      </w:pPr>
      <w:r>
        <w:rPr>
          <w:rFonts w:ascii="Arial" w:cs="Arial" w:eastAsia="Arial" w:hAnsi="Arial"/>
          <w:sz w:val="18"/>
          <w:szCs w:val="18"/>
          <w:color w:val="auto"/>
        </w:rPr>
        <w:t xml:space="preserve">All audit services to be provided to us and all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registered public accounting firm must be approved in advance by our audit committee.</w:t>
      </w:r>
    </w:p>
    <w:p>
      <w:pPr>
        <w:spacing w:after="0" w:line="186" w:lineRule="exact"/>
        <w:rPr>
          <w:sz w:val="20"/>
          <w:szCs w:val="20"/>
          <w:color w:val="auto"/>
        </w:rPr>
      </w:pPr>
    </w:p>
    <w:p>
      <w:pPr>
        <w:ind w:right="380" w:firstLine="611"/>
        <w:spacing w:after="0" w:line="268" w:lineRule="auto"/>
        <w:rPr>
          <w:sz w:val="20"/>
          <w:szCs w:val="20"/>
          <w:color w:val="auto"/>
        </w:rPr>
      </w:pPr>
      <w:r>
        <w:rPr>
          <w:rFonts w:ascii="Arial" w:cs="Arial" w:eastAsia="Arial" w:hAnsi="Arial"/>
          <w:sz w:val="18"/>
          <w:szCs w:val="18"/>
          <w:color w:val="auto"/>
        </w:rPr>
        <w:t>We expect to satisfy the member independence requirements for the audit committee prior to the end of the transition period provided under current NASDAQ Listing Rules and SEC rules and regulations for companies completing their initial public offering.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60" w:firstLine="611"/>
        <w:spacing w:after="0" w:line="259" w:lineRule="auto"/>
        <w:rPr>
          <w:sz w:val="20"/>
          <w:szCs w:val="20"/>
          <w:color w:val="auto"/>
        </w:rPr>
      </w:pPr>
      <w:r>
        <w:rPr>
          <w:rFonts w:ascii="Arial" w:cs="Arial" w:eastAsia="Arial" w:hAnsi="Arial"/>
          <w:sz w:val="18"/>
          <w:szCs w:val="18"/>
          <w:color w:val="auto"/>
        </w:rPr>
        <w:t>The members of our compensation committee are Kevin Bitterman, Ph.D., Douglas G. Cole, M.D., and John D. Mendlein, Ph.D. Dr. Mendlein is the chair of our compensation committee. Our board of directors has determined that Dr. Cole and Dr. Mendlein are independent within the meaning of Rule 10C-1 under the Exchange Act. Our compensation committee assists our board of directors 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discharge of its responsibilities relating to the compensation of our executive officers. Following this offering, our compensation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of our Chief Executive Officer;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the compensation of our other executive officers;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overseeing the evaluation of our senior executives;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our incentive-compensation and equity-based compensation plans;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overseeing and administering our equity-based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discussing with management our "Compensation Discussion and Analysis" disclosure to the extent such disclosure is required by SEC rules;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 rules.</w:t>
      </w:r>
    </w:p>
    <w:p>
      <w:pPr>
        <w:spacing w:after="0" w:line="225" w:lineRule="exact"/>
        <w:rPr>
          <w:sz w:val="20"/>
          <w:szCs w:val="20"/>
          <w:color w:val="auto"/>
        </w:rPr>
      </w:pPr>
    </w:p>
    <w:p>
      <w:pPr>
        <w:ind w:right="320" w:firstLine="611"/>
        <w:spacing w:after="0" w:line="268" w:lineRule="auto"/>
        <w:rPr>
          <w:sz w:val="20"/>
          <w:szCs w:val="20"/>
          <w:color w:val="auto"/>
        </w:rPr>
      </w:pPr>
      <w:r>
        <w:rPr>
          <w:rFonts w:ascii="Arial" w:cs="Arial" w:eastAsia="Arial" w:hAnsi="Arial"/>
          <w:sz w:val="18"/>
          <w:szCs w:val="18"/>
          <w:color w:val="auto"/>
        </w:rPr>
        <w:t>We expect to satisfy the member independence requirements for the compensation committee prior to the end of the transition period provided under current NASDAQ Listing Rules and SEC rules and regulations for companies completing their initial public offering.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members of our nominating and corporate governance committee are Douglas G. Cole, M.D., John D. Mendlein, Ph.D., and Boris Nikolic, M.D. Dr. Mendlein is the chair of our nominating and corporate governance committee. Upon the completion of this offering, our nominating and corporate governance committee's responsibilities will include:</w:t>
      </w:r>
    </w:p>
    <w:p>
      <w:pPr>
        <w:spacing w:after="0" w:line="208"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 of directors' committees;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overseeing periodic evaluations of our board of directors.</w:t>
      </w:r>
    </w:p>
    <w:p>
      <w:pPr>
        <w:spacing w:after="0" w:line="225" w:lineRule="exact"/>
        <w:rPr>
          <w:sz w:val="20"/>
          <w:szCs w:val="20"/>
          <w:color w:val="auto"/>
        </w:rPr>
      </w:pPr>
    </w:p>
    <w:p>
      <w:pPr>
        <w:ind w:right="240" w:firstLine="611"/>
        <w:spacing w:after="0" w:line="332" w:lineRule="auto"/>
        <w:rPr>
          <w:sz w:val="20"/>
          <w:szCs w:val="20"/>
          <w:color w:val="auto"/>
        </w:rPr>
      </w:pPr>
      <w:r>
        <w:rPr>
          <w:rFonts w:ascii="Arial" w:cs="Arial" w:eastAsia="Arial" w:hAnsi="Arial"/>
          <w:sz w:val="16"/>
          <w:szCs w:val="16"/>
          <w:color w:val="auto"/>
        </w:rPr>
        <w:t>We expect to satisfy the member independence requirements for the nominating and corporate governance committee prior to the end of the transition period provided under current NASDAQ Listing Rules and SEC rules and regulations for companies completing their initial public offering.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240" w:firstLine="615"/>
        <w:spacing w:after="0" w:line="306" w:lineRule="auto"/>
        <w:rPr>
          <w:sz w:val="20"/>
          <w:szCs w:val="20"/>
          <w:color w:val="auto"/>
        </w:rPr>
      </w:pPr>
      <w:r>
        <w:rPr>
          <w:rFonts w:ascii="Arial" w:cs="Arial" w:eastAsia="Arial" w:hAnsi="Arial"/>
          <w:sz w:val="16"/>
          <w:szCs w:val="16"/>
          <w:color w:val="auto"/>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 Dr. Bitterman, a member of our compensation committee, served as our President from November 2013 until June 2014.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have adopted a written code of business conduct and ethics, to be effective upon this offering, that applies to our directors, officers, and employees, including our principal executive officer, principal financial officer, principal accounting officer or controller, or persons performing similar functions. Following this offering, a copy of the code will be posted on the Corporate Governance section of our website, which is located at www.editasmedicine.com.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31"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This section discusses the material elements of our executive compensation policies for our "named executive officers" and the most important factors relevant to an analysis of these policies. It provides qualitative information regarding the manner and context in which compensation is awarded to and earned by our executive officers named in the "Summary Compensation Table" below, or our "named executive officers," and is intended to place in perspective the data presented in the following tables and the corresponding narrative.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firstLine="611"/>
        <w:spacing w:after="0" w:line="259" w:lineRule="auto"/>
        <w:rPr>
          <w:sz w:val="20"/>
          <w:szCs w:val="20"/>
          <w:color w:val="auto"/>
        </w:rPr>
      </w:pPr>
      <w:r>
        <w:rPr>
          <w:rFonts w:ascii="Arial" w:cs="Arial" w:eastAsia="Arial" w:hAnsi="Arial"/>
          <w:sz w:val="18"/>
          <w:szCs w:val="18"/>
          <w:color w:val="auto"/>
        </w:rPr>
        <w:t>The following table sets forth information regarding compensation earned by our President and Chief Executive Officer and our Chief Operating Officer during the year ended December 31, 2014 and by our President and Chief Executive Officer, our Chief Operating Officer, and our Chief Financial Officer during the year ended December 31, 2015. We refer to these individuals as our named executive officers.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jc w:val="right"/>
              <w:ind w:right="98"/>
              <w:spacing w:after="0" w:line="156"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3"/>
                <w:szCs w:val="13"/>
                <w:color w:val="auto"/>
              </w:rPr>
            </w:pPr>
          </w:p>
        </w:tc>
        <w:tc>
          <w:tcPr>
            <w:tcW w:w="8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3"/>
                <w:szCs w:val="13"/>
                <w:color w:val="auto"/>
              </w:rPr>
            </w:pPr>
          </w:p>
        </w:tc>
        <w:tc>
          <w:tcPr>
            <w:tcW w:w="1000" w:type="dxa"/>
            <w:vAlign w:val="bottom"/>
            <w:gridSpan w:val="2"/>
          </w:tcPr>
          <w:p>
            <w:pPr>
              <w:ind w:left="260"/>
              <w:spacing w:after="0" w:line="156" w:lineRule="exact"/>
              <w:rPr>
                <w:sz w:val="20"/>
                <w:szCs w:val="20"/>
                <w:color w:val="auto"/>
              </w:rPr>
            </w:pPr>
            <w:r>
              <w:rPr>
                <w:rFonts w:ascii="Arial" w:cs="Arial" w:eastAsia="Arial" w:hAnsi="Arial"/>
                <w:sz w:val="14"/>
                <w:szCs w:val="14"/>
                <w:b w:val="1"/>
                <w:bCs w:val="1"/>
                <w:color w:val="auto"/>
              </w:rPr>
              <w:t>Total</w:t>
            </w:r>
          </w:p>
        </w:tc>
      </w:tr>
      <w:tr>
        <w:trPr>
          <w:trHeight w:val="18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840" w:type="dxa"/>
            <w:vAlign w:val="bottom"/>
          </w:tcPr>
          <w:p>
            <w:pPr>
              <w:spacing w:after="0"/>
              <w:rPr>
                <w:sz w:val="15"/>
                <w:szCs w:val="15"/>
                <w:color w:val="auto"/>
              </w:rPr>
            </w:pPr>
          </w:p>
        </w:tc>
        <w:tc>
          <w:tcPr>
            <w:tcW w:w="70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75"/>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(1)</w:t>
            </w:r>
          </w:p>
        </w:tc>
        <w:tc>
          <w:tcPr>
            <w:tcW w:w="1000" w:type="dxa"/>
            <w:vAlign w:val="bottom"/>
            <w:gridSpan w:val="2"/>
          </w:tcPr>
          <w:p>
            <w:pPr>
              <w:jc w:val="center"/>
              <w:ind w:left="60"/>
              <w:spacing w:after="0" w:line="182"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(1)</w:t>
            </w:r>
          </w:p>
        </w:tc>
        <w:tc>
          <w:tcPr>
            <w:tcW w:w="1180" w:type="dxa"/>
            <w:vAlign w:val="bottom"/>
            <w:gridSpan w:val="2"/>
          </w:tcPr>
          <w:p>
            <w:pPr>
              <w:jc w:val="center"/>
              <w:ind w:left="64"/>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(2)</w:t>
            </w:r>
          </w:p>
        </w:tc>
        <w:tc>
          <w:tcPr>
            <w:tcW w:w="10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3540" w:type="dxa"/>
            <w:vAlign w:val="bottom"/>
            <w:tcBorders>
              <w:top w:val="single" w:sz="8" w:color="auto"/>
            </w:tcBorders>
            <w:gridSpan w:val="2"/>
            <w:shd w:val="clear" w:color="auto" w:fill="CCEEFF"/>
          </w:tcPr>
          <w:p>
            <w:pPr>
              <w:spacing w:after="0" w:line="250" w:lineRule="exact"/>
              <w:rPr>
                <w:sz w:val="20"/>
                <w:szCs w:val="20"/>
                <w:color w:val="auto"/>
              </w:rPr>
            </w:pPr>
            <w:r>
              <w:rPr>
                <w:rFonts w:ascii="Arial" w:cs="Arial" w:eastAsia="Arial" w:hAnsi="Arial"/>
                <w:sz w:val="17"/>
                <w:szCs w:val="17"/>
                <w:color w:val="auto"/>
              </w:rPr>
              <w:t>Katrine S. Bosley</w:t>
            </w:r>
            <w:r>
              <w:rPr>
                <w:rFonts w:ascii="Arial" w:cs="Arial" w:eastAsia="Arial" w:hAnsi="Arial"/>
                <w:sz w:val="28"/>
                <w:szCs w:val="28"/>
                <w:color w:val="auto"/>
                <w:vertAlign w:val="superscript"/>
              </w:rPr>
              <w:t>(3)</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205,833</w:t>
            </w:r>
          </w:p>
        </w:tc>
        <w:tc>
          <w:tcPr>
            <w:tcW w:w="160" w:type="dxa"/>
            <w:vAlign w:val="bottom"/>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35,437</w:t>
            </w:r>
          </w:p>
        </w:tc>
        <w:tc>
          <w:tcPr>
            <w:tcW w:w="16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51,300</w:t>
            </w:r>
          </w:p>
        </w:tc>
        <w:tc>
          <w:tcPr>
            <w:tcW w:w="16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292,570</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386,200</w:t>
            </w:r>
          </w:p>
        </w:tc>
        <w:tc>
          <w:tcPr>
            <w:tcW w:w="160" w:type="dxa"/>
            <w:vAlign w:val="bottom"/>
            <w:shd w:val="clear" w:color="auto" w:fill="CCEEFF"/>
          </w:tcPr>
          <w:p>
            <w:pPr>
              <w:spacing w:after="0"/>
              <w:rPr>
                <w:sz w:val="18"/>
                <w:szCs w:val="18"/>
                <w:color w:val="auto"/>
              </w:rPr>
            </w:pPr>
          </w:p>
        </w:tc>
      </w:tr>
      <w:tr>
        <w:trPr>
          <w:trHeight w:val="424"/>
        </w:trPr>
        <w:tc>
          <w:tcPr>
            <w:tcW w:w="3560" w:type="dxa"/>
            <w:vAlign w:val="bottom"/>
            <w:gridSpan w:val="3"/>
          </w:tcPr>
          <w:p>
            <w:pPr>
              <w:spacing w:after="0"/>
              <w:rPr>
                <w:sz w:val="20"/>
                <w:szCs w:val="20"/>
                <w:color w:val="auto"/>
              </w:rPr>
            </w:pPr>
            <w:r>
              <w:rPr>
                <w:rFonts w:ascii="Arial" w:cs="Arial" w:eastAsia="Arial" w:hAnsi="Arial"/>
                <w:sz w:val="18"/>
                <w:szCs w:val="18"/>
                <w:color w:val="auto"/>
              </w:rPr>
              <w:t>Alexandra Glucksmann, Ph.D.</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2014</w:t>
            </w:r>
          </w:p>
        </w:tc>
        <w:tc>
          <w:tcPr>
            <w:tcW w:w="700" w:type="dxa"/>
            <w:vAlign w:val="bottom"/>
          </w:tcPr>
          <w:p>
            <w:pPr>
              <w:jc w:val="right"/>
              <w:spacing w:after="0"/>
              <w:rPr>
                <w:sz w:val="20"/>
                <w:szCs w:val="20"/>
                <w:color w:val="auto"/>
              </w:rPr>
            </w:pPr>
            <w:r>
              <w:rPr>
                <w:rFonts w:ascii="Arial" w:cs="Arial" w:eastAsia="Arial" w:hAnsi="Arial"/>
                <w:sz w:val="18"/>
                <w:szCs w:val="18"/>
                <w:color w:val="auto"/>
              </w:rPr>
              <w:t>310,000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77,500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387,500</w:t>
            </w: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2015</w:t>
            </w:r>
          </w:p>
        </w:tc>
        <w:tc>
          <w:tcPr>
            <w:tcW w:w="700" w:type="dxa"/>
            <w:vAlign w:val="bottom"/>
          </w:tcPr>
          <w:p>
            <w:pPr>
              <w:jc w:val="right"/>
              <w:spacing w:after="0"/>
              <w:rPr>
                <w:sz w:val="20"/>
                <w:szCs w:val="20"/>
                <w:color w:val="auto"/>
              </w:rPr>
            </w:pPr>
            <w:r>
              <w:rPr>
                <w:rFonts w:ascii="Arial" w:cs="Arial" w:eastAsia="Arial" w:hAnsi="Arial"/>
                <w:sz w:val="18"/>
                <w:szCs w:val="18"/>
                <w:color w:val="auto"/>
              </w:rPr>
              <w:t>322,000</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1,019,143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1,341,143</w:t>
            </w:r>
          </w:p>
        </w:tc>
        <w:tc>
          <w:tcPr>
            <w:tcW w:w="160" w:type="dxa"/>
            <w:vAlign w:val="bottom"/>
          </w:tcPr>
          <w:p>
            <w:pPr>
              <w:spacing w:after="0"/>
              <w:rPr>
                <w:sz w:val="19"/>
                <w:szCs w:val="19"/>
                <w:color w:val="auto"/>
              </w:rPr>
            </w:pPr>
          </w:p>
        </w:tc>
      </w:tr>
      <w:tr>
        <w:trPr>
          <w:trHeight w:val="474"/>
        </w:trPr>
        <w:tc>
          <w:tcPr>
            <w:tcW w:w="20" w:type="dxa"/>
            <w:vAlign w:val="bottom"/>
          </w:tcPr>
          <w:p>
            <w:pPr>
              <w:spacing w:after="0"/>
              <w:rPr>
                <w:sz w:val="24"/>
                <w:szCs w:val="24"/>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A. F. Hack, M.D., Ph.D.</w:t>
            </w:r>
            <w:r>
              <w:rPr>
                <w:rFonts w:ascii="Arial" w:cs="Arial" w:eastAsia="Arial" w:hAnsi="Arial"/>
                <w:sz w:val="29"/>
                <w:szCs w:val="29"/>
                <w:color w:val="auto"/>
                <w:vertAlign w:val="superscript"/>
              </w:rPr>
              <w:t>(4)</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1,432,624</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1,590,124</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80" w:hanging="531"/>
        <w:spacing w:after="0" w:line="252" w:lineRule="auto"/>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Reflects the aggregate grant date fair value of stock and option awards granted during the year in question calculated in accordance with the provisions of Financial Accounting Standards Board Accounting Standard Codification Topic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See Note 12 to our financial statments appearing at the end of this prospectus regarding assumptions underlying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of equity awards.</w:t>
      </w:r>
    </w:p>
    <w:p>
      <w:pPr>
        <w:spacing w:after="0" w:line="22" w:lineRule="exact"/>
        <w:rPr>
          <w:rFonts w:ascii="Arial" w:cs="Arial" w:eastAsia="Arial" w:hAnsi="Arial"/>
          <w:sz w:val="18"/>
          <w:szCs w:val="18"/>
          <w:color w:val="auto"/>
        </w:rPr>
      </w:pPr>
    </w:p>
    <w:p>
      <w:pPr>
        <w:ind w:left="1680" w:right="160" w:hanging="531"/>
        <w:spacing w:after="0" w:line="254" w:lineRule="auto"/>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2014 amounts represent a cash bonus award paid to our named executive officers under our bonus program. Amounts of any 2015 cash bonus awards have not yet been determined.</w:t>
      </w:r>
    </w:p>
    <w:p>
      <w:pPr>
        <w:spacing w:after="0" w:line="7" w:lineRule="exact"/>
        <w:rPr>
          <w:rFonts w:ascii="Arial" w:cs="Arial" w:eastAsia="Arial" w:hAnsi="Arial"/>
          <w:sz w:val="18"/>
          <w:szCs w:val="18"/>
          <w:color w:val="auto"/>
        </w:rPr>
      </w:pPr>
    </w:p>
    <w:p>
      <w:pPr>
        <w:ind w:left="1680" w:right="80" w:hanging="531"/>
        <w:spacing w:after="0" w:line="284" w:lineRule="auto"/>
        <w:tabs>
          <w:tab w:leader="none" w:pos="16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Ms. Bosley's employment commenced with us on June 16, 2014. The 2014 salary reported reflects the pro rata portion of Ms. Bosley's annual salary of $380,000 from commencement of her employment through December 31, 2014. Ms. Bosley also serves as a member of our board of directors but does not receive any additional compensation for her service as a director.</w:t>
      </w:r>
    </w:p>
    <w:p>
      <w:pPr>
        <w:spacing w:after="0" w:line="8" w:lineRule="exact"/>
        <w:rPr>
          <w:rFonts w:ascii="Arial" w:cs="Arial" w:eastAsia="Arial" w:hAnsi="Arial"/>
          <w:sz w:val="16"/>
          <w:szCs w:val="16"/>
          <w:color w:val="auto"/>
        </w:rPr>
      </w:pPr>
    </w:p>
    <w:p>
      <w:pPr>
        <w:ind w:left="1680" w:right="140" w:hanging="531"/>
        <w:spacing w:after="0" w:line="268" w:lineRule="auto"/>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Dr. Hack's employment commenced with us on July 1, 2015. The 2015 salary reported reflects the pro rata portion of Dr. Hack's annual salary of $315,000 from commencement of his employment through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31" w:lineRule="exact"/>
        <w:rPr>
          <w:sz w:val="20"/>
          <w:szCs w:val="20"/>
          <w:color w:val="auto"/>
        </w:rPr>
      </w:pPr>
    </w:p>
    <w:p>
      <w:pPr>
        <w:ind w:right="20" w:firstLine="615"/>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In 2014, we paid annual base salaries of $380,000 to Ms. Bosley and $310,000 to Dr. Glucksmann. In 2015, we paid annual base salaries</w:t>
      </w:r>
      <w:r>
        <w:rPr>
          <w:rFonts w:ascii="Arial" w:cs="Arial" w:eastAsia="Arial" w:hAnsi="Arial"/>
          <w:sz w:val="16"/>
          <w:szCs w:val="16"/>
          <w:i w:val="1"/>
          <w:iCs w:val="1"/>
          <w:color w:val="auto"/>
        </w:rPr>
        <w:t xml:space="preserve"> </w:t>
      </w:r>
      <w:r>
        <w:rPr>
          <w:rFonts w:ascii="Arial" w:cs="Arial" w:eastAsia="Arial" w:hAnsi="Arial"/>
          <w:sz w:val="16"/>
          <w:szCs w:val="16"/>
          <w:color w:val="auto"/>
        </w:rPr>
        <w:t>of $386,200, $322,000 and $315,000 to Ms. Bosley, Dr. Glucksmann, and Dr. Hack, respectively. Ms. Bosley's and Dr. Hack's salaries increased to $450,000 and $325,000, respectively, as of January 1, 2016. We use base salaries to recognize the experience, skills, knowledge, and responsibilities required of all our employees, including our named executive officers. None of our named executive officers is currently party to an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or other agreement or arrangement that provides for automatic or scheduled increases in base salary.</w:t>
      </w:r>
    </w:p>
    <w:p>
      <w:pPr>
        <w:spacing w:after="0" w:line="225"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Our board of directors may, in its discretion, award bonuses to our named executive officers from time to time. We typically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bonus targets based around a set of specified corporate goals for our named executive officers and conduct an annual performance review to determine the attainment of such goals. Our management may propose bonus awards to our board of directors primarily based on such review process. Our board of directors makes the final determination of the eligibility requirements for and the amount of such bonus awards. With respect to 2014, we awarded bonuses of $51,300 to Ms. Bosley and $77,500 to Dr. Glucksmann, in each case based on our achievement of company goals. Amounts of any cash bonus awards for 2015 have not yet been determined by our board of directors.</w:t>
      </w:r>
    </w:p>
    <w:p>
      <w:pPr>
        <w:spacing w:after="0" w:line="174"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i w:val="1"/>
          <w:iCs w:val="1"/>
          <w:color w:val="auto"/>
        </w:rPr>
        <w:t xml:space="preserve">Equity Incentives. </w:t>
      </w:r>
      <w:r>
        <w:rPr>
          <w:rFonts w:ascii="Arial" w:cs="Arial" w:eastAsia="Arial" w:hAnsi="Arial"/>
          <w:sz w:val="18"/>
          <w:szCs w:val="18"/>
          <w:color w:val="auto"/>
        </w:rPr>
        <w:t>Although we do not have a formal policy with respect to the grant of equity incentive awards to our executive officers, or any formal</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9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Pursuant to her employment agreement with the company, Ms. Bosley elected to receive her initial equity award in June 2014 in the form of 1,362,966 shares of restricted common stock. In 2015, we granted options to purchase an aggregate of 149,416 and 267,204 shares of common stock to Dr. Glucksmann and Dr. Hack, respectively. We did not make any equity awards to Dr. Glucksmann in 2014 or to Ms. Bosley in 2015. We expect to grant to Ms. Bosley an option to purchase 38,461 shares of common stock upon the commencement of trading of our common stock on the NASDAQ Global Market.</w:t>
      </w:r>
    </w:p>
    <w:p>
      <w:pPr>
        <w:spacing w:after="0" w:line="167" w:lineRule="exact"/>
        <w:rPr>
          <w:sz w:val="20"/>
          <w:szCs w:val="20"/>
          <w:color w:val="auto"/>
        </w:rPr>
      </w:pPr>
    </w:p>
    <w:p>
      <w:pPr>
        <w:ind w:firstLine="611"/>
        <w:spacing w:after="0" w:line="332" w:lineRule="auto"/>
        <w:rPr>
          <w:sz w:val="20"/>
          <w:szCs w:val="20"/>
          <w:color w:val="auto"/>
        </w:rPr>
      </w:pPr>
      <w:r>
        <w:rPr>
          <w:rFonts w:ascii="Arial" w:cs="Arial" w:eastAsia="Arial" w:hAnsi="Arial"/>
          <w:sz w:val="16"/>
          <w:szCs w:val="16"/>
          <w:color w:val="auto"/>
        </w:rPr>
        <w:t>We typically grant stock option awards at the start of employment to each executive and our other employees. To date, we have not maintained a practice of granting additional equity on an annual basis, but we have retained discretion to provide additional targeted grants in certain circumstances.</w:t>
      </w:r>
    </w:p>
    <w:p>
      <w:pPr>
        <w:spacing w:after="0" w:line="139" w:lineRule="exact"/>
        <w:rPr>
          <w:sz w:val="20"/>
          <w:szCs w:val="20"/>
          <w:color w:val="auto"/>
        </w:rPr>
      </w:pPr>
    </w:p>
    <w:p>
      <w:pPr>
        <w:ind w:right="20" w:firstLine="611"/>
        <w:spacing w:after="0" w:line="323" w:lineRule="auto"/>
        <w:rPr>
          <w:sz w:val="20"/>
          <w:szCs w:val="20"/>
          <w:color w:val="auto"/>
        </w:rPr>
      </w:pPr>
      <w:r>
        <w:rPr>
          <w:rFonts w:ascii="Arial" w:cs="Arial" w:eastAsia="Arial" w:hAnsi="Arial"/>
          <w:sz w:val="15"/>
          <w:szCs w:val="15"/>
          <w:color w:val="auto"/>
        </w:rPr>
        <w:t>We award our stock options on the date our board of directors approves the grant. We set the option exercise price and grant date fair value based on our per-share estimated valuation on the date of grant. For grants in connection with initial employment, vesting begins on the initial date of employment. Time vested stock option grants to our executives and other employees typically vest 25% on the first anniversary of grant or, if earlier, the initial employment date and in equal monthly installments thereafter, through the fourth anniversary of the vesting commencement date, and have a term of ten years from the grant date.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2015 Fiscal Year End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2015.</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11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Market value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2"/>
              </w:rPr>
              <w:t>securities</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2"/>
              </w:rPr>
              <w:t>shares or</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underlying</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units of</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6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stock that</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 (#)</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expiration</w:t>
            </w: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have not</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that have not</w:t>
            </w:r>
          </w:p>
        </w:tc>
        <w:tc>
          <w:tcPr>
            <w:tcW w:w="0" w:type="dxa"/>
            <w:vAlign w:val="bottom"/>
          </w:tcPr>
          <w:p>
            <w:pPr>
              <w:spacing w:after="0"/>
              <w:rPr>
                <w:sz w:val="1"/>
                <w:szCs w:val="1"/>
                <w:color w:val="auto"/>
              </w:rPr>
            </w:pPr>
          </w:p>
        </w:tc>
      </w:tr>
      <w:tr>
        <w:trPr>
          <w:trHeight w:val="176"/>
        </w:trPr>
        <w:tc>
          <w:tcPr>
            <w:tcW w:w="30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exercisable</w:t>
            </w:r>
          </w:p>
        </w:tc>
        <w:tc>
          <w:tcPr>
            <w:tcW w:w="16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unexercisable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price ($)</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date</w:t>
            </w: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vested (#)</w:t>
            </w:r>
          </w:p>
        </w:tc>
        <w:tc>
          <w:tcPr>
            <w:tcW w:w="112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88"/>
              </w:rPr>
              <w:t>vested ($)</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Katrine S. Bosley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851,856</w:t>
            </w:r>
            <w:r>
              <w:rPr>
                <w:rFonts w:ascii="Arial" w:cs="Arial" w:eastAsia="Arial" w:hAnsi="Arial"/>
                <w:sz w:val="14"/>
                <w:szCs w:val="14"/>
                <w:color w:val="auto"/>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14,481,552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Alexandra Glucksmann, Ph.D.</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38,461</w:t>
            </w:r>
            <w:r>
              <w:rPr>
                <w:rFonts w:ascii="Arial" w:cs="Arial" w:eastAsia="Arial" w:hAnsi="Arial"/>
                <w:sz w:val="14"/>
                <w:szCs w:val="14"/>
                <w:color w:val="auto"/>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0.65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4/15/2025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51,540</w:t>
            </w:r>
            <w:r>
              <w:rPr>
                <w:rFonts w:ascii="Arial" w:cs="Arial" w:eastAsia="Arial" w:hAnsi="Arial"/>
                <w:sz w:val="14"/>
                <w:szCs w:val="14"/>
                <w:color w:val="auto"/>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876,180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110,955</w:t>
            </w:r>
            <w:r>
              <w:rPr>
                <w:rFonts w:ascii="Arial" w:cs="Arial" w:eastAsia="Arial" w:hAnsi="Arial"/>
                <w:sz w:val="14"/>
                <w:szCs w:val="14"/>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10/29/2025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Andrew A. F. Hack, M.D., Ph.D.</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173,076</w:t>
            </w:r>
            <w:r>
              <w:rPr>
                <w:rFonts w:ascii="Arial" w:cs="Arial" w:eastAsia="Arial" w:hAnsi="Arial"/>
                <w:sz w:val="14"/>
                <w:szCs w:val="14"/>
                <w:color w:val="auto"/>
              </w:rPr>
              <w:t>(6)</w:t>
            </w:r>
          </w:p>
        </w:tc>
        <w:tc>
          <w:tcPr>
            <w:tcW w:w="680" w:type="dxa"/>
            <w:vAlign w:val="bottom"/>
          </w:tcPr>
          <w:p>
            <w:pPr>
              <w:jc w:val="right"/>
              <w:spacing w:after="0"/>
              <w:rPr>
                <w:sz w:val="20"/>
                <w:szCs w:val="20"/>
                <w:color w:val="auto"/>
              </w:rPr>
            </w:pPr>
            <w:r>
              <w:rPr>
                <w:rFonts w:ascii="Arial" w:cs="Arial" w:eastAsia="Arial" w:hAnsi="Arial"/>
                <w:sz w:val="18"/>
                <w:szCs w:val="18"/>
                <w:color w:val="auto"/>
              </w:rPr>
              <w:t>3.23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7/13/2025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84,513</w:t>
            </w:r>
            <w:r>
              <w:rPr>
                <w:rFonts w:ascii="Arial" w:cs="Arial" w:eastAsia="Arial" w:hAnsi="Arial"/>
                <w:sz w:val="14"/>
                <w:szCs w:val="14"/>
                <w:color w:val="auto"/>
              </w:rPr>
              <w:t>(7)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9/13/2015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9,615</w:t>
            </w:r>
            <w:r>
              <w:rPr>
                <w:rFonts w:ascii="Arial" w:cs="Arial" w:eastAsia="Arial" w:hAnsi="Arial"/>
                <w:sz w:val="14"/>
                <w:szCs w:val="14"/>
                <w:color w:val="auto"/>
              </w:rPr>
              <w:t>(5)</w:t>
            </w:r>
          </w:p>
        </w:tc>
        <w:tc>
          <w:tcPr>
            <w:tcW w:w="680" w:type="dxa"/>
            <w:vAlign w:val="bottom"/>
          </w:tcPr>
          <w:p>
            <w:pPr>
              <w:jc w:val="right"/>
              <w:spacing w:after="0"/>
              <w:rPr>
                <w:sz w:val="20"/>
                <w:szCs w:val="20"/>
                <w:color w:val="auto"/>
              </w:rPr>
            </w:pPr>
            <w:r>
              <w:rPr>
                <w:rFonts w:ascii="Arial" w:cs="Arial" w:eastAsia="Arial" w:hAnsi="Arial"/>
                <w:sz w:val="18"/>
                <w:szCs w:val="18"/>
                <w:color w:val="auto"/>
              </w:rPr>
              <w:t>11.21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10/29/2025</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60" w:hanging="531"/>
        <w:spacing w:after="0" w:line="254"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market price of our common stock is based on an assumed initial public offering price of $17.00 per share, which is the midpoint of the estimated price range set forth on the cover page of this prospectus.</w:t>
      </w:r>
    </w:p>
    <w:p>
      <w:pPr>
        <w:spacing w:after="0" w:line="21" w:lineRule="exact"/>
        <w:rPr>
          <w:rFonts w:ascii="Arial" w:cs="Arial" w:eastAsia="Arial" w:hAnsi="Arial"/>
          <w:sz w:val="18"/>
          <w:szCs w:val="18"/>
          <w:color w:val="auto"/>
        </w:rPr>
      </w:pPr>
    </w:p>
    <w:p>
      <w:pPr>
        <w:ind w:left="1680" w:right="640" w:hanging="531"/>
        <w:spacing w:after="0" w:line="286" w:lineRule="auto"/>
        <w:tabs>
          <w:tab w:leader="none" w:pos="16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1,362,966 shares of restricted common stock were awarded on June 18, 2014. 25% of the shares vested on June 16, 2015, and the remainder are scheduled to vest in equal monthly installments thereafter through June 18, 2018.</w:t>
      </w:r>
    </w:p>
    <w:p>
      <w:pPr>
        <w:spacing w:after="0" w:line="7" w:lineRule="exact"/>
        <w:rPr>
          <w:rFonts w:ascii="Arial" w:cs="Arial" w:eastAsia="Arial" w:hAnsi="Arial"/>
          <w:sz w:val="16"/>
          <w:szCs w:val="16"/>
          <w:color w:val="auto"/>
        </w:rPr>
      </w:pPr>
    </w:p>
    <w:p>
      <w:pPr>
        <w:ind w:left="1680" w:right="440" w:hanging="531"/>
        <w:spacing w:after="0" w:line="254"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option was granted on April 16, 2015. 25% of the shares are scheduled to vest on March 9, 2016, and the remaining 75% of the shares are scheduled to vest in equal monthly installments thereafter until March 9, 2019.</w:t>
      </w:r>
    </w:p>
    <w:p>
      <w:pPr>
        <w:spacing w:after="0" w:line="7" w:lineRule="exact"/>
        <w:rPr>
          <w:rFonts w:ascii="Arial" w:cs="Arial" w:eastAsia="Arial" w:hAnsi="Arial"/>
          <w:sz w:val="18"/>
          <w:szCs w:val="18"/>
          <w:color w:val="auto"/>
        </w:rPr>
      </w:pPr>
    </w:p>
    <w:p>
      <w:pPr>
        <w:ind w:left="1680" w:right="180" w:hanging="531"/>
        <w:spacing w:after="0" w:line="253"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117,788 shares of restricted common stock were awarded on November 4, 2013. 12.5% of the shares vested on March 20, 2014, and the remainder are scheduled to vest in monthly increments thereafter at a rate of 2.083% of the size of the total award per month through September 20, 2017.</w:t>
      </w:r>
    </w:p>
    <w:p>
      <w:pPr>
        <w:spacing w:after="0" w:line="20" w:lineRule="exact"/>
        <w:rPr>
          <w:rFonts w:ascii="Arial" w:cs="Arial" w:eastAsia="Arial" w:hAnsi="Arial"/>
          <w:sz w:val="18"/>
          <w:szCs w:val="18"/>
          <w:color w:val="auto"/>
        </w:rPr>
      </w:pPr>
    </w:p>
    <w:p>
      <w:pPr>
        <w:ind w:left="1680" w:right="40" w:hanging="531"/>
        <w:spacing w:after="0" w:line="254"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option was granted on October 30, 2015. 25% of the shares are scheduled to vest on October 27, 2016, and the remaining 75% of the shares are scheduled to vest in equal monthly installments thereafter until October 27, 2019.</w:t>
      </w:r>
    </w:p>
    <w:p>
      <w:pPr>
        <w:spacing w:after="0" w:line="7" w:lineRule="exact"/>
        <w:rPr>
          <w:rFonts w:ascii="Arial" w:cs="Arial" w:eastAsia="Arial" w:hAnsi="Arial"/>
          <w:sz w:val="18"/>
          <w:szCs w:val="18"/>
          <w:color w:val="auto"/>
        </w:rPr>
      </w:pPr>
    </w:p>
    <w:p>
      <w:pPr>
        <w:ind w:left="1680" w:right="200" w:hanging="531"/>
        <w:spacing w:after="0" w:line="254"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option was granted on July 14, 2015. 25% of the shares are scheduled to vest on July 1, 2016, and the remaining 75% of the shares are scheduled to vest in equal monthly installments thereafter until July 1, 2019.</w:t>
      </w:r>
    </w:p>
    <w:p>
      <w:pPr>
        <w:spacing w:after="0" w:line="7" w:lineRule="exact"/>
        <w:rPr>
          <w:rFonts w:ascii="Arial" w:cs="Arial" w:eastAsia="Arial" w:hAnsi="Arial"/>
          <w:sz w:val="18"/>
          <w:szCs w:val="18"/>
          <w:color w:val="auto"/>
        </w:rPr>
      </w:pPr>
    </w:p>
    <w:p>
      <w:pPr>
        <w:ind w:left="1680" w:right="220" w:hanging="531"/>
        <w:spacing w:after="0" w:line="268"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option was granted on September 14, 2015. 25% of the shares are scheduled to vest on July 1, 2016, and the remaining 75% of the shares are scheduled to vest in equal monthly installments thereafter until July 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Executive Officers</w:t>
      </w:r>
    </w:p>
    <w:p>
      <w:pPr>
        <w:spacing w:after="0" w:line="231"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We have entered into written employment agreements with each of our named executive officers. These agreements set forth the terms of the named executive officer's compensation, including his or her initial base salary, and an annual cash bonus opportunity. In addition, the agreements provide that the named executive officers are eligible to participate in company-sponsored benefit programs that are available generally to all of our employees.</w:t>
      </w:r>
    </w:p>
    <w:p>
      <w:pPr>
        <w:spacing w:after="0" w:line="161"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Under these agreements, each of our named executive officers is eligible to receive an annual cash bonus, as determined by our board of directors in its sole discretion, with a target of a specified percentage of such officer's annual base salary earned in such particular calendar year, which percentage shall be subject to adjustment from time to time by our board of directors in its sole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discretion. Our board of directors determines the amount of the bonus, if any, based on its assessment of the named executive officer's performance and that of the company against appropriate goals established annually by our board of directors. The current target annual bonus percentage for each of our named executive officers is 30%.</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Our severance benefits plan, which we refer to as the Severance Plan, provides severance benefits to certain of our executives, including our named executive officers, and other employees designated by our board of directors or an authorized committee thereof, if their employment is terminated by us "without cause" or, only in connection with a "change in control" of our company, they terminate employment with us for "good reason" (as each of those terms is defined in the Severance Plan).</w:t>
      </w:r>
    </w:p>
    <w:p>
      <w:pPr>
        <w:spacing w:after="0" w:line="197"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Under the Severance Plan, if we terminate an eligible executive's employment without cause prior to or more than 12 months following the closing of a change in control of our company, the executive is entitled to (a) continue receiving his or her base salary for a specified period (in the case of our Chief Executive Officer, other C-level officers, and Senior Vice Presidents, for 12 months, and, in the case of Vice Presidents, for six months) following the date of termination, which we refer to as the Severance Period, (b) company contributions to the cost of health care continuation under the Consolidated Omnibus Budget Reconciliation Act, or COBRA, for the Severance Period, and (c) the amount of any unpaid annual bonus determined by our board of directors to be payable to the executive for any completed bonus period which ended prior to the date of such executive's termination.</w:t>
      </w:r>
    </w:p>
    <w:p>
      <w:pPr>
        <w:spacing w:after="0" w:line="174" w:lineRule="exact"/>
        <w:rPr>
          <w:sz w:val="20"/>
          <w:szCs w:val="20"/>
          <w:color w:val="auto"/>
        </w:rPr>
      </w:pPr>
    </w:p>
    <w:p>
      <w:pPr>
        <w:ind w:right="40" w:firstLine="611"/>
        <w:spacing w:after="0" w:line="301" w:lineRule="auto"/>
        <w:rPr>
          <w:sz w:val="20"/>
          <w:szCs w:val="20"/>
          <w:color w:val="auto"/>
        </w:rPr>
      </w:pPr>
      <w:r>
        <w:rPr>
          <w:rFonts w:ascii="Arial" w:cs="Arial" w:eastAsia="Arial" w:hAnsi="Arial"/>
          <w:sz w:val="15"/>
          <w:szCs w:val="15"/>
          <w:color w:val="auto"/>
        </w:rPr>
        <w:t>The Severance Plan also provides that, if, within 12 months following the closing of a change in control of our company, we terminate an eligible executive's employment without cause or such executive terminates his or her employment with us for good reason, each of which events we refer to as a Change in Control Termination, the executive is entitled to (a) continue receiving his or her base salary for a specified period (in the case of our Chief Executive Officer, other C-level officers, and Senior Vice Presidents, for 12 months, and, in the case of Vice Presidents, for nine months) following the date of termination, which we refer to as the Change in Control Severance Period, (b) company contributions to the cost of health care continuation under COBRA during the Change in Control Severance Period, (c) the amount of any unpaid annual bonus determined by our board of directors to be payable to the executive for any completed bonus period which ended prior to the date of such executive's termination, and (d) an additional single lump sum bonus payment in an amount equal to the multiple of (i) a fraction the numerator of which is the numbers of months in the Change in Control Severance Period and the denominator of which is 12 and</w:t>
      </w:r>
    </w:p>
    <w:p>
      <w:pPr>
        <w:spacing w:after="0" w:line="4" w:lineRule="exact"/>
        <w:rPr>
          <w:sz w:val="20"/>
          <w:szCs w:val="20"/>
          <w:color w:val="auto"/>
        </w:rPr>
      </w:pPr>
    </w:p>
    <w:p>
      <w:pPr>
        <w:ind w:firstLine="8"/>
        <w:spacing w:after="0" w:line="261" w:lineRule="auto"/>
        <w:tabs>
          <w:tab w:leader="none" w:pos="25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eligible executive's target annual bonus for the year of the Change in Control Termination. In addition, in the event of a Change in Control Termination, all of the executive's outstanding unvested equity awards will immediately vest in full on the date of such termination.</w:t>
      </w:r>
    </w:p>
    <w:p>
      <w:pPr>
        <w:spacing w:after="0" w:line="192" w:lineRule="exact"/>
        <w:rPr>
          <w:sz w:val="20"/>
          <w:szCs w:val="20"/>
          <w:color w:val="auto"/>
        </w:rPr>
      </w:pPr>
    </w:p>
    <w:p>
      <w:pPr>
        <w:jc w:val="both"/>
        <w:ind w:right="20" w:firstLine="605"/>
        <w:spacing w:after="0" w:line="259" w:lineRule="auto"/>
        <w:rPr>
          <w:sz w:val="20"/>
          <w:szCs w:val="20"/>
          <w:color w:val="auto"/>
        </w:rPr>
      </w:pPr>
      <w:r>
        <w:rPr>
          <w:rFonts w:ascii="Arial" w:cs="Arial" w:eastAsia="Arial" w:hAnsi="Arial"/>
          <w:sz w:val="18"/>
          <w:szCs w:val="18"/>
          <w:color w:val="auto"/>
        </w:rPr>
        <w:t>All payments and benefits provided under the Severance Plan are contingent upon the execution and effectiveness of a release of claims by the executive in our favor and continued compliance by the executive with any proprietary information and inventions, nondisclosure, non-competition, and non-solicitation (or similar) agreement to which we and the executive are party.</w:t>
      </w:r>
    </w:p>
    <w:p>
      <w:pPr>
        <w:spacing w:after="0" w:line="194"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Drs. Glucksmann and Hack have acknowledged that their entitlement to severance benefits shall be governed by the terms of the Severance Plan, and the terms of their offer letters with respect to such benefits have been superseded in their entirety by the terms of the Severance Plan. Ms. Bosley is also entitled to severance benefits pursuant to the Severance Plan. Additionally, if Ms. Bosley terminates her employment for good reason at a time that is prior to or more than 12 months following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 change in control of our company, she is entitled, pursuant to the terms of her offer letter, to (i) continue receiving her base salary for a period of 12 months following the date of termination and (ii) company contributions to the cost of health care continuation under COBRA for 12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31"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We have also entered into employee confidentiality, non-solicitation, non-competition and proprietary information agreements with each of our named executive officers. Under these agreements, each of our named executive officers has agreed (1) not to compete with us during his or her employment and for a period of one year after the termination of his or her employment, (2) not to solicit our employees during his or her employment and for a period of one year after the termination of his or her employment, (3) to protect our confidential and proprietary information, and (4) to assign to us related intellectual property developed during the course of his or her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ind w:right="40" w:firstLine="611"/>
        <w:spacing w:after="0" w:line="335" w:lineRule="auto"/>
        <w:rPr>
          <w:sz w:val="20"/>
          <w:szCs w:val="20"/>
          <w:color w:val="auto"/>
        </w:rPr>
      </w:pPr>
      <w:r>
        <w:rPr>
          <w:rFonts w:ascii="Arial" w:cs="Arial" w:eastAsia="Arial" w:hAnsi="Arial"/>
          <w:sz w:val="15"/>
          <w:szCs w:val="15"/>
          <w:color w:val="auto"/>
        </w:rPr>
        <w:t>The three equity incentive plans described in this section are our 2013 Stock Incentive Plan, as amended to date, or the 2013 plan; our 2015 Stock Incentive Plan, or the 2015 plan; and our 2015 Employee Stock Purchase Plan, or the 2015 ESPP. Prior to this offering, we granted awards to eligible participants under the 2013 plan. Following the closing of this offering, we expect to grant awards to eligible participants under the 2015 plan and the 2015 ESPP.</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2013 Stock Incentive Plan</w:t>
      </w:r>
    </w:p>
    <w:p>
      <w:pPr>
        <w:spacing w:after="0" w:line="225"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The 2013 plan provides for the grant of incentive stock options, nonqualified stock options, restricted stock awards, restricted stock units, stock appreciation rights, and other stock-based awards. Our employees, officers, directors, consultants, and advisors are eligible to receive awards under the 2013 plan; however, incentive stock options may only be granted to our employees. Our board of directors administers the 2013 plan.</w:t>
      </w:r>
    </w:p>
    <w:p>
      <w:pPr>
        <w:spacing w:after="0" w:line="161" w:lineRule="exact"/>
        <w:rPr>
          <w:sz w:val="20"/>
          <w:szCs w:val="20"/>
          <w:color w:val="auto"/>
        </w:rPr>
      </w:pPr>
    </w:p>
    <w:p>
      <w:pPr>
        <w:ind w:right="20" w:firstLine="611"/>
        <w:spacing w:after="0" w:line="332" w:lineRule="auto"/>
        <w:rPr>
          <w:sz w:val="20"/>
          <w:szCs w:val="20"/>
          <w:color w:val="auto"/>
        </w:rPr>
      </w:pPr>
      <w:r>
        <w:rPr>
          <w:rFonts w:ascii="Arial" w:cs="Arial" w:eastAsia="Arial" w:hAnsi="Arial"/>
          <w:sz w:val="16"/>
          <w:szCs w:val="16"/>
          <w:color w:val="auto"/>
        </w:rPr>
        <w:t>The 2013 plan provides that a maximum of 6,317,769 shares of our common stock are authorized for issuance under the plan. No awards may be granted under the 2013 plan after November 20, 2023, and our board of directors may amend, suspend, or terminate the 2013 plan at any time.</w:t>
      </w:r>
    </w:p>
    <w:p>
      <w:pPr>
        <w:spacing w:after="0" w:line="139" w:lineRule="exact"/>
        <w:rPr>
          <w:sz w:val="20"/>
          <w:szCs w:val="20"/>
          <w:color w:val="auto"/>
        </w:rPr>
      </w:pPr>
    </w:p>
    <w:p>
      <w:pPr>
        <w:ind w:right="140" w:firstLine="615"/>
        <w:spacing w:after="0" w:line="306" w:lineRule="auto"/>
        <w:rPr>
          <w:sz w:val="20"/>
          <w:szCs w:val="20"/>
          <w:color w:val="auto"/>
        </w:rPr>
      </w:pPr>
      <w:r>
        <w:rPr>
          <w:rFonts w:ascii="Arial" w:cs="Arial" w:eastAsia="Arial" w:hAnsi="Arial"/>
          <w:sz w:val="16"/>
          <w:szCs w:val="16"/>
          <w:color w:val="auto"/>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under the terms of the 2013 plan, we are required to equitably adjust (or make substitute awards, if applicable), in the manner determined by our board of directors:</w:t>
      </w:r>
    </w:p>
    <w:p>
      <w:pPr>
        <w:spacing w:after="0" w:line="174"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2013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share and per-share provisions and the measurement price of each outstanding stock appreciation right;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number of shares subject to and the repurchase price per share subject to each outstanding restricted stock award;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share and per-share-related provisions and the purchase price, if any, of each outstanding other stock-based award.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Upon the occurrence of a merger or consolidation of our company with or into another entity as a result of which all of our common stock is converted into or exchanged for the right to receive cash, securities, or other property or is cancelled; any transfer or disposition of all of our common stock for cash, securities, or other property pursuant to a share exchange or other transaction; or a liquidation or dissolution of our company, our board of directors may, on such terms as our board of directors determines (except to the extent specifically provided otherwise in an applicable award agreement or other agreement between us and the plan participant), take any one or more of the following actions pursuant to the 2013 plan, as to some or all outstanding awards, other than restricted stock awards:</w:t>
      </w:r>
    </w:p>
    <w:p>
      <w:pPr>
        <w:spacing w:after="0" w:line="212" w:lineRule="exact"/>
        <w:rPr>
          <w:sz w:val="20"/>
          <w:szCs w:val="20"/>
          <w:color w:val="auto"/>
        </w:rPr>
      </w:pPr>
    </w:p>
    <w:p>
      <w:pPr>
        <w:ind w:left="1080" w:right="26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provide that awards shall be assumed, or substantially equivalent awards shall be substituted, by the acquiring or succeeding corporation (or an affiliate thereof);</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upon written notice to a plan participant, provide that the participant's unexercised awards will terminate immediately prior to the consummation of such transaction unless exercised by the participant (to the extent then exercisable) within a specified period;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provide that outstanding awards shall become exercisable, realizable, or deliverable, or restrictions applicable to an award shall lapse, in whole or in part prior to or upon such transaction;</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event of a transaction under the terms of which holders of common stock will receive upon consummation thereof a cash payment for each share surrendered in the transaction, make or provide for a cash payment to a plan participant;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provide that, in connection with a liquidation of dissolution of the company, awards shall convert into the right to receive liquidation proceeds;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board of directors is not obligated under the 2013 plan to treat all awards, all awards held by a participant, or all awards of the same type, identically.</w:t>
      </w:r>
    </w:p>
    <w:p>
      <w:pPr>
        <w:spacing w:after="0" w:line="260" w:lineRule="exact"/>
        <w:rPr>
          <w:sz w:val="20"/>
          <w:szCs w:val="20"/>
          <w:color w:val="auto"/>
        </w:rPr>
      </w:pPr>
    </w:p>
    <w:p>
      <w:pPr>
        <w:ind w:right="160" w:firstLine="615"/>
        <w:spacing w:after="0" w:line="290" w:lineRule="auto"/>
        <w:rPr>
          <w:sz w:val="20"/>
          <w:szCs w:val="20"/>
          <w:color w:val="auto"/>
        </w:rPr>
      </w:pPr>
      <w:r>
        <w:rPr>
          <w:rFonts w:ascii="Arial" w:cs="Arial" w:eastAsia="Arial" w:hAnsi="Arial"/>
          <w:sz w:val="16"/>
          <w:szCs w:val="16"/>
          <w:color w:val="auto"/>
        </w:rPr>
        <w:t>Upon the occurrence of any corporate transaction described above, other than our liquidation or dissolution, our repurchase and other rights under each outstanding restricted stock award will continue for the benefit of our successor and will, unless our board of directors determines otherwise, apply to the cash, securities, or other property which our common stock was converted into or exchanged for in the transaction in the same manner and to the same extent as they applied to the common stock subject to the restricted stock award; provided, however, that the board may provide termination or deemed satisfaction of such repurchase or other rights under the restricted stock award agreement, either initially or by amendment. Upon our liquidation or dissolution, except to the extent specifically provided to the contrary in the restricted stock award agreement or any other agreement between the plan participant and us, all restrictions and conditions on all restricted stock awards then outstanding will automatically be deemed terminated or satisfied.</w:t>
      </w:r>
    </w:p>
    <w:p>
      <w:pPr>
        <w:spacing w:after="0" w:line="172"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Our board of directors, in its sole discretion, may accelerate the exercisability of any option or time at which any restrictions shall lapse or be removed from any restricted stock award, as the case may be.</w:t>
      </w:r>
    </w:p>
    <w:p>
      <w:pPr>
        <w:spacing w:after="0" w:line="186" w:lineRule="exact"/>
        <w:rPr>
          <w:sz w:val="20"/>
          <w:szCs w:val="20"/>
          <w:color w:val="auto"/>
        </w:rPr>
      </w:pPr>
    </w:p>
    <w:p>
      <w:pPr>
        <w:ind w:right="40" w:firstLine="605"/>
        <w:spacing w:after="0" w:line="259" w:lineRule="auto"/>
        <w:rPr>
          <w:sz w:val="20"/>
          <w:szCs w:val="20"/>
          <w:color w:val="auto"/>
        </w:rPr>
      </w:pPr>
      <w:r>
        <w:rPr>
          <w:rFonts w:ascii="Arial" w:cs="Arial" w:eastAsia="Arial" w:hAnsi="Arial"/>
          <w:sz w:val="18"/>
          <w:szCs w:val="18"/>
          <w:color w:val="auto"/>
        </w:rPr>
        <w:t>As of November 30, 2015, there were options to purchase 1,688,470 shares of our common stock outstanding under the 2013 plan, at a weighted average exercise price of $6.49 per share, and options to purchase 103,955 shares of our common stock had been exercised. We have awarded 1,691,137 shares of restricted common stock under the 2013 plan. Effective as of immediately prior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effectiveness of the Registration Statement on Form S-1 related to this offering, or the Registration Statement, we will no longer grant stock options or other awards under the 2013 plan.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2015 Stock Incentive Plan</w:t>
      </w:r>
    </w:p>
    <w:p>
      <w:pPr>
        <w:spacing w:after="0" w:line="225" w:lineRule="exact"/>
        <w:rPr>
          <w:sz w:val="20"/>
          <w:szCs w:val="20"/>
          <w:color w:val="auto"/>
        </w:rPr>
      </w:pPr>
    </w:p>
    <w:p>
      <w:pPr>
        <w:ind w:right="40" w:firstLine="615"/>
        <w:spacing w:after="0" w:line="286" w:lineRule="auto"/>
        <w:rPr>
          <w:sz w:val="20"/>
          <w:szCs w:val="20"/>
          <w:color w:val="auto"/>
        </w:rPr>
      </w:pPr>
      <w:r>
        <w:rPr>
          <w:rFonts w:ascii="Arial" w:cs="Arial" w:eastAsia="Arial" w:hAnsi="Arial"/>
          <w:sz w:val="16"/>
          <w:szCs w:val="16"/>
          <w:color w:val="auto"/>
        </w:rPr>
        <w:t>In December 2015, our board of directors and our stockholders approved the 2015 plan, which will become effective immediately prior to the effectiveness of the Registration Statement. The 2015 plan provides for the grant of incentive stock options, nonstatutory stock options, stock appreciation rights, awards of restricted stock, restricted stock units, and other stock-based awards. Upon effectiveness of the 2015 plan, the number of shares of our common stock that will be reserved for issuance under the 2015 plan will be 1,461,538 shares, plus an additional number of shares of common stock equal to the number of shares of common stock that remain available for grant under the 2013 plan immediately prior to the effectiveness of the Registration Statement. Following the closing of this offering, the number of shares reserved for issuance under the 2015 plan will increase by (a) the number of shares of our common stock subject to outstanding awards under the 2013 plan upon the effectiveness of the Registration Statement that expire, terminate or are otherwise surrendered, cancelled, forfeited or repurchased by us at their original issuance price pursuant to a contractual repurchase right and (b) an annual increase, to be added the first day of each fiscal year, beginning with the fiscal year ending December 31, 2017 and continuing until, and including, the fiscal year ending December 31, 2026, equal to the lowest of 2,923,076 shares of our common stock, 4% of the number of shares of our common stock outstanding on the first day of the fiscal year and an amount determined by our board of directors.</w:t>
      </w:r>
    </w:p>
    <w:p>
      <w:pPr>
        <w:spacing w:after="0" w:line="181"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Our employees, officers, directors, consultants, and advisors will be eligible to receive awards under the 2015 plan; however, incentive stock options may only be granted to our employees. We expect to grant under the 2015 plan options to purchase an aggregate of 496,727 shares to certain of our employees and one of our non-employee directors upon the commencement of trading of our common stock on the NASDAQ Global Market.</w:t>
      </w:r>
    </w:p>
    <w:p>
      <w:pPr>
        <w:spacing w:after="0" w:line="161"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Pursuant to the terms of the 2015 plan, our board of directors (or a committee delegated by our board of directors) administers the 2015 plan and, subject to any limitations set forth in the 2015 plan, will select the recipients of awards and determine:</w:t>
      </w:r>
    </w:p>
    <w:p>
      <w:pPr>
        <w:spacing w:after="0" w:line="19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of shares of common stock covered by options and the dates upon which those options become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exercise price of options, which price must be at least equal to the fair market value of our common stock on the date of grant;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methods of payment of the exercise price of options; and</w:t>
      </w:r>
    </w:p>
    <w:p>
      <w:pPr>
        <w:spacing w:after="0" w:line="238"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and the terms of any stock appreciation rights, awards of restricted stock, restricted stock units, or other stock-based awards and the terms and conditions of such awards, including the issue price, conditions for repurchase, repurchase price, and performance conditions (though the measurement price of stock appreciation rights must be at least equal to the fair market value of our common stock on the date of grant and the duration of such awards may not be in excess of ten years), if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335" w:lineRule="auto"/>
        <w:rPr>
          <w:sz w:val="20"/>
          <w:szCs w:val="20"/>
          <w:color w:val="auto"/>
        </w:rPr>
      </w:pPr>
      <w:r>
        <w:rPr>
          <w:rFonts w:ascii="Arial" w:cs="Arial" w:eastAsia="Arial" w:hAnsi="Arial"/>
          <w:sz w:val="15"/>
          <w:szCs w:val="15"/>
          <w:color w:val="auto"/>
        </w:rPr>
        <w:t>Our board of directors may delegate authority to an executive officer to grant awards under the 2015 plan to all of our employees, except executive officers and certain other officers provided that our board of directors fixes the terms of the awards to be granted by such executive officer, including the exercise price of such awards (or a formula for establishing such price), and the maximum number of shares subject to awards that such executive officer may make.</w:t>
      </w:r>
    </w:p>
    <w:p>
      <w:pPr>
        <w:spacing w:after="0" w:line="142"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2015 plan to make equitable adjustments (or make substitute awards, if applicable), in a manner determined by our board of directors, to:</w:t>
      </w:r>
    </w:p>
    <w:p>
      <w:pPr>
        <w:spacing w:after="0" w:line="174"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2015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share counting rules under the 2015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share and per-share provisions and measurement price of each outstanding stock appreciation right;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number of shares and the repurchase price per share subject to each outstanding restricted stock award or restricted stock unit award;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share and per-share related provisions and purchase price, if any, of any outstanding other stock-based award.</w:t>
      </w:r>
    </w:p>
    <w:p>
      <w:pPr>
        <w:spacing w:after="0" w:line="225" w:lineRule="exact"/>
        <w:rPr>
          <w:sz w:val="20"/>
          <w:szCs w:val="20"/>
          <w:color w:val="auto"/>
        </w:rPr>
      </w:pPr>
    </w:p>
    <w:p>
      <w:pPr>
        <w:ind w:right="80" w:firstLine="615"/>
        <w:spacing w:after="0" w:line="306" w:lineRule="auto"/>
        <w:rPr>
          <w:sz w:val="20"/>
          <w:szCs w:val="20"/>
          <w:color w:val="auto"/>
        </w:rPr>
      </w:pPr>
      <w:r>
        <w:rPr>
          <w:rFonts w:ascii="Arial" w:cs="Arial" w:eastAsia="Arial" w:hAnsi="Arial"/>
          <w:sz w:val="16"/>
          <w:szCs w:val="16"/>
          <w:color w:val="auto"/>
        </w:rPr>
        <w:t>Upon a reorganization event (as defined in the 2015 plan), our board of directors, may, on such terms as our board of directors determines (except to the extent specifically provided otherwise in an applicable award agreement or other agreement between the participant and us), take any one or more of the following actions pursuant to the 2015 plan, as to some or all outstanding awards, other than restricted stock awards:</w:t>
      </w:r>
    </w:p>
    <w:p>
      <w:pPr>
        <w:spacing w:after="0" w:line="174" w:lineRule="exact"/>
        <w:rPr>
          <w:sz w:val="20"/>
          <w:szCs w:val="20"/>
          <w:color w:val="auto"/>
        </w:rPr>
      </w:pPr>
    </w:p>
    <w:p>
      <w:pPr>
        <w:ind w:left="1080" w:right="6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that all outstanding awards will be assumed or substantially equivalent awards will be substituted by the acquiring or succeeding corporation (or an affiliate thereof);</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unvested and/or unexercised options or other awards will terminate immediately prior to the consummation of the reorganization event unless exercised by the participant;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the reorganization event;</w:t>
      </w:r>
    </w:p>
    <w:p>
      <w:pPr>
        <w:spacing w:after="0" w:line="199"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event of a reorganization event pursuant to which holders of our common stock will receive a cash payment for each share surrendered in the reorganization event, make or provide for a cash payment to the participants with respect to each award held by a participant equal to (a) the number of shares of our common stock subject to the vested portion of the award (after giving effect to any acceleration of vesting that occurs upon or immediately prior to such reorganization event) multiplied by (b) the excess, if any, of the cash payment for each share surrendered in the reorganization event over the exercise, measurement, or purchase price of such award and any applicable tax withholdings, in exchange for the termination of such award;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provide that, in connection with a liquidation or dissolution, awards convert into the right to receive liquidation proceeds (if applicable, net of exercise, measurement, or purchase price thereof and any applicable tax withholdings);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board of directors is not obligated by the 2015 plan to treat all awards, all awards held by a participant, or all awards of the same type, identically.</w:t>
      </w:r>
    </w:p>
    <w:p>
      <w:pPr>
        <w:spacing w:after="0" w:line="248"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Upon the occurrence of a reorganization event other than a liquidation or dissolution, the repurchase and other rights of Editas with respect to each outstanding restricted stock award will continue for the benefit of the successor company and will, unless our board of directors may otherwise determine, apply to the cash, securities, or other property into or for which our common stock is converted or exchanged pursuant to the reorganization event, unless our board of directors provides for the termination or deemed satisfaction of such repurchase or other rights under the restricted stock award agreement or any other agreement between the participant and us. Upon the occurrence of a reorganization event involving a liquidation or dissolution, all restrictions and conditions on each outstanding restricted stock award will automatically be deemed terminated or satisfied, unless otherwise provided in the agreement evidencing the restricted stock award or in any other agreement between the participant and us.</w:t>
      </w:r>
    </w:p>
    <w:p>
      <w:pPr>
        <w:spacing w:after="0" w:line="172" w:lineRule="exact"/>
        <w:rPr>
          <w:sz w:val="20"/>
          <w:szCs w:val="20"/>
          <w:color w:val="auto"/>
        </w:rPr>
      </w:pPr>
    </w:p>
    <w:p>
      <w:pPr>
        <w:ind w:right="300" w:firstLine="615"/>
        <w:spacing w:after="0" w:line="268" w:lineRule="auto"/>
        <w:rPr>
          <w:sz w:val="20"/>
          <w:szCs w:val="20"/>
          <w:color w:val="auto"/>
        </w:rPr>
      </w:pPr>
      <w:r>
        <w:rPr>
          <w:rFonts w:ascii="Arial" w:cs="Arial" w:eastAsia="Arial" w:hAnsi="Arial"/>
          <w:sz w:val="18"/>
          <w:szCs w:val="18"/>
          <w:color w:val="auto"/>
        </w:rPr>
        <w:t>Our board of directors may at any time provide that any award under the 2015 plan shall become immediately exercisable in whole or in part, free of some or all restrictions or conditions, or otherwise realizable in whole or in part, as the case may be.</w:t>
      </w:r>
    </w:p>
    <w:p>
      <w:pPr>
        <w:spacing w:after="0" w:line="186" w:lineRule="exact"/>
        <w:rPr>
          <w:sz w:val="20"/>
          <w:szCs w:val="20"/>
          <w:color w:val="auto"/>
        </w:rPr>
      </w:pPr>
    </w:p>
    <w:p>
      <w:pPr>
        <w:jc w:val="both"/>
        <w:ind w:right="180" w:firstLine="615"/>
        <w:spacing w:after="0" w:line="259" w:lineRule="auto"/>
        <w:rPr>
          <w:sz w:val="20"/>
          <w:szCs w:val="20"/>
          <w:color w:val="auto"/>
        </w:rPr>
      </w:pPr>
      <w:r>
        <w:rPr>
          <w:rFonts w:ascii="Arial" w:cs="Arial" w:eastAsia="Arial" w:hAnsi="Arial"/>
          <w:sz w:val="18"/>
          <w:szCs w:val="18"/>
          <w:color w:val="auto"/>
        </w:rPr>
        <w:t>No award may be granted under the 2015 plan after the date that is ten years from the date of effectiveness of the Registration Statement on Form S-1 related to this offering. Our board of directors may amend, suspend, or terminate the 2015 plan at any time, except that stockholder approval will be required to comply with applicable law or stock market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Employee Stock Purchase Plan</w:t>
      </w:r>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December 2015, our board of directors adopted and our stockholders approved the 2015 ESPP, to become effective upon the closing of this offering. The 2015 ESPP will be administered by our board of directors or by a committee appointed by our board of directors. The 2015 ESPP initially provides participating employees with the opportunity to purchase up to an aggregate of 384,615 shares of our common stock. The number of shares of our common stock reserved for issuance under the 2015 ESPP will automatically increase on the first day of each fiscal year, commencing on January 1, 2017 continuing until, and including, the fiscal year ending December 31, 2026, in an amount equal to the least of (a) 769,230 shares of our common stock, (b) 1% of the total number of shares of our common stock outstanding on the first day of the applicable year, and (c) an amount determined by our board of directors.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All of our employees or employees of any designated subsidiary, as defined in the 2015 ESPP, are eligible to participate in the 2015 ESPP, provided that:</w:t>
      </w:r>
    </w:p>
    <w:p>
      <w:pPr>
        <w:spacing w:after="0" w:line="273" w:lineRule="exact"/>
        <w:rPr>
          <w:sz w:val="20"/>
          <w:szCs w:val="20"/>
          <w:color w:val="auto"/>
        </w:rPr>
      </w:pPr>
    </w:p>
    <w:p>
      <w:pPr>
        <w:ind w:left="1080" w:right="10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person is customarily employed by us or a designated subsidiary for more than 20 hours a week and for more than five months in a calendar year;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such person has been employed by us or by a designated subsidiary for at least six months prior to enrolling in the 2015 ESPP;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such person was our employee or an employee of a designated subsidiary on the first day of the applicable offering period under the 2015 ESPP.</w:t>
      </w:r>
    </w:p>
    <w:p>
      <w:pPr>
        <w:spacing w:after="0" w:line="248"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No employee may purchase shares of our common stock under the 2015 ESPP and any of our other employee stock purchase plans in excess of $25,000 of the fair market value of our common stock (as of the date of the option grant) in any calendar year. In addition, no employee may purchase shares of our common stock under the 2015 ESPP that would result in the employee owning 5% or more of the total combined voting power or value of our stock or the stock of any of our subsidiaries.</w:t>
      </w:r>
    </w:p>
    <w:p>
      <w:pPr>
        <w:spacing w:after="0" w:line="197" w:lineRule="exact"/>
        <w:rPr>
          <w:sz w:val="20"/>
          <w:szCs w:val="20"/>
          <w:color w:val="auto"/>
        </w:rPr>
      </w:pPr>
    </w:p>
    <w:p>
      <w:pPr>
        <w:ind w:right="40" w:firstLine="611"/>
        <w:spacing w:after="0" w:line="256" w:lineRule="auto"/>
        <w:rPr>
          <w:sz w:val="20"/>
          <w:szCs w:val="20"/>
          <w:color w:val="auto"/>
        </w:rPr>
      </w:pPr>
      <w:r>
        <w:rPr>
          <w:rFonts w:ascii="Arial" w:cs="Arial" w:eastAsia="Arial" w:hAnsi="Arial"/>
          <w:sz w:val="18"/>
          <w:szCs w:val="18"/>
          <w:color w:val="auto"/>
        </w:rPr>
        <w:t>We expect to make one or more offerings to our eligible employees to purchase stock under the 2015 ESPP beginning at such time as our board of directors may determine. Each offering will consist of a six-month offering period during which payroll deductions will be made and held for the purchase of our common stock at the end of the offering period. Our board of directors or a committee designated by the board of directors may, at their discretion, choose a different period of not more than 12 months for offerings.</w:t>
      </w:r>
    </w:p>
    <w:p>
      <w:pPr>
        <w:spacing w:after="0" w:line="197"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On the commencement date of each offering period, each eligible employee may authorize up to a maximum of 15% of his or her compensation to be deducted by us during the offering period. Each employee who continues to be a participant in the 2015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2015 ESPP, the purchase price shall be determined by our board of directors for each offering period and will be at least 85% of the applicable closing price of our common stock. If our board of directors does not make a determination of the purchase price, the purchase price will be 85% of the lesser of the closing price of our common stock on the first business day of the offering period or on the last business day of the offering period.</w:t>
      </w:r>
    </w:p>
    <w:p>
      <w:pPr>
        <w:spacing w:after="0" w:line="172"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An employee who is not a participant on the last day of the offering period is not entitled to purchase shares under the 2015 ESPP, and the employee's accumulated payroll deductions will be refunded. An employee's rights under the 2015 ESPP terminate upon voluntary withdrawal from an offering under the 2015 ESPP at any time, or when the employee ceases employment for any reason.</w:t>
      </w:r>
    </w:p>
    <w:p>
      <w:pPr>
        <w:spacing w:after="0" w:line="194" w:lineRule="exact"/>
        <w:rPr>
          <w:sz w:val="20"/>
          <w:szCs w:val="20"/>
          <w:color w:val="auto"/>
        </w:rPr>
      </w:pPr>
    </w:p>
    <w:p>
      <w:pPr>
        <w:ind w:right="180" w:firstLine="611"/>
        <w:spacing w:after="0" w:line="256" w:lineRule="auto"/>
        <w:rPr>
          <w:sz w:val="20"/>
          <w:szCs w:val="20"/>
          <w:color w:val="auto"/>
        </w:rPr>
      </w:pPr>
      <w:r>
        <w:rPr>
          <w:rFonts w:ascii="Arial" w:cs="Arial" w:eastAsia="Arial" w:hAnsi="Arial"/>
          <w:sz w:val="18"/>
          <w:szCs w:val="18"/>
          <w:color w:val="auto"/>
        </w:rPr>
        <w:t>We will be required to make equitable adjustments to the number and class of securities available under the 2015 ESPP, the share limitations under the 2015 ESPP, and the purchase price for an offering period under the 2015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97"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connection with a reorganization event, as defined in the 2015 ESPP, our board of directors or a committee of our board of directors may take any one or more of the following actions as to outstanding options to purchase shares of our common stock under the 2015 ESPP on such terms as our board or committee determines:</w:t>
      </w:r>
    </w:p>
    <w:p>
      <w:pPr>
        <w:spacing w:after="0" w:line="208" w:lineRule="exact"/>
        <w:rPr>
          <w:sz w:val="20"/>
          <w:szCs w:val="20"/>
          <w:color w:val="auto"/>
        </w:rPr>
      </w:pPr>
    </w:p>
    <w:p>
      <w:pPr>
        <w:ind w:left="1080" w:right="20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 that options shall be assumed, or substantially equivalent options shall be substituted, by the acquiring or succeeding corporation (or an affiliate thereof);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56"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our board or committee in such notice, which date shall not be less than ten days preceding the effective date of the reorganization event;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199"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(a)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acquisition price is treated as the fair market value of our common stock on the last day of the applicable offering period for purposes of determining the purchase price and where the number of shares that could be purchased is subject to the applicable limitations under the 2015 ESPP minus (b) the result of multiplying such number of shares by the purchase price; and/or</w:t>
      </w:r>
    </w:p>
    <w:p>
      <w:pPr>
        <w:spacing w:after="0" w:line="185"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options shall convert into the right to receive liquidation proceeds (net of the purchase price thereof).</w:t>
      </w:r>
    </w:p>
    <w:p>
      <w:pPr>
        <w:spacing w:after="0" w:line="186"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Our board of directors may at any time, and from time to time, amend or suspend the 2015 ESPP or any portion thereof. We will obtain stockholder approval for any amendment if such approval is required by Section 423 of the Internal Revenue Code. Further, our board of directors may not make any amendment that would cause the 2015 ESPP to fail to comply with Section 423 of the Internal Revenue Code. The 2015 ESPP may be terminated at any time by our board of directors. Upon termination, we will refund all amounts in the accounts of participating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Retirement Plan</w:t>
      </w:r>
    </w:p>
    <w:p>
      <w:pPr>
        <w:spacing w:after="0" w:line="231"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We maintain a 401(k) retirement plan that is intended to be a tax-qualified defined contribution plan under Section 401(k) of the Internal Revenue Code. In general, all of our employees are eligible to participate, beginning on the first day of the month following commencement of their employment. The 401(k) plan includes a salary deferral arrangement pursuant to which participants may elect to reduce their current compensation by up to the statutorily prescribed limit, equal to $18,000 in 2016, and have the amount of the reduction contributed to the 401(k)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31" w:lineRule="exact"/>
        <w:rPr>
          <w:sz w:val="20"/>
          <w:szCs w:val="20"/>
          <w:color w:val="auto"/>
        </w:rPr>
      </w:pPr>
    </w:p>
    <w:p>
      <w:pPr>
        <w:ind w:right="340" w:firstLine="615"/>
        <w:spacing w:after="0" w:line="259" w:lineRule="auto"/>
        <w:rPr>
          <w:sz w:val="20"/>
          <w:szCs w:val="20"/>
          <w:color w:val="auto"/>
        </w:rPr>
      </w:pPr>
      <w:r>
        <w:rPr>
          <w:rFonts w:ascii="Arial" w:cs="Arial" w:eastAsia="Arial" w:hAnsi="Arial"/>
          <w:sz w:val="18"/>
          <w:szCs w:val="18"/>
          <w:color w:val="auto"/>
        </w:rPr>
        <w:t>Our certificate of incorporation, which will become effective upon the closing of this offering, limits the liability of directors to the maximum extent permitted by Delaware law. Delaware law provides that directors of a corporation will not be personally liable for monetary damages for breaches of their fiduciary duties as directors, except liability for:</w:t>
      </w:r>
    </w:p>
    <w:p>
      <w:pPr>
        <w:spacing w:after="0" w:line="221"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38" w:lineRule="exact"/>
        <w:rPr>
          <w:rFonts w:ascii="Arial" w:cs="Arial" w:eastAsia="Arial" w:hAnsi="Arial"/>
          <w:sz w:val="18"/>
          <w:szCs w:val="18"/>
          <w:color w:val="auto"/>
        </w:rPr>
      </w:pPr>
    </w:p>
    <w:p>
      <w:pPr>
        <w:ind w:left="5520" w:right="2780" w:hanging="4972"/>
        <w:spacing w:after="0" w:line="519" w:lineRule="auto"/>
        <w:tabs>
          <w:tab w:leader="none" w:pos="10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 -180-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repurchases, redemptions, or other distributions;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80" w:firstLine="611"/>
        <w:spacing w:after="0" w:line="259" w:lineRule="auto"/>
        <w:rPr>
          <w:sz w:val="20"/>
          <w:szCs w:val="20"/>
          <w:color w:val="auto"/>
        </w:rPr>
      </w:pPr>
      <w:r>
        <w:rPr>
          <w:rFonts w:ascii="Arial" w:cs="Arial" w:eastAsia="Arial" w:hAnsi="Arial"/>
          <w:sz w:val="18"/>
          <w:szCs w:val="18"/>
          <w:color w:val="auto"/>
        </w:rPr>
        <w:t>These limitations do not apply to liabilities arising under federal securities laws and do not affect the availability of equitable remedies, including injunctive relief or rescission. If Delaware law is amended to authorize the further elimination or limiting of a director, then the liability of our directors will be eliminated or limited to the fullest extent permitted by Delaware law as so amended.</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permitted by Delaware law, our certificate of incorporation that will be effective as of the closing date of this offering will also provide that:</w:t>
      </w:r>
    </w:p>
    <w:p>
      <w:pPr>
        <w:spacing w:after="0" w:line="262"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will indemnify our directors and officers to the fullest extent permitted by law;</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may indemnify our other employees and other agents to the same extent that we indemnify our officers and directors, unless otherwise determined by our board of directors; and</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will advance expenses to our directors and officers in connection with legal proceedings in connection with a legal proceeding to the fullest extent permitted by law.</w:t>
      </w:r>
    </w:p>
    <w:p>
      <w:pPr>
        <w:spacing w:after="0" w:line="186"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The indemnification provisions contained in our certificate of incorporation that will be effective as of the closing date of this offering are not exclusive. In addition, the Board has approved our entry into indemnification agreements with our directors and our executive officers, including our named executive officers. These indemnification agreements require us, among other things, to indemnify each such director for some expenses, including attorneys' fees, judgments, fines, and settlement amounts incurred by him or her in any action or proceeding arising out of his or her service as one of our directors or as one of our officers.</w:t>
      </w:r>
    </w:p>
    <w:p>
      <w:pPr>
        <w:spacing w:after="0" w:line="197" w:lineRule="exact"/>
        <w:rPr>
          <w:sz w:val="20"/>
          <w:szCs w:val="20"/>
          <w:color w:val="auto"/>
        </w:rPr>
      </w:pPr>
    </w:p>
    <w:p>
      <w:pPr>
        <w:ind w:right="40" w:firstLine="611"/>
        <w:spacing w:after="0" w:line="256" w:lineRule="auto"/>
        <w:rPr>
          <w:sz w:val="20"/>
          <w:szCs w:val="20"/>
          <w:color w:val="auto"/>
        </w:rPr>
      </w:pPr>
      <w:r>
        <w:rPr>
          <w:rFonts w:ascii="Arial" w:cs="Arial" w:eastAsia="Arial" w:hAnsi="Arial"/>
          <w:sz w:val="18"/>
          <w:szCs w:val="18"/>
          <w:color w:val="auto"/>
        </w:rPr>
        <w:t>We believe that these provisions and agreements are necessary to attract and retain qualified persons as directors and officers. Insofar as indemnification for liabilities arising under the Securities Act of 1933, as amended, or the Securities Act, may be permitted to directors, officers, or persons controlling our company pursuant to the foregoing provisions, we understand that in the opinion of the SEC such indemnification is against public policy as expressed in the Securities Act and is therefore unenforceable.</w:t>
      </w:r>
    </w:p>
    <w:p>
      <w:pPr>
        <w:spacing w:after="0" w:line="197"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In addition, we maintain standard policies of insurance under which coverage is provided to our directors and officers against losses arising from claims made by reason of breach of duty or other wrongful act, and to us with respect to payments which may be made by us to such directors and officers pursuant to the above indemnification provisions or otherwise as a matter of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40" w:firstLine="611"/>
        <w:spacing w:after="0" w:line="294" w:lineRule="auto"/>
        <w:rPr>
          <w:sz w:val="20"/>
          <w:szCs w:val="20"/>
          <w:color w:val="auto"/>
        </w:rPr>
      </w:pPr>
      <w:r>
        <w:rPr>
          <w:rFonts w:ascii="Arial" w:cs="Arial" w:eastAsia="Arial" w:hAnsi="Arial"/>
          <w:sz w:val="16"/>
          <w:szCs w:val="16"/>
          <w:color w:val="auto"/>
        </w:rPr>
        <w:t>We have not provided any compensation to our non-employee directors since inception, although we reimburse our non-employee directors for reasonable travel and out-of-pocket expenses incurred in connection with attending board of director and committee meetings. There were no outstanding equity awards held by our non-employee directors as of December 31, 2015. In connection with Dr. Mendlein's appointment to our board of directors, we have agreed to grant to Dr. Mendlein an option to purchase 96,153 shares of common stock, which option will vest in equal monthly installments over three years. We expect that our board of directors will grant this option to Dr. Mendlein upon the commencement of trading of our common stock on the NASDAQ Global Market.</w:t>
      </w:r>
    </w:p>
    <w:p>
      <w:pPr>
        <w:spacing w:after="0" w:line="170" w:lineRule="exact"/>
        <w:rPr>
          <w:sz w:val="20"/>
          <w:szCs w:val="20"/>
          <w:color w:val="auto"/>
        </w:rPr>
      </w:pPr>
    </w:p>
    <w:p>
      <w:pPr>
        <w:ind w:right="980" w:firstLine="611"/>
        <w:spacing w:after="0" w:line="332" w:lineRule="auto"/>
        <w:rPr>
          <w:sz w:val="20"/>
          <w:szCs w:val="20"/>
          <w:color w:val="auto"/>
        </w:rPr>
      </w:pPr>
      <w:r>
        <w:rPr>
          <w:rFonts w:ascii="Arial" w:cs="Arial" w:eastAsia="Arial" w:hAnsi="Arial"/>
          <w:sz w:val="16"/>
          <w:szCs w:val="16"/>
          <w:color w:val="auto"/>
        </w:rPr>
        <w:t>We do not pay any compensation to our President and Chief Executive Officer in connection with her service on our board of directors. The compensation that we pay to our President and Chief Executive Officer is discussed earlier in this "Executive Compensation" section.</w:t>
      </w:r>
    </w:p>
    <w:p>
      <w:pPr>
        <w:spacing w:after="0" w:line="139"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December 2015, our board of directors approved a director compensation program to be effective on the effective date of the Registration Statement. Under this director compensation program, we will pay our non-employee directors a cash retainer for service on the board of directors and for service on each committee on which the director is a member. The chairman of the board and of each committee will receive higher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and no fee shall be payable in respect of any period prior to the effective date of the Registration Statement. The fees paid to non-employee directors for service on the board of directors and for service on each committee of the board of directors on which the director is a member are as follows: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Member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Chairman</w:t>
            </w: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Annual Fee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Annual Fee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Audit Committee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We also will continue to reimburse our non-employee directors for reasonable travel and other expenses incurred in connection with attending our board of director and committee meetings.</w:t>
      </w:r>
    </w:p>
    <w:p>
      <w:pPr>
        <w:spacing w:after="0" w:line="186"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In addition, under our director compensation program to be effective on the effective date of the Registration Statement, each non-employee director will receive under the 2015 plan, upon his or her initial election to our board of directors, an option to purchase 23,076 shares of our common stock. Each of these options will vest as to one-third of the shares of our common stock underlying such option on each anniversary of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under the 2015 plan, an option to purchase 11,538 shares of our common stock. Each of these options will vest in full on the one-year anniversary of the grant date unless otherwise provided at the time of grant, subject to the non-employee director's continued service as a director. All options issued to our non-employee directors under our director compensation program will be issued at exercise prices equal to the fair market value of our common stock on the date of grant and will become exercisable in full upon a change in control of our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1" w:lineRule="exact"/>
        <w:rPr>
          <w:sz w:val="20"/>
          <w:szCs w:val="20"/>
          <w:color w:val="auto"/>
        </w:rPr>
      </w:pPr>
    </w:p>
    <w:p>
      <w:pPr>
        <w:jc w:val="both"/>
        <w:ind w:right="200" w:firstLine="615"/>
        <w:spacing w:after="0" w:line="259" w:lineRule="auto"/>
        <w:rPr>
          <w:sz w:val="20"/>
          <w:szCs w:val="20"/>
          <w:color w:val="auto"/>
        </w:rPr>
      </w:pPr>
      <w:r>
        <w:rPr>
          <w:rFonts w:ascii="Arial" w:cs="Arial" w:eastAsia="Arial" w:hAnsi="Arial"/>
          <w:sz w:val="18"/>
          <w:szCs w:val="18"/>
          <w:color w:val="auto"/>
        </w:rPr>
        <w:t>Since our inception in September 2013, we have engaged in the following transactions with our directors, executive officers, and holders of more than 5% of our voting securities and affiliates of our directors, executive officers, and 5% stockholders. We believe that all of the transactions described below were made on terms no less favorable to us than could have been obtained from unaffiliated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w:t>
      </w:r>
    </w:p>
    <w:p>
      <w:pPr>
        <w:spacing w:after="0" w:line="231"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Pursuant to an arrangement with Third Rock Ventures, LLC, an affiliate of one of our 5% stockholders and of one of our directors, from our inception through September 30, 2015, we have paid Third Rock Ventures, LLC an aggregate of $0.5 million in connection with certain consulting services provided to the company by employees of Third Rock Ventures, LLC. Pursuant to an arrangement with Polaris Venture Partners, an affiliate of our 5% stockholder and of one of our directors, from our inception through September 30, 2015, we have paid to Polaris Venture Partners an aggregate of $0.1 million in connection with certain consulting services provided to us by employees of Polaris Venture Partners.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 Financing</w:t>
      </w:r>
    </w:p>
    <w:p>
      <w:pPr>
        <w:spacing w:after="0" w:line="231" w:lineRule="exact"/>
        <w:rPr>
          <w:sz w:val="20"/>
          <w:szCs w:val="20"/>
          <w:color w:val="auto"/>
        </w:rPr>
      </w:pPr>
    </w:p>
    <w:p>
      <w:pPr>
        <w:ind w:firstLine="615"/>
        <w:spacing w:after="0" w:line="284" w:lineRule="auto"/>
        <w:rPr>
          <w:sz w:val="20"/>
          <w:szCs w:val="20"/>
          <w:color w:val="auto"/>
        </w:rPr>
      </w:pPr>
      <w:r>
        <w:rPr>
          <w:rFonts w:ascii="Arial" w:cs="Arial" w:eastAsia="Arial" w:hAnsi="Arial"/>
          <w:sz w:val="16"/>
          <w:szCs w:val="16"/>
          <w:color w:val="auto"/>
        </w:rPr>
        <w:t>In closings that occurred in November 2013, May 2014, July 2014, October 2014, and November 2014, we issued and sold an aggregate of 21,260,000 shares of our Series A-1 preferred stock at a price per share of $1.00, for an aggregate purchase price of $21.3 million. In a closing that occurred in June 2015, we issued and sold an aggregate of 16,890,699 shares of our Series A-2 preferred stock at a price per share of $1.3019, for an aggregate purchase price of</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$22.0 million. The following table sets forth the number of shares of our Series A-1 and Series A-2 preferred stock purchased by our directors, executive officers and 5% stockholders and their respective affiliates and the aggregate purchase price for such shares.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Shares of</w:t>
            </w: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Series A-1</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Series A-2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Purchase Price</w:t>
            </w: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for Series A-1</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for Series A-2</w:t>
            </w:r>
          </w:p>
        </w:tc>
      </w:tr>
      <w:tr>
        <w:trPr>
          <w:trHeight w:val="161"/>
        </w:trPr>
        <w:tc>
          <w:tcPr>
            <w:tcW w:w="20" w:type="dxa"/>
            <w:vAlign w:val="bottom"/>
          </w:tcPr>
          <w:p>
            <w:pPr>
              <w:spacing w:after="0"/>
              <w:rPr>
                <w:sz w:val="14"/>
                <w:szCs w:val="14"/>
                <w:color w:val="auto"/>
              </w:rPr>
            </w:pPr>
          </w:p>
        </w:tc>
        <w:tc>
          <w:tcPr>
            <w:tcW w:w="3920" w:type="dxa"/>
            <w:vAlign w:val="bottom"/>
            <w:tcBorders>
              <w:bottom w:val="single" w:sz="8" w:color="auto"/>
            </w:tcBorders>
            <w:gridSpan w:val="2"/>
          </w:tcPr>
          <w:p>
            <w:pPr>
              <w:ind w:left="178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Katrine S. Bosley</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249,999.96</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Flagship Ventures Fund IV, L.P.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5,302,834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5,302,834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4,204,240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5,473,500.06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Flagship Ventures Fund IV-Rx, L.P.</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1,325,708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1,325,708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1,051,060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1,368,375.02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Polaris Venture Partners VI, L.P.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6,262,574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6,262,574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4,965,150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6,464,128.79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Polaris Venture Partners Founders' Fund VI, L.P.</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365,968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290,150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377,746.29</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Third Rock Ventures III, L.P.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6,628,542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6,628,542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5,255,300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6,841,875.07</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Ms. Bosley is our 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231"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In August 2015, we issued and sold an aggregate of 26,666,660 shares of our Series B preferred stock at a price per share of $4.50, for an aggregate purchase price of $120.0 million. The following table sets forth the number of shares of our Series B preferred stock purchased by our directors,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and 5% stockholders and their respective affiliates and the aggregate purchase price for such shares.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Purchase Price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bng0, LLC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6,888,888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30,999,996.00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Deerfield Healthcare Innovations Fund, L.P.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2,222,222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9,999,999.00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Deerfield Private Design Fund III, L.P.</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2,222,222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9,999,999.00</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320" w:type="dxa"/>
            <w:vAlign w:val="bottom"/>
            <w:gridSpan w:val="2"/>
          </w:tcPr>
          <w:p>
            <w:pPr>
              <w:spacing w:after="0" w:line="256" w:lineRule="exact"/>
              <w:rPr>
                <w:sz w:val="20"/>
                <w:szCs w:val="20"/>
                <w:color w:val="auto"/>
              </w:rPr>
            </w:pPr>
            <w:r>
              <w:rPr>
                <w:rFonts w:ascii="Arial" w:cs="Arial" w:eastAsia="Arial" w:hAnsi="Arial"/>
                <w:sz w:val="18"/>
                <w:szCs w:val="18"/>
                <w:color w:val="auto"/>
              </w:rPr>
              <w:t>Entities affiliated with FMR LLC</w:t>
            </w:r>
            <w:r>
              <w:rPr>
                <w:rFonts w:ascii="Arial" w:cs="Arial" w:eastAsia="Arial" w:hAnsi="Arial"/>
                <w:sz w:val="29"/>
                <w:szCs w:val="29"/>
                <w:color w:val="auto"/>
                <w:vertAlign w:val="superscript"/>
              </w:rPr>
              <w:t>(1)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4,444,444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19,999,998.00</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Viking Global Opportunities Illiquid Investments Sub-Master LP</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4,444,444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19,999,998.00</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320" w:type="dxa"/>
            <w:vAlign w:val="bottom"/>
            <w:gridSpan w:val="2"/>
          </w:tcPr>
          <w:p>
            <w:pPr>
              <w:spacing w:after="0" w:line="256" w:lineRule="exact"/>
              <w:rPr>
                <w:sz w:val="20"/>
                <w:szCs w:val="20"/>
                <w:color w:val="auto"/>
              </w:rPr>
            </w:pPr>
            <w:r>
              <w:rPr>
                <w:rFonts w:ascii="Arial" w:cs="Arial" w:eastAsia="Arial" w:hAnsi="Arial"/>
                <w:sz w:val="18"/>
                <w:szCs w:val="18"/>
                <w:color w:val="auto"/>
              </w:rPr>
              <w:t>Entities affiliated with T. Rowe Price Associates, Inc.</w:t>
            </w:r>
            <w:r>
              <w:rPr>
                <w:rFonts w:ascii="Arial" w:cs="Arial" w:eastAsia="Arial" w:hAnsi="Arial"/>
                <w:sz w:val="29"/>
                <w:szCs w:val="29"/>
                <w:color w:val="auto"/>
                <w:vertAlign w:val="superscript"/>
              </w:rPr>
              <w:t>(2)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2,222,222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9,999,999.00</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Flagship Ventures Fund IV, L.P.</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3,600,004.50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Flagship Ventures Fund IV-Rx, L.P.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199,999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899,995.50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Polaris Venture Partners VI, L.P.</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209,953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944,788.50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Polaris Venture Partners Founders' Fund VI, L.P.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12,269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55,210.50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222,222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999,999.00</w:t>
            </w:r>
          </w:p>
        </w:tc>
        <w:tc>
          <w:tcPr>
            <w:tcW w:w="160" w:type="dxa"/>
            <w:vAlign w:val="bottom"/>
            <w:shd w:val="clear" w:color="auto" w:fill="CCEEFF"/>
          </w:tcPr>
          <w:p>
            <w:pPr>
              <w:spacing w:after="0"/>
              <w:rPr>
                <w:sz w:val="18"/>
                <w:szCs w:val="18"/>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Katrine S. Bosley</w:t>
            </w:r>
            <w:r>
              <w:rPr>
                <w:rFonts w:ascii="Arial" w:cs="Arial" w:eastAsia="Arial" w:hAnsi="Arial"/>
                <w:sz w:val="29"/>
                <w:szCs w:val="29"/>
                <w:color w:val="auto"/>
                <w:vertAlign w:val="superscript"/>
              </w:rPr>
              <w:t>(3)</w:t>
            </w:r>
          </w:p>
        </w:tc>
        <w:tc>
          <w:tcPr>
            <w:tcW w:w="42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11,111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49,999.50</w:t>
            </w:r>
          </w:p>
        </w:tc>
        <w:tc>
          <w:tcPr>
            <w:tcW w:w="160" w:type="dxa"/>
            <w:vAlign w:val="bottom"/>
          </w:tcPr>
          <w:p>
            <w:pPr>
              <w:spacing w:after="0"/>
              <w:rPr>
                <w:sz w:val="24"/>
                <w:szCs w:val="24"/>
                <w:color w:val="auto"/>
              </w:rPr>
            </w:pPr>
          </w:p>
        </w:tc>
      </w:tr>
    </w:tbl>
    <w:p>
      <w:pPr>
        <w:spacing w:after="0" w:line="221" w:lineRule="exact"/>
        <w:rPr>
          <w:sz w:val="20"/>
          <w:szCs w:val="20"/>
          <w:color w:val="auto"/>
        </w:rPr>
      </w:pPr>
    </w:p>
    <w:p>
      <w:pPr>
        <w:ind w:left="1680" w:hanging="531"/>
        <w:spacing w:after="0" w:line="283" w:lineRule="auto"/>
        <w:tabs>
          <w:tab w:leader="none" w:pos="16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Consists of (i) 458,236 shares of Series B preferred stock purchased by Fidelity Securities Fund: Fidelity OTC Portfolio, (ii) 7,421 shares of Series B preferred stock purchased by Fidelity OTC Commingled Pool, (iii) 33,344 shares of Series B preferred stock purchased by Pyramis Lifecycle Blue Chip Growth Commingled Pool, (iv) 718,519 shares of Series B preferred stock purchased by Fidelity Securities Fund: Fidelity Blue Chip Growth Fund, (v) 250,353 shares of Series B preferred stock purchased by Fidelity Securities Fund: Fidelity Series Blue Chip Growth Fund, (vi) 4,788 shares of Series B preferred stock purchased by Fidelity Blue Chip Growth Commingled Pool,</w:t>
      </w:r>
    </w:p>
    <w:p>
      <w:pPr>
        <w:spacing w:after="0" w:line="2" w:lineRule="exact"/>
        <w:rPr>
          <w:rFonts w:ascii="Arial" w:cs="Arial" w:eastAsia="Arial" w:hAnsi="Arial"/>
          <w:sz w:val="16"/>
          <w:szCs w:val="16"/>
          <w:color w:val="auto"/>
        </w:rPr>
      </w:pPr>
    </w:p>
    <w:p>
      <w:pPr>
        <w:ind w:left="1680" w:right="100" w:firstLine="9"/>
        <w:spacing w:after="0" w:line="281" w:lineRule="auto"/>
        <w:tabs>
          <w:tab w:leader="none" w:pos="202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428,184 shares of Series B preferred stock purchased by Fidelity Growth Company Commingled Pool, (viii) 391,509 shares of Series B preferred stock purchased by Fidelity Mt. Vernon Street Trust: Fidelity Series Growth Company Fund, (ix) 1,424,062 shares of Series B preferred stock purchased by Fidelity Mt. Vernon Street Trust: Fidelity Growth Company Fund, (x) 588,811 shares of Series B preferred stock purchased by Fidelity Select Portfolios: Biotechnology Portfolio, and (xi) 139,217 shares of Series B preferred stock purchased by Fidelity Advisor Series VII: Fidelity Advisor Biotechnology Fund.</w:t>
      </w:r>
    </w:p>
    <w:p>
      <w:pPr>
        <w:spacing w:after="0" w:line="23" w:lineRule="exact"/>
        <w:rPr>
          <w:rFonts w:ascii="Arial" w:cs="Arial" w:eastAsia="Arial" w:hAnsi="Arial"/>
          <w:sz w:val="16"/>
          <w:szCs w:val="16"/>
          <w:color w:val="auto"/>
        </w:rPr>
      </w:pPr>
    </w:p>
    <w:p>
      <w:pPr>
        <w:ind w:left="1680" w:right="180" w:hanging="531"/>
        <w:spacing w:after="0" w:line="283" w:lineRule="auto"/>
        <w:tabs>
          <w:tab w:leader="none" w:pos="16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Consists of (i) 909,096 shares of Series B preferred stock purchased by T. Rowe Price Health Sciences Fund, Inc., (ii) 50,916 shares of Series B preferred stock purchased by TD Mutual Funds—TD Health Sciences Fund, (iii) 55,131 shares of Series B preferred stock purchased by VALIC Company I—Health Sciences Fund, (iv) 46,929 shares of Series B preferred stock purchased by T. Rowe Price Health Sciences Portfolio, (v) 23,787 shares of Series B preferred stock purchased by John Hancock Variable Insurance Trust—Health Sciences Trust, (vi) 25,252 shares of Series B preferred stock purchased by John Hancock Funds II—Health Sciences Fund,</w:t>
      </w:r>
    </w:p>
    <w:p>
      <w:pPr>
        <w:spacing w:after="0" w:line="2" w:lineRule="exact"/>
        <w:rPr>
          <w:rFonts w:ascii="Arial" w:cs="Arial" w:eastAsia="Arial" w:hAnsi="Arial"/>
          <w:sz w:val="16"/>
          <w:szCs w:val="16"/>
          <w:color w:val="auto"/>
        </w:rPr>
      </w:pPr>
    </w:p>
    <w:p>
      <w:pPr>
        <w:jc w:val="both"/>
        <w:ind w:left="1680" w:firstLine="9"/>
        <w:spacing w:after="0" w:line="250" w:lineRule="auto"/>
        <w:tabs>
          <w:tab w:leader="none" w:pos="202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1,008,617 shares of Series B preferred stock purchased by T. Rowe Price New Horizons Fund, Inc., (viii) 100,443 shares of Series B preferred stock purchased by T. Rowe Price New Horizons Trust, and (ix) 2,051 shares of Series B preferred stock purchased by T. Rowe Price U.S. Equities Trust.</w:t>
      </w:r>
    </w:p>
    <w:p>
      <w:pPr>
        <w:spacing w:after="0" w:line="8" w:lineRule="exact"/>
        <w:rPr>
          <w:rFonts w:ascii="Arial" w:cs="Arial" w:eastAsia="Arial" w:hAnsi="Arial"/>
          <w:sz w:val="18"/>
          <w:szCs w:val="18"/>
          <w:color w:val="auto"/>
        </w:rPr>
      </w:pPr>
    </w:p>
    <w:p>
      <w:pPr>
        <w:ind w:left="1680" w:hanging="531"/>
        <w:spacing w:after="0"/>
        <w:tabs>
          <w:tab w:leader="none" w:pos="1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Ms. Bosley is our President and Chief Executive Officer.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Affiliations</w:t>
      </w:r>
    </w:p>
    <w:p>
      <w:pPr>
        <w:spacing w:after="0" w:line="231"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Some of our directors are affiliated with and serve on our board of directors as representatives of entities which beneficially own or owned 5% or more of our common stock, as indicated in the table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Director</w:t>
            </w:r>
          </w:p>
        </w:tc>
        <w:tc>
          <w:tcPr>
            <w:tcW w:w="160" w:type="dxa"/>
            <w:vAlign w:val="bottom"/>
          </w:tcPr>
          <w:p>
            <w:pPr>
              <w:spacing w:after="0"/>
              <w:rPr>
                <w:sz w:val="14"/>
                <w:szCs w:val="14"/>
                <w:color w:val="auto"/>
              </w:rPr>
            </w:pPr>
          </w:p>
        </w:tc>
        <w:tc>
          <w:tcPr>
            <w:tcW w:w="346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Principal Stockholder</w:t>
            </w: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Kevin Bitterman, Ph.D.</w:t>
            </w: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Polaris Venture Partners VI, L.P. and affiliate</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Alexis Borisy</w:t>
            </w: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Third Rock Ventures III, L.P.</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Douglas G. Cole, M.D.</w:t>
            </w: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Flagship Ventures Fund IV, L.P. and affiliate</w:t>
            </w: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Boris Nikolic, M.D.</w:t>
            </w: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bng0, LLC</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31" w:lineRule="exact"/>
        <w:rPr>
          <w:sz w:val="20"/>
          <w:szCs w:val="20"/>
          <w:color w:val="auto"/>
        </w:rPr>
      </w:pPr>
    </w:p>
    <w:p>
      <w:pPr>
        <w:ind w:right="180" w:firstLine="611"/>
        <w:spacing w:after="0" w:line="294" w:lineRule="auto"/>
        <w:rPr>
          <w:sz w:val="20"/>
          <w:szCs w:val="20"/>
          <w:color w:val="auto"/>
        </w:rPr>
      </w:pPr>
      <w:r>
        <w:rPr>
          <w:rFonts w:ascii="Arial" w:cs="Arial" w:eastAsia="Arial" w:hAnsi="Arial"/>
          <w:sz w:val="16"/>
          <w:szCs w:val="16"/>
          <w:color w:val="auto"/>
        </w:rPr>
        <w:t>We are a party to an amended and restated investors' rights agreement, or the Investors' Rights Agreement, dated as of August 4, 2015, with holders of our preferred stock, including our 5% stockholders and their affiliates and entities affiliated with our officers and directors. The Investors' Rights Agreement provides these holders the right, following the completion of this offering, to demand that we file a registration statement or request that their shares be covered by a registration statement that we are otherwise filing. See "Description of Capital Stock—Registration Rights" for additional information regarding these registration rights. Other provisions of the Investors' Rights Agreement will terminate upon the completion of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See the "Executive and Director Compensation—Agreements with our Executive Officers" section of this prospectus for a further discussion of these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231" w:lineRule="exact"/>
        <w:rPr>
          <w:sz w:val="20"/>
          <w:szCs w:val="20"/>
          <w:color w:val="auto"/>
        </w:rPr>
      </w:pPr>
    </w:p>
    <w:p>
      <w:pPr>
        <w:ind w:right="120" w:firstLine="615"/>
        <w:spacing w:after="0" w:line="290" w:lineRule="auto"/>
        <w:rPr>
          <w:sz w:val="20"/>
          <w:szCs w:val="20"/>
          <w:color w:val="auto"/>
        </w:rPr>
      </w:pPr>
      <w:r>
        <w:rPr>
          <w:rFonts w:ascii="Arial" w:cs="Arial" w:eastAsia="Arial" w:hAnsi="Arial"/>
          <w:sz w:val="16"/>
          <w:szCs w:val="16"/>
          <w:color w:val="auto"/>
        </w:rPr>
        <w:t>Our certificate of incorporation that will be effective upon this offering provides that we will indemnify our directors and officers to the fullest extent permitted by Delaware law. In addition, we have entered into indemnification agreements with certain of our current and former directors that may be broader in scope than the specific indemnification provisions contained in the General Corporation Law of the State of Delaware, or the DGCL. In the case of those of our directors who are affiliated with certain of our 5% stockholders or their affiliates, the indemnification agreements also provide for indemnification of the applicable 5% stockholder or affiliate. Our board of directors has approved a form of indemnification agreement to be executed by each of our directors and executive officers, which agreement may be broader in scope than the specific indemnification provisions of the DGCL. See the "Executive and Director Compensation—Limitation of Liability and Indemnification" section of this prospectus for a further discussion of these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31"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We have adopted a written related person transaction policy, to be effective on the effective date of the Registration Statement on Form S-1 related to this offering, to set forth policies and procedures for the review and approval or ratification of related person transactions. This policy will cover any transaction, arrangement, or relationship, or any series of similar transactions, arrangements, or relationships, in which we were or are to be a participant, the amount involved exceeds $120,000, and a related person had or will have a direct or indirect material interest, including, without limitation, purchases of goods or services by or from the related person or entities in which the related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 has a material interest, indebtedness, guarantees of indebtedness, and employment by us of a related person.</w:t>
      </w:r>
    </w:p>
    <w:p>
      <w:pPr>
        <w:spacing w:after="0" w:line="225" w:lineRule="exact"/>
        <w:rPr>
          <w:sz w:val="20"/>
          <w:szCs w:val="20"/>
          <w:color w:val="auto"/>
        </w:rPr>
      </w:pPr>
    </w:p>
    <w:p>
      <w:pPr>
        <w:ind w:right="300" w:firstLine="615"/>
        <w:spacing w:after="0" w:line="306" w:lineRule="auto"/>
        <w:rPr>
          <w:sz w:val="20"/>
          <w:szCs w:val="20"/>
          <w:color w:val="auto"/>
        </w:rPr>
      </w:pPr>
      <w:r>
        <w:rPr>
          <w:rFonts w:ascii="Arial" w:cs="Arial" w:eastAsia="Arial" w:hAnsi="Arial"/>
          <w:sz w:val="16"/>
          <w:szCs w:val="16"/>
          <w:color w:val="auto"/>
        </w:rPr>
        <w:t>Our related person transaction policy contains exceptions for any transaction or interest that is not considered a related person transaction under SEC rules as in effect from time to time. In addition, the policy provides that an interest arising solely from a related person's position as an executive officer of another entity that is a participant in a transaction with us will not be subject to the policy if each of the following conditions is met:</w:t>
      </w:r>
    </w:p>
    <w:p>
      <w:pPr>
        <w:spacing w:after="0" w:line="174"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related person and all other related persons own in the aggregate less than a 10% equity interest in such entity;</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related person and his or her immediate family members are not involved in the negotiation of the terms of the transaction with us and do not receive any special benefits as a result of the transaction; and</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amount involved in the transaction equals less than the greater of $200,000 or 5% of the annual gross revenue of the company receiving payment under the transaction.</w:t>
      </w:r>
    </w:p>
    <w:p>
      <w:pPr>
        <w:spacing w:after="0" w:line="186" w:lineRule="exact"/>
        <w:rPr>
          <w:sz w:val="20"/>
          <w:szCs w:val="20"/>
          <w:color w:val="auto"/>
        </w:rPr>
      </w:pPr>
    </w:p>
    <w:p>
      <w:pPr>
        <w:ind w:right="60" w:firstLine="611"/>
        <w:spacing w:after="0" w:line="289" w:lineRule="auto"/>
        <w:rPr>
          <w:sz w:val="20"/>
          <w:szCs w:val="20"/>
          <w:color w:val="auto"/>
        </w:rPr>
      </w:pPr>
      <w:r>
        <w:rPr>
          <w:rFonts w:ascii="Arial" w:cs="Arial" w:eastAsia="Arial" w:hAnsi="Arial"/>
          <w:sz w:val="16"/>
          <w:szCs w:val="16"/>
          <w:color w:val="auto"/>
        </w:rPr>
        <w:t>The policy provides that any related person transaction proposed to be entered into by us must be reported to our Chief Financial Officer and will be reviewed and approved by our audit committee in accordance with the terms of the policy, prior to effectiveness or consummation of the transaction whenever practicable. The policy provides that if our Chief Financial Officer determines that advance approval of a related person transaction is not practicable under the circumstances, our audit committee will review and, in its discretion, may ratify the related person transaction at the next meeting of the audit committee following such transaction or following the date that such transaction comes to the attention of the Chief Financial Officer. The policy also provides that alternatively, our Chief Financial Officer may present a related person transaction arising in the time period between meetings of the audit committee to the chair of and audit committee, who will review and may approve the related person transaction, subject to ratification by the audit committee at the next meeting of the audit committee.</w:t>
      </w:r>
    </w:p>
    <w:p>
      <w:pPr>
        <w:spacing w:after="0" w:line="172" w:lineRule="exact"/>
        <w:rPr>
          <w:sz w:val="20"/>
          <w:szCs w:val="20"/>
          <w:color w:val="auto"/>
        </w:rPr>
      </w:pPr>
    </w:p>
    <w:p>
      <w:pPr>
        <w:jc w:val="both"/>
        <w:ind w:right="360" w:firstLine="615"/>
        <w:spacing w:after="0" w:line="306" w:lineRule="auto"/>
        <w:rPr>
          <w:sz w:val="20"/>
          <w:szCs w:val="20"/>
          <w:color w:val="auto"/>
        </w:rPr>
      </w:pPr>
      <w:r>
        <w:rPr>
          <w:rFonts w:ascii="Arial" w:cs="Arial" w:eastAsia="Arial" w:hAnsi="Arial"/>
          <w:sz w:val="16"/>
          <w:szCs w:val="16"/>
          <w:color w:val="auto"/>
        </w:rPr>
        <w:t>In addition, the policy provides that any related person transaction previously approved by the audit committee or otherwise already existing that is ongoing in nature will be reviewed by the audit committee annually to ensure that such related person transaction has been conducted in accordance with the previous approval granted by the audit committee, if any, and that all required disclosures regarding the related person transaction are made.</w:t>
      </w:r>
    </w:p>
    <w:p>
      <w:pPr>
        <w:spacing w:after="0" w:line="161"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policy provides that transactions involving compensation of executive officers will be reviewed and approved by our compensation committee in the manner to be specified in the charter of the compensation committee.</w:t>
      </w:r>
    </w:p>
    <w:p>
      <w:pPr>
        <w:spacing w:after="0" w:line="186" w:lineRule="exact"/>
        <w:rPr>
          <w:sz w:val="20"/>
          <w:szCs w:val="20"/>
          <w:color w:val="auto"/>
        </w:rPr>
      </w:pPr>
    </w:p>
    <w:p>
      <w:pPr>
        <w:jc w:val="both"/>
        <w:ind w:right="220" w:firstLine="605"/>
        <w:spacing w:after="0" w:line="259" w:lineRule="auto"/>
        <w:rPr>
          <w:sz w:val="20"/>
          <w:szCs w:val="20"/>
          <w:color w:val="auto"/>
        </w:rPr>
      </w:pPr>
      <w:r>
        <w:rPr>
          <w:rFonts w:ascii="Arial" w:cs="Arial" w:eastAsia="Arial" w:hAnsi="Arial"/>
          <w:sz w:val="18"/>
          <w:szCs w:val="18"/>
          <w:color w:val="auto"/>
        </w:rPr>
        <w:t>A related person transaction reviewed under this policy will be considered approved or ratified if it is authorized by the audit committee in accordance with the standards set forth in the policy after full disclosure of the related person's interests in the transaction. As appropriate for the circumstances, the policy provides that the audit committee will review and consider:</w:t>
      </w:r>
    </w:p>
    <w:p>
      <w:pPr>
        <w:spacing w:after="0" w:line="208"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52" w:lineRule="exact"/>
        <w:rPr>
          <w:rFonts w:ascii="Arial" w:cs="Arial" w:eastAsia="Arial" w:hAnsi="Arial"/>
          <w:sz w:val="18"/>
          <w:szCs w:val="18"/>
          <w:color w:val="auto"/>
        </w:rPr>
      </w:pPr>
    </w:p>
    <w:p>
      <w:pPr>
        <w:ind w:left="5520" w:right="4260" w:hanging="4972"/>
        <w:spacing w:after="0" w:line="519" w:lineRule="auto"/>
        <w:tabs>
          <w:tab w:leader="none" w:pos="10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 -186-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our company;</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us than the terms that could have been reached with an unrelated third party;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6"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policy provides that the audit committee will review all relevant information available to it about the related person transaction. The policy provides that the audit committee may approve or ratify the related person transaction only if the audit committee determines that, under all of the circumstances, the transaction is in, or is not inconsistent with, our best interests. The policy provides that the audit committee may, in its sole discretion, impose such conditions as it deems appropriate on us or the related person in connection with approval of the related person transaction.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November 30, 2015 by:</w:t>
      </w:r>
    </w:p>
    <w:p>
      <w:pPr>
        <w:spacing w:after="0" w:line="23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The column entitled "Percentage of Shares Beneficially Owned—Before Offering" is based on a total of 29,799,538 shares of our common stock outstanding as of November 30, 2015, assuming the automatic conversion of all outstanding shares of our preferred stock into an aggregate of 24,929,709 shares of our common stock upon the closing of this offering. The column entitled "Percentage of Shares Beneficially Owned—After Offering" is based on shares of our common stock to be outstanding after this offering, including the 5,900,000 shares of our common stock that we are selling in this offering, but not including any additional shares issuable pursuant to the underwriters' over-allotment option or any additional shares issuable upon exercise of outstanding options or the outstanding warrant.</w:t>
      </w:r>
    </w:p>
    <w:p>
      <w:pPr>
        <w:spacing w:after="0" w:line="198"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Securities and Exchange Commission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after November 30, 2015 are considered outstanding, although these shares are not considered outstanding for purposes of computing the percentage ownership of any other person. Unless otherwise indicated, the address of all listed stockholders is 300 Third Street, First Floor, Cambridge, Massachusetts 02142. Each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stockholders listed has sole voting and investment power with respect to the shares beneficially owned by the stockholder unless noted otherwise, subject to community property laws where applicable.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Before</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140" w:type="dxa"/>
            <w:vAlign w:val="bottom"/>
          </w:tcPr>
          <w:p>
            <w:pPr>
              <w:ind w:left="240"/>
              <w:spacing w:after="0"/>
              <w:rPr>
                <w:sz w:val="20"/>
                <w:szCs w:val="20"/>
                <w:color w:val="auto"/>
              </w:rPr>
            </w:pPr>
            <w:r>
              <w:rPr>
                <w:rFonts w:ascii="Arial" w:cs="Arial" w:eastAsia="Arial" w:hAnsi="Arial"/>
                <w:sz w:val="14"/>
                <w:szCs w:val="14"/>
                <w:b w:val="1"/>
                <w:bCs w:val="1"/>
                <w:color w:val="auto"/>
              </w:rPr>
              <w:t>Name of Beneficial Owner</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Owned</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Offering</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tcPr>
          <w:p>
            <w:pPr>
              <w:spacing w:after="0" w:line="256" w:lineRule="exact"/>
              <w:rPr>
                <w:sz w:val="20"/>
                <w:szCs w:val="20"/>
                <w:color w:val="auto"/>
              </w:rPr>
            </w:pPr>
            <w:r>
              <w:rPr>
                <w:rFonts w:ascii="Arial" w:cs="Arial" w:eastAsia="Arial" w:hAnsi="Arial"/>
                <w:sz w:val="18"/>
                <w:szCs w:val="18"/>
                <w:color w:val="auto"/>
              </w:rPr>
              <w:t>Entities affiliated with Flagship Ventures Management, Inc.</w:t>
            </w:r>
            <w:r>
              <w:rPr>
                <w:rFonts w:ascii="Arial" w:cs="Arial" w:eastAsia="Arial" w:hAnsi="Arial"/>
                <w:sz w:val="29"/>
                <w:szCs w:val="29"/>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4,955,316</w:t>
            </w:r>
          </w:p>
        </w:tc>
        <w:tc>
          <w:tcPr>
            <w:tcW w:w="1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Entities affiliated with Polaris Ventures Partners VI, L.P.</w:t>
            </w:r>
            <w:r>
              <w:rPr>
                <w:rFonts w:ascii="Arial" w:cs="Arial" w:eastAsia="Arial" w:hAnsi="Arial"/>
                <w:sz w:val="29"/>
                <w:szCs w:val="29"/>
                <w:color w:val="auto"/>
                <w:vertAlign w:val="superscript"/>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4,656,173</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tcPr>
          <w:p>
            <w:pPr>
              <w:spacing w:after="0" w:line="256" w:lineRule="exact"/>
              <w:rPr>
                <w:sz w:val="20"/>
                <w:szCs w:val="20"/>
                <w:color w:val="auto"/>
              </w:rPr>
            </w:pPr>
            <w:r>
              <w:rPr>
                <w:rFonts w:ascii="Arial" w:cs="Arial" w:eastAsia="Arial" w:hAnsi="Arial"/>
                <w:sz w:val="18"/>
                <w:szCs w:val="18"/>
                <w:color w:val="auto"/>
              </w:rPr>
              <w:t>Third Rock Ventures III, L.P.</w:t>
            </w:r>
            <w:r>
              <w:rPr>
                <w:rFonts w:ascii="Arial" w:cs="Arial" w:eastAsia="Arial" w:hAnsi="Arial"/>
                <w:sz w:val="29"/>
                <w:szCs w:val="29"/>
                <w:color w:val="auto"/>
                <w:vertAlign w:val="superscript"/>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4,656,176</w:t>
            </w:r>
          </w:p>
        </w:tc>
        <w:tc>
          <w:tcPr>
            <w:tcW w:w="1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bng0, LLC</w:t>
            </w:r>
            <w:r>
              <w:rPr>
                <w:rFonts w:ascii="Arial" w:cs="Arial" w:eastAsia="Arial" w:hAnsi="Arial"/>
                <w:sz w:val="29"/>
                <w:szCs w:val="29"/>
                <w:color w:val="auto"/>
                <w:vertAlign w:val="superscript"/>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2,649,572</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tcPr>
          <w:p>
            <w:pPr>
              <w:spacing w:after="0" w:line="256"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9"/>
                <w:szCs w:val="29"/>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1,709,400</w:t>
            </w:r>
          </w:p>
        </w:tc>
        <w:tc>
          <w:tcPr>
            <w:tcW w:w="1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Entities affiliated with FMR LLC</w:t>
            </w:r>
            <w:r>
              <w:rPr>
                <w:rFonts w:ascii="Arial" w:cs="Arial" w:eastAsia="Arial" w:hAnsi="Arial"/>
                <w:sz w:val="29"/>
                <w:szCs w:val="29"/>
                <w:color w:val="auto"/>
                <w:vertAlign w:val="superscript"/>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1,709,397</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tcPr>
          <w:p>
            <w:pPr>
              <w:spacing w:after="0" w:line="256" w:lineRule="exact"/>
              <w:rPr>
                <w:sz w:val="20"/>
                <w:szCs w:val="20"/>
                <w:color w:val="auto"/>
              </w:rPr>
            </w:pPr>
            <w:r>
              <w:rPr>
                <w:rFonts w:ascii="Arial" w:cs="Arial" w:eastAsia="Arial" w:hAnsi="Arial"/>
                <w:sz w:val="18"/>
                <w:szCs w:val="18"/>
                <w:color w:val="auto"/>
              </w:rPr>
              <w:t>Viking Global Opportunities Illiquid Investments Sub-Master LP</w:t>
            </w:r>
            <w:r>
              <w:rPr>
                <w:rFonts w:ascii="Arial" w:cs="Arial" w:eastAsia="Arial" w:hAnsi="Arial"/>
                <w:sz w:val="29"/>
                <w:szCs w:val="29"/>
                <w:color w:val="auto"/>
                <w:vertAlign w:val="superscript"/>
              </w:rPr>
              <w:t>(7)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1,709,401</w:t>
            </w:r>
          </w:p>
        </w:tc>
        <w:tc>
          <w:tcPr>
            <w:tcW w:w="1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tcPr>
          <w:p>
            <w:pPr>
              <w:spacing w:after="0" w:line="256" w:lineRule="exact"/>
              <w:rPr>
                <w:sz w:val="20"/>
                <w:szCs w:val="20"/>
                <w:color w:val="auto"/>
              </w:rPr>
            </w:pPr>
            <w:r>
              <w:rPr>
                <w:rFonts w:ascii="Arial" w:cs="Arial" w:eastAsia="Arial" w:hAnsi="Arial"/>
                <w:sz w:val="18"/>
                <w:szCs w:val="18"/>
                <w:color w:val="auto"/>
              </w:rPr>
              <w:t>Katrine S. Bosley</w:t>
            </w:r>
            <w:r>
              <w:rPr>
                <w:rFonts w:ascii="Arial" w:cs="Arial" w:eastAsia="Arial" w:hAnsi="Arial"/>
                <w:sz w:val="29"/>
                <w:szCs w:val="29"/>
                <w:color w:val="auto"/>
                <w:vertAlign w:val="superscript"/>
              </w:rPr>
              <w:t>(8)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1,441,095</w:t>
            </w:r>
          </w:p>
        </w:tc>
        <w:tc>
          <w:tcPr>
            <w:tcW w:w="1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Alexandra Glucksmann, Ph.D.</w:t>
            </w:r>
            <w:r>
              <w:rPr>
                <w:rFonts w:ascii="Arial" w:cs="Arial" w:eastAsia="Arial" w:hAnsi="Arial"/>
                <w:sz w:val="29"/>
                <w:szCs w:val="29"/>
                <w:color w:val="auto"/>
                <w:vertAlign w:val="superscript"/>
              </w:rPr>
              <w:t>(9)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117,788</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Andrew A. F. Hack, M.D., Ph.D.</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Kevin Bitterman, Ph.D.</w:t>
            </w:r>
            <w:r>
              <w:rPr>
                <w:rFonts w:ascii="Arial" w:cs="Arial" w:eastAsia="Arial" w:hAnsi="Arial"/>
                <w:sz w:val="29"/>
                <w:szCs w:val="29"/>
                <w:color w:val="auto"/>
                <w:vertAlign w:val="superscript"/>
              </w:rPr>
              <w:t>(10)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4,656,173</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tcPr>
          <w:p>
            <w:pPr>
              <w:spacing w:after="0" w:line="256" w:lineRule="exact"/>
              <w:rPr>
                <w:sz w:val="20"/>
                <w:szCs w:val="20"/>
                <w:color w:val="auto"/>
              </w:rPr>
            </w:pPr>
            <w:r>
              <w:rPr>
                <w:rFonts w:ascii="Arial" w:cs="Arial" w:eastAsia="Arial" w:hAnsi="Arial"/>
                <w:sz w:val="18"/>
                <w:szCs w:val="18"/>
                <w:color w:val="auto"/>
              </w:rPr>
              <w:t>Alexis Borisy</w:t>
            </w:r>
            <w:r>
              <w:rPr>
                <w:rFonts w:ascii="Arial" w:cs="Arial" w:eastAsia="Arial" w:hAnsi="Arial"/>
                <w:sz w:val="29"/>
                <w:szCs w:val="29"/>
                <w:color w:val="auto"/>
                <w:vertAlign w:val="superscript"/>
              </w:rPr>
              <w:t>(11)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4,656,176</w:t>
            </w:r>
          </w:p>
        </w:tc>
        <w:tc>
          <w:tcPr>
            <w:tcW w:w="1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Douglas G. Cole, M.D.</w:t>
            </w:r>
            <w:r>
              <w:rPr>
                <w:rFonts w:ascii="Arial" w:cs="Arial" w:eastAsia="Arial" w:hAnsi="Arial"/>
                <w:sz w:val="29"/>
                <w:szCs w:val="29"/>
                <w:color w:val="auto"/>
                <w:vertAlign w:val="superscript"/>
              </w:rPr>
              <w:t>(12)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4,955,316</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John D. Mendlein, Ph.D.</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Boris Nikolic, M.D.</w:t>
            </w:r>
            <w:r>
              <w:rPr>
                <w:rFonts w:ascii="Arial" w:cs="Arial" w:eastAsia="Arial" w:hAnsi="Arial"/>
                <w:sz w:val="29"/>
                <w:szCs w:val="29"/>
                <w:color w:val="auto"/>
                <w:vertAlign w:val="superscript"/>
              </w:rPr>
              <w:t>(13)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2,649,572</w:t>
            </w:r>
          </w:p>
        </w:tc>
        <w:tc>
          <w:tcPr>
            <w:tcW w:w="1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(8 persons)</w:t>
            </w:r>
            <w:r>
              <w:rPr>
                <w:rFonts w:ascii="Arial" w:cs="Arial" w:eastAsia="Arial" w:hAnsi="Arial"/>
                <w:sz w:val="29"/>
                <w:szCs w:val="29"/>
                <w:color w:val="auto"/>
                <w:vertAlign w:val="superscript"/>
              </w:rPr>
              <w:t>(14)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18,476,120</w:t>
            </w: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6" w:lineRule="exact"/>
        <w:rPr>
          <w:sz w:val="20"/>
          <w:szCs w:val="20"/>
          <w:color w:val="auto"/>
        </w:rPr>
      </w:pPr>
    </w:p>
    <w:p>
      <w:pPr>
        <w:ind w:left="1680" w:hanging="531"/>
        <w:spacing w:after="0" w:line="282" w:lineRule="auto"/>
        <w:tabs>
          <w:tab w:leader="none" w:pos="16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Consists of (i) 3,964,256 shares of common stock held by Flagship Ventures Fund IV, L.P. and (ii) 991,060 shares of common stock held by Flagship Ventures Fund IV-Rx, L.P. (together with Flagship Ventures Fund IV, L.P., the "Flagship Funds"). Flagship Ventures Fund IV General Partner LLC ("Flagship GP") is the general partner of the Flagship Funds. Noubar B. Afeyan, Ph.D., and Edwin M. Kania, Jr. are the managers of Flagship GP. As a result, each of Flagship GP, Mr. Afeyan, and Mr. Kania may be deemed to possess voting and investment control over, and may be deemed to have indirect beneficial ownership with respect to, all shares held by the Flagship Funds. Each of Flagship GP, Mr. Afeyan, and Mr. Kania disclaims beneficial ownership of such shares, except to the extent of their respective pecuniary interests therein. Dr. Cole, a member of our board of directors, is a member of Flagship GP and does not have voting or investment control over the shares held by the Flagship Funds. Dr. Cole disclaims beneficial ownership of all shares held by the Flagship Funds, except to the extent of his pecuniary interest therein. The address of the Flagship Funds is One Memorial Drive, 7th Floor, Cambridge, Massachusetts 02142.</w:t>
      </w:r>
    </w:p>
    <w:p>
      <w:pPr>
        <w:spacing w:after="0" w:line="12" w:lineRule="exact"/>
        <w:rPr>
          <w:rFonts w:ascii="Arial" w:cs="Arial" w:eastAsia="Arial" w:hAnsi="Arial"/>
          <w:sz w:val="16"/>
          <w:szCs w:val="16"/>
          <w:color w:val="auto"/>
        </w:rPr>
      </w:pPr>
    </w:p>
    <w:p>
      <w:pPr>
        <w:ind w:left="1680" w:hanging="531"/>
        <w:spacing w:after="0" w:line="253" w:lineRule="auto"/>
        <w:tabs>
          <w:tab w:leader="none" w:pos="1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(i) 4,399,103 shares of common stock held by Polaris Venture Partners VI, L.P. and (ii) 257,070 shares of common stock held by Polaris Venture Partners Founders' Fund VI, L.P. (together with Polaris Venture Partners VI, L.P., the "Polaris Funds"). Polaris Venture Management Co. VI, L.L.C. ("Polaris Management") is the general partner of the Polaris Funds. North Star Venture Management 2010, LLC directly or indirectly provides investment advisory services to various venture capital funds, including the Polaris Funds. Jonathan Flint, Terrance McGuire, Brian Chee, David Barrett, Amir Nashat, and Bryce Youngren, managing members of North Star Venture Management 2010, LLC, exercise voting and investment power with respect to North Star Venture Management 2010, LLC. Each of the Polaris Funds has the sole voting and investment power with respect to the shares of our company directly held by the applicable Polaris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20"/>
        <w:spacing w:after="0" w:line="307" w:lineRule="auto"/>
        <w:rPr>
          <w:sz w:val="20"/>
          <w:szCs w:val="20"/>
          <w:color w:val="auto"/>
        </w:rPr>
      </w:pPr>
      <w:r>
        <w:rPr>
          <w:rFonts w:ascii="Arial" w:cs="Arial" w:eastAsia="Arial" w:hAnsi="Arial"/>
          <w:sz w:val="15"/>
          <w:szCs w:val="15"/>
          <w:color w:val="auto"/>
        </w:rPr>
        <w:t>Fund. Polaris Management may be deemed to have sole voting and investment power with respect to the shares held by the Polaris Funds. Polaris Management disclaims beneficial ownership of all the shares held by the Polaris Funds except to the extent of its pecuniary interests therein. The members of North Star Venture Management 2010, LLC (the "Polaris Management Members") are also members of Polaris Management. Jonathan Flint, Terrance McGuire, Brian Chee, David Barrett, Amir Nashat, and Bryce Youngren, managing members of Polaris Management, exercise voting and investment power with respect to Polaris Management. As members of Polaris Management and North Star Venture Management 2010, LLC, the Polaris Management Members may be deemed to share voting and investment powers for the shares held by the Polaris Funds. The Polaris Management Members disclaim beneficial ownership of all such shares held by the funds except to the extent of their pecuniary interests therein. Dr. Bitterman, a member of our board of directors, has an assignee interest in Polaris Management. To the extent that he is deemed to share voting and investment powers with respect to the shares held by the Polaris Funds, Dr. Bitterman disclaims beneficial ownership of all the shares held by the funds except to the extent of his pecuniary interest therein. The address of the Polaris Funds is 1000 Winter Street, Suite 3350, Waltham, Massachusetts 02451.</w:t>
      </w:r>
    </w:p>
    <w:p>
      <w:pPr>
        <w:spacing w:after="0" w:line="180" w:lineRule="exact"/>
        <w:rPr>
          <w:sz w:val="20"/>
          <w:szCs w:val="20"/>
          <w:color w:val="auto"/>
        </w:rPr>
      </w:pPr>
    </w:p>
    <w:p>
      <w:pPr>
        <w:ind w:left="1680" w:hanging="531"/>
        <w:spacing w:after="0"/>
        <w:tabs>
          <w:tab w:leader="none" w:pos="16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Consists of 4,656,176 shares of common stock held by Third Rock Ventures III, L.P. ("TRV III LP"). Each of (i) Third Rock Ventures</w:t>
      </w:r>
    </w:p>
    <w:p>
      <w:pPr>
        <w:spacing w:after="0" w:line="38" w:lineRule="exact"/>
        <w:rPr>
          <w:rFonts w:ascii="Arial" w:cs="Arial" w:eastAsia="Arial" w:hAnsi="Arial"/>
          <w:sz w:val="16"/>
          <w:szCs w:val="16"/>
          <w:color w:val="auto"/>
        </w:rPr>
      </w:pPr>
    </w:p>
    <w:p>
      <w:pPr>
        <w:ind w:left="1680" w:right="40"/>
        <w:spacing w:after="0" w:line="281" w:lineRule="auto"/>
        <w:rPr>
          <w:rFonts w:ascii="Arial" w:cs="Arial" w:eastAsia="Arial" w:hAnsi="Arial"/>
          <w:sz w:val="16"/>
          <w:szCs w:val="16"/>
          <w:color w:val="auto"/>
        </w:rPr>
      </w:pPr>
      <w:r>
        <w:rPr>
          <w:rFonts w:ascii="Arial" w:cs="Arial" w:eastAsia="Arial" w:hAnsi="Arial"/>
          <w:sz w:val="16"/>
          <w:szCs w:val="16"/>
          <w:color w:val="auto"/>
        </w:rPr>
        <w:t>III GP, L.P. ("TRV III GP"), the general partner of TRV III LP, (ii) Third Rock Ventures GP III, LLC ("TRV III LLC"), the general partner of TRV III GP, and (iii) Mark Levin, Kevin Starr, and Robert Tepper, the managers of TRV III LLC, may be deemed to have voting and investment power over the shares held of record by TRV III LP. Each of TRV III GP, TRV III LLC, Mark Levin, Kevin Starr, and Robert Tepper disclaims beneficial ownership of such shares, except to the extent of their respective pecuniary interests therein. The address of TRV III LP is 29 Newbury Street, Suite 401, Boston, MA 02116.</w:t>
      </w:r>
    </w:p>
    <w:p>
      <w:pPr>
        <w:spacing w:after="0" w:line="23" w:lineRule="exact"/>
        <w:rPr>
          <w:rFonts w:ascii="Arial" w:cs="Arial" w:eastAsia="Arial" w:hAnsi="Arial"/>
          <w:sz w:val="16"/>
          <w:szCs w:val="16"/>
          <w:color w:val="auto"/>
        </w:rPr>
      </w:pPr>
    </w:p>
    <w:p>
      <w:pPr>
        <w:ind w:left="1680" w:right="80" w:hanging="531"/>
        <w:spacing w:after="0" w:line="283" w:lineRule="auto"/>
        <w:tabs>
          <w:tab w:leader="none" w:pos="16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Consists of shares of common stock held by bng0, LLC. Boris Nikolic, M.D., a member of our board of directors, is a member and the managing director of bng0, LLC. He has voting and investment power over such shares and may be deemed the indirect beneficial owner of such shares. Dr. Nikolic disclaims beneficial ownership over such shares, except to the extent of any pecuniary interest therein. The address of bng0, LLC is 1107 First Avenue, Apt. 1305, Seattle, WA 98101.</w:t>
      </w:r>
    </w:p>
    <w:p>
      <w:pPr>
        <w:spacing w:after="0" w:line="10" w:lineRule="exact"/>
        <w:rPr>
          <w:rFonts w:ascii="Arial" w:cs="Arial" w:eastAsia="Arial" w:hAnsi="Arial"/>
          <w:sz w:val="16"/>
          <w:szCs w:val="16"/>
          <w:color w:val="auto"/>
        </w:rPr>
      </w:pPr>
    </w:p>
    <w:p>
      <w:pPr>
        <w:ind w:left="1680" w:right="120" w:hanging="531"/>
        <w:spacing w:after="0" w:line="282" w:lineRule="auto"/>
        <w:tabs>
          <w:tab w:leader="none" w:pos="16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Consists of (i) 854,700 shares of common stock held by Deerfield Healthcare Innovations Fund, L.P. and (ii) 854,700 shares held by Deerfield Private Design Fund III, L.P. Deerfield Mgmt III, L.P. is the general partner of Deerfield Private Design Fund III, L.P., and Deerfield Mgmt HIF, L.P. is the general partner of Deerfield Healthcare Innovations Fund, L.P. Deerfield Management Company, L.P. is the investment manager of each of Deerfield Private Design Fund III, L.P. and Deerfield Healthcare Innovations Fund, L.P. Mr. James E. Flynn is the sole member of the general partner of each of Deerfield Mgmt III, L.P., Deerfield Mgmt HIF, L.P., and Deerfield Management Company, L.P. Deerfield Mgmt III, L.P., Deerfield Management Company, L.P., and Mr. James E Flynn may be deemed to beneficially own the securities held by Deerfield Private Design Fund III, L.P. Deerfield Mgmt HIF, L.P., Deerfield Management Company, L.P. and Mr. James E. Flynn may be deemed to beneficially own the securities held by Deerfield Healthcare Innovations Fund, L.P. The address of Deerfield Healthcare Innovations Fund, L.P., and Deerfield Private Design Fund III, L.P. is 780 Third Avenue, 37th Floor, New York, New York 10017.</w:t>
      </w:r>
    </w:p>
    <w:p>
      <w:pPr>
        <w:spacing w:after="0" w:line="12" w:lineRule="exact"/>
        <w:rPr>
          <w:rFonts w:ascii="Arial" w:cs="Arial" w:eastAsia="Arial" w:hAnsi="Arial"/>
          <w:sz w:val="16"/>
          <w:szCs w:val="16"/>
          <w:color w:val="auto"/>
        </w:rPr>
      </w:pPr>
    </w:p>
    <w:p>
      <w:pPr>
        <w:ind w:left="1680" w:hanging="531"/>
        <w:spacing w:after="0" w:line="291" w:lineRule="auto"/>
        <w:tabs>
          <w:tab w:leader="none" w:pos="16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Consists of (i) 176,244 shares of common stock held by Fidelity Securities Fund: Fidelity OTC Portfolio, (ii) 2,854 shares of common stock held by Fidelity OTC Commingled Pool, (iii) 12,824 shares of common stock held by Pyramis Lifecycle Blue Chip Growth Commingled Pool, (iv) 276,353 shares of common stock held by Fidelity Securities Fund: Fidelity Blue Chip Growth Fund, (v) 96,289 shares of common stock held by Fidelity Securities Fund: Fidelity Series Blue Chip Growth Fund, (vi) 1,841 shares of common stock held by Fidelity Blue Chip Growth Commingled Pool, (vii) 164,686 shares of common stock held by Fidelity Growth Company Commingled Pool, (viii) 150,580 shares of common stock held by Fidelity Mt. Vernon Street Trust: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Fidelity Series Growth Company Fund, (ix) 547,716 shares of common stock held by Fidelity Mt. Vernon Street Trust: Fidelity Growth</w:t>
      </w:r>
    </w:p>
    <w:p>
      <w:pPr>
        <w:spacing w:after="0" w:line="38" w:lineRule="exact"/>
        <w:rPr>
          <w:sz w:val="20"/>
          <w:szCs w:val="20"/>
          <w:color w:val="auto"/>
        </w:rPr>
      </w:pPr>
    </w:p>
    <w:p>
      <w:pPr>
        <w:ind w:left="1680"/>
        <w:spacing w:after="0" w:line="285" w:lineRule="auto"/>
        <w:rPr>
          <w:sz w:val="20"/>
          <w:szCs w:val="20"/>
          <w:color w:val="auto"/>
        </w:rPr>
      </w:pPr>
      <w:r>
        <w:rPr>
          <w:rFonts w:ascii="Arial" w:cs="Arial" w:eastAsia="Arial" w:hAnsi="Arial"/>
          <w:sz w:val="16"/>
          <w:szCs w:val="16"/>
          <w:color w:val="auto"/>
        </w:rPr>
        <w:t>Company Fund (x) 226,465 shares of common stock held by Fidelity Select Portfolios: Biotechnology Portfolio, and (xi) 53,545 shares of common stock held by Fidelity Advisor Series VII: Fidelity Advisor Biotechnology Fund. The holders of these shares are investment companies registered under the Investment Company Act (the "Fidelity Funds") advised by Fidelity Management &amp; Research Company ("FMR Co"), a wholly owned subsidiary of FMR LLC. Edward C. Johnson 3d is a Director and the Chairman of FMR LLC, and Abigail P. Johnson is a Director, the Vice Chairman,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nor Abigail P. Johnson has the sole power to vote or direct the voting of the shares owned directly by the Fidelity Funds, which power resides with the Fidelity Funds' Boards of Trustees. FMR Co carries out the voting of the shares under written guidelines established by the Fidelity Funds' Boards of Trustees. The address of the Fidelity Funds is 245 Summer Street, Boston, Massachusetts 02210.</w:t>
      </w:r>
    </w:p>
    <w:p>
      <w:pPr>
        <w:spacing w:after="0" w:line="190" w:lineRule="exact"/>
        <w:rPr>
          <w:sz w:val="20"/>
          <w:szCs w:val="20"/>
          <w:color w:val="auto"/>
        </w:rPr>
      </w:pPr>
    </w:p>
    <w:p>
      <w:pPr>
        <w:ind w:left="1680" w:right="260" w:hanging="531"/>
        <w:spacing w:after="0" w:line="282" w:lineRule="auto"/>
        <w:tabs>
          <w:tab w:leader="none" w:pos="16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Consists of shares of common stock held by Viking Global Opportunities Illiquid Investments Sub-Master LP ("Viking Sub-Master Fund"). Each of Viking Global Opportunities Portfolio GP LLC (the "Subsidiary General Partner"), the general partner of Viking Sub-Master Fund, Viking Global Opportunities GP LLC (the "General Partner"), the sole owner of the Subsidiary General Partner, Viking Global Investors LP, which provides managerial services to Viking Sub-Master Fund (the "Management Company"), and O. Andreas Halvorsen, David C. Ott, and Daniel S. Sundheim, the executive committee members of the General Partner and Viking Global Partners LLC, the general partner of the Management Company, may be deemed to have voting and investment power over the shares held of record by Viking Sub-Master Fund. The business address of Viking Sub-Master Fund is c/o Viking Global Investors LP, 55 Railroad Avenue, Greenwich, Connecticut 06830.</w:t>
      </w:r>
    </w:p>
    <w:p>
      <w:pPr>
        <w:spacing w:after="0" w:line="26" w:lineRule="exact"/>
        <w:rPr>
          <w:rFonts w:ascii="Arial" w:cs="Arial" w:eastAsia="Arial" w:hAnsi="Arial"/>
          <w:sz w:val="16"/>
          <w:szCs w:val="16"/>
          <w:color w:val="auto"/>
        </w:rPr>
      </w:pPr>
    </w:p>
    <w:p>
      <w:pPr>
        <w:ind w:left="1680" w:hanging="531"/>
        <w:spacing w:after="0"/>
        <w:tabs>
          <w:tab w:leader="none" w:pos="1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shares of common stock, of which 823,462 remain subject to vesting 60 days after November 30, 2015.</w:t>
      </w:r>
    </w:p>
    <w:p>
      <w:pPr>
        <w:spacing w:after="0" w:line="22" w:lineRule="exact"/>
        <w:rPr>
          <w:rFonts w:ascii="Arial" w:cs="Arial" w:eastAsia="Arial" w:hAnsi="Arial"/>
          <w:sz w:val="18"/>
          <w:szCs w:val="18"/>
          <w:color w:val="auto"/>
        </w:rPr>
      </w:pPr>
    </w:p>
    <w:p>
      <w:pPr>
        <w:ind w:left="1680" w:hanging="531"/>
        <w:spacing w:after="0"/>
        <w:tabs>
          <w:tab w:leader="none" w:pos="1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shares of common stock, of which 49,087 remain subject to vesting 60 days after November 30, 2015.</w:t>
      </w:r>
    </w:p>
    <w:p>
      <w:pPr>
        <w:spacing w:after="0" w:line="22" w:lineRule="exact"/>
        <w:rPr>
          <w:rFonts w:ascii="Arial" w:cs="Arial" w:eastAsia="Arial" w:hAnsi="Arial"/>
          <w:sz w:val="18"/>
          <w:szCs w:val="18"/>
          <w:color w:val="auto"/>
        </w:rPr>
      </w:pPr>
    </w:p>
    <w:p>
      <w:pPr>
        <w:ind w:left="1680" w:right="60" w:hanging="531"/>
        <w:spacing w:after="0" w:line="303" w:lineRule="auto"/>
        <w:tabs>
          <w:tab w:leader="none" w:pos="168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Consists of the shares described in note (2) above. Dr. Bitterman, a member of our board of directors, has an assignee interest in Polaris Management. To the extent that he is deemed to share voting and investment powers with respect to the shares held by the Polaris Funds, Dr. Bitterman disclaims beneficial ownership of all the shares held by the funds except to the extent of his pecuniary interest therein.</w:t>
      </w:r>
    </w:p>
    <w:p>
      <w:pPr>
        <w:spacing w:after="0" w:line="21" w:lineRule="exact"/>
        <w:rPr>
          <w:rFonts w:ascii="Arial" w:cs="Arial" w:eastAsia="Arial" w:hAnsi="Arial"/>
          <w:sz w:val="15"/>
          <w:szCs w:val="15"/>
          <w:color w:val="auto"/>
        </w:rPr>
      </w:pPr>
    </w:p>
    <w:p>
      <w:pPr>
        <w:ind w:left="1680" w:right="20" w:hanging="531"/>
        <w:spacing w:after="0" w:line="253" w:lineRule="auto"/>
        <w:tabs>
          <w:tab w:leader="none" w:pos="1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the shares described in note (3) above. Mr. Borisy is a partner of Third Rock Ventures and may be deemed the indirect beneficial owner of such shares. Mr. Borisy disclaims beneficial ownership over such shares, except to the extent of his pecuniary interest therein.</w:t>
      </w:r>
    </w:p>
    <w:p>
      <w:pPr>
        <w:spacing w:after="0" w:line="7" w:lineRule="exact"/>
        <w:rPr>
          <w:rFonts w:ascii="Arial" w:cs="Arial" w:eastAsia="Arial" w:hAnsi="Arial"/>
          <w:sz w:val="18"/>
          <w:szCs w:val="18"/>
          <w:color w:val="auto"/>
        </w:rPr>
      </w:pPr>
    </w:p>
    <w:p>
      <w:pPr>
        <w:ind w:left="1680" w:hanging="531"/>
        <w:spacing w:after="0" w:line="253" w:lineRule="auto"/>
        <w:tabs>
          <w:tab w:leader="none" w:pos="1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the shares described in note (1) above. Dr. Cole, a member of our board of directors, is a member of Flagship GP and does not have voting or investment control over the shares held by the Flagship Funds. Dr. Cole disclaims beneficial ownership of all shares held by the Flagship Funds, except to the extent of his pecuniary interest therein.</w:t>
      </w:r>
    </w:p>
    <w:p>
      <w:pPr>
        <w:spacing w:after="0" w:line="7" w:lineRule="exact"/>
        <w:rPr>
          <w:rFonts w:ascii="Arial" w:cs="Arial" w:eastAsia="Arial" w:hAnsi="Arial"/>
          <w:sz w:val="18"/>
          <w:szCs w:val="18"/>
          <w:color w:val="auto"/>
        </w:rPr>
      </w:pPr>
    </w:p>
    <w:p>
      <w:pPr>
        <w:ind w:left="1680" w:right="100" w:hanging="531"/>
        <w:spacing w:after="0" w:line="253" w:lineRule="auto"/>
        <w:tabs>
          <w:tab w:leader="none" w:pos="1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the shares described in note (4) above. Dr. Nikolic is a member and the managing director of bng0, LLC and may be deemed the indirect beneficial owner of such shares. Dr. Nikolic disclaims beneficial ownership over such shares, except the extent of his pecuniary interest therein.</w:t>
      </w:r>
    </w:p>
    <w:p>
      <w:pPr>
        <w:spacing w:after="0" w:line="20" w:lineRule="exact"/>
        <w:rPr>
          <w:rFonts w:ascii="Arial" w:cs="Arial" w:eastAsia="Arial" w:hAnsi="Arial"/>
          <w:sz w:val="18"/>
          <w:szCs w:val="18"/>
          <w:color w:val="auto"/>
        </w:rPr>
      </w:pPr>
    </w:p>
    <w:p>
      <w:pPr>
        <w:ind w:left="1680" w:hanging="531"/>
        <w:spacing w:after="0"/>
        <w:tabs>
          <w:tab w:leader="none" w:pos="1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872,549 shares of common stock that remain subject to vesting 60 days after November 30, 2015.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Following the closing of this offering, our authorized capital stock will consist of 195,000,000 shares of common stock, par value $0.0001 per share, and 5,000,000 shares of preferred stock, par value $0.0001 per share, all of which preferred stock will be undesignated. The following description of our capital stock and provisions of our restated certificate of incorporation and amended and restated bylaws are summaries and are qualified by reference to the certificate of incorporation and the bylaws that will be in effect upon the closing of this offering. We have filed copies of these documents as exhibits to our registration statement of which this prospectus forms a part. The descriptions of the common stock and preferred stock reflect changes to our capital structure that will occur upon the closing of this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00" w:firstLine="605"/>
        <w:spacing w:after="0" w:line="268" w:lineRule="auto"/>
        <w:rPr>
          <w:sz w:val="20"/>
          <w:szCs w:val="20"/>
          <w:color w:val="auto"/>
        </w:rPr>
      </w:pPr>
      <w:r>
        <w:rPr>
          <w:rFonts w:ascii="Arial" w:cs="Arial" w:eastAsia="Arial" w:hAnsi="Arial"/>
          <w:sz w:val="18"/>
          <w:szCs w:val="18"/>
          <w:color w:val="auto"/>
        </w:rPr>
        <w:t>As of November 30, 2015, we had outstanding 29,799,538 shares of common stock, assuming the automatic conversion of all outstanding shares of our preferred stock into common stock upon the closing of this offering, which were held of record by 70 stockholders.</w:t>
      </w:r>
    </w:p>
    <w:p>
      <w:pPr>
        <w:spacing w:after="0" w:line="186" w:lineRule="exact"/>
        <w:rPr>
          <w:sz w:val="20"/>
          <w:szCs w:val="20"/>
          <w:color w:val="auto"/>
        </w:rPr>
      </w:pPr>
    </w:p>
    <w:p>
      <w:pPr>
        <w:ind w:right="120" w:firstLine="615"/>
        <w:spacing w:after="0" w:line="294"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will be determined by a plurality of the votes cast by the stockholders entitled to vote on the election. Other matters shall be decided by the affirmative vote of our stockholders having a majority in voting power of the votes cast by the stockholders present or represented and voting on such matter, except as otherwise disclosed below. Holders of common stock are entitled to receive proportionately any dividends as may be declared by our board of directors, subject to any preferential dividend rights of outstanding preferred stock.</w:t>
      </w:r>
    </w:p>
    <w:p>
      <w:pPr>
        <w:spacing w:after="0" w:line="170"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all assets available for distribution to stockholders after the payment of all debts and other liabilities and subject to the prior rights of any outstanding preferred stock. 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Upon the closing of this offering, we will have no outstanding shares of our preferred stock. Outstanding shares of our Series A-1 preferred stock will automatically convert into 8,176,900 shares of our common stock, outstanding shares of our Series A-2 preferred stock will automatically convert into 6,496,419 shares of our common stock, and outstanding shares of our Series B preferred stock will automatically convert into 10,256,390 shares of our common stock, in each case upon the closing of this offering.</w:t>
      </w:r>
    </w:p>
    <w:p>
      <w:pPr>
        <w:spacing w:after="0" w:line="197"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Under the terms of our certificate of incorporation that will become effective upon the closing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440" w:firstLine="605"/>
        <w:spacing w:after="0" w:line="370" w:lineRule="auto"/>
        <w:rPr>
          <w:sz w:val="20"/>
          <w:szCs w:val="20"/>
          <w:color w:val="auto"/>
        </w:rPr>
      </w:pPr>
      <w:r>
        <w:rPr>
          <w:rFonts w:ascii="Arial" w:cs="Arial" w:eastAsia="Arial" w:hAnsi="Arial"/>
          <w:sz w:val="15"/>
          <w:szCs w:val="15"/>
          <w:color w:val="auto"/>
        </w:rPr>
        <w:t>As of November 30, 2015, options to purchase 1,688,470 shares of our common stock at a weighted-average exercise price of $6.49 per share were outstanding, of which options to purchase 20,707 shares of our common stock were exercisable, at a weighted-average exercise price of $1.57 per share.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w:t>
      </w:r>
    </w:p>
    <w:p>
      <w:pPr>
        <w:spacing w:after="0" w:line="231" w:lineRule="exact"/>
        <w:rPr>
          <w:sz w:val="20"/>
          <w:szCs w:val="20"/>
          <w:color w:val="auto"/>
        </w:rPr>
      </w:pPr>
    </w:p>
    <w:p>
      <w:pPr>
        <w:ind w:right="120" w:firstLine="605"/>
        <w:spacing w:after="0" w:line="268" w:lineRule="auto"/>
        <w:rPr>
          <w:sz w:val="20"/>
          <w:szCs w:val="20"/>
          <w:color w:val="auto"/>
        </w:rPr>
      </w:pPr>
      <w:r>
        <w:rPr>
          <w:rFonts w:ascii="Arial" w:cs="Arial" w:eastAsia="Arial" w:hAnsi="Arial"/>
          <w:sz w:val="18"/>
          <w:szCs w:val="18"/>
          <w:color w:val="auto"/>
        </w:rPr>
        <w:t>As of November 30, 2015, we had an outstanding warrant to purchase shares of our Series A-1 preferred stock that upon the closing of this offering will be exercisable for an aggregate of 23,076 shares of our common stock at an exercise price of $2.60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Our amended and restated investors' rights agreement, or the Investors' Rights Agreement, provides certain holders of our preferred stock, including some of our directors and 5% stockholders and their respective affiliates and entities affiliated with our officers and directors, the right, following the completion of this offering, to require us to register these shares under the Securities Act of 1933, as amended, or the Securities Act, under specified circumstances as described below. After registration pursuant to these rights, these shares will become freely tradable without restriction under the Securities Act. The registration rights under the Investors' Rights Agreement terminate upon the earliest to occur of:</w:t>
      </w:r>
    </w:p>
    <w:p>
      <w:pPr>
        <w:spacing w:after="0" w:line="183"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our certificate of incorporation;</w:t>
      </w:r>
    </w:p>
    <w:p>
      <w:pPr>
        <w:spacing w:after="0" w:line="252"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following the closing of this offering, with respect to any holder party to the Investors' Rights Agreement, such time as Rule 144 promulgated by the Securities and Exchange Commission under the Securities Act, or Rule 144, or another similar exemption under the Securities Act is available for the sale of all of the shares held by such holder without limitation during a three-month period without registration (and without the requirement for us to be in compliance with the current public information required under Rule 144(c)(1)); or</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fifth anniversary of the closing of this offering.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Beginning 180 days after the closing of this offering, subject to specified limitations set forth in the Investors' Rights Agreement, at any time the holders of at least 30% of then outstanding registrable securities, as defined in the Investors' Rights Agreement, acting together, may demand in writing that we register their registrable securities under the Securities Act so long as the total amount of registrable shares requested to be registered has an anticipated aggregate offering price to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public, net of selling expenses, of least $10.0 million. We are not obligated to file a registration statement pursuant to this demand provision on more than two occasions, subject to specified exceptions.</w:t>
      </w:r>
    </w:p>
    <w:p>
      <w:pPr>
        <w:spacing w:after="0" w:line="186"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In addition, at any time after we become eligible to file a registration statement on Form S-3 under the Securities Act, subject to specified limitations set forth in the Investors Rights Agreement, the holders of at least 30% of the registrable securities then outstanding may demand in writing that we register on Form S-3 registrable shares held by them so long as the total amount of registrable shares requested to be registered has an anticipated aggregate offering price to the public, net of selling expenses, of least $5.0 million.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ind w:right="60" w:firstLine="615"/>
        <w:spacing w:after="0" w:line="298" w:lineRule="auto"/>
        <w:rPr>
          <w:sz w:val="20"/>
          <w:szCs w:val="20"/>
          <w:color w:val="auto"/>
        </w:rPr>
      </w:pPr>
      <w:r>
        <w:rPr>
          <w:rFonts w:ascii="Arial" w:cs="Arial" w:eastAsia="Arial" w:hAnsi="Arial"/>
          <w:sz w:val="16"/>
          <w:szCs w:val="16"/>
          <w:color w:val="auto"/>
        </w:rPr>
        <w:t>If, at any time after the closing of this offering, we propose to file a registration statement to register any of our securities under the Securities Act, either for our own account or for the account of any of our stockholders that are not holders of registrable shares, solely for cash and on a form that would also permit the registration of registrable shares, the holders of our registrable shares are entitled to notice of registration and, subject to specified exceptions set forth in the Investors' Rights Agreement, we will be required to register the registrable shares then held by them that they request that we register.</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240" w:firstLine="615"/>
        <w:spacing w:after="0" w:line="291" w:lineRule="auto"/>
        <w:rPr>
          <w:sz w:val="20"/>
          <w:szCs w:val="20"/>
          <w:color w:val="auto"/>
        </w:rPr>
      </w:pPr>
      <w:r>
        <w:rPr>
          <w:rFonts w:ascii="Arial" w:cs="Arial" w:eastAsia="Arial" w:hAnsi="Arial"/>
          <w:sz w:val="16"/>
          <w:szCs w:val="16"/>
          <w:color w:val="auto"/>
        </w:rPr>
        <w:t>Pursuant to the Investors' Rights Agreement, we are required to pay all registration expenses, including registration fees, printing expenses, fees and disbursements of our counsel and accountants, and reasonable fees and disbursements of one counsel representing the selling stockholders, other than any underwriting discounts and commissions, related to any demand or incidental registration. The Investors' Rights Agreement contains customary cross-indemnification provisions, pursuant to which we are obligated to indemnify the selling stockholders in the event of material misstatements or omissions in the registration statement attributable to us or any violation of specified securities laws by us, and they are obligated to indemnify us for material misstatements or omissions in the registration statement attributable to them or any violation of specified securities laws by them.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231"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Delaware law contains, and upon the completion of this offering our certificate of incorporation and our bylaws will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Upon the completion of this offering, our certificate of incorporation and bylaws will divide our board of directors into three classes with staggered three-year terms. In addition, a director will only be able to be removed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will only be able to be filled by vote of a majority of our directors then in office. The classification of our board of directors and the limitations on the removal of directors and filling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vacancies could make it more difficult for a third party to acquire, or discourage a third party from seeking to acquire, control of our company.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Stockholder Action by Written Consent; Special Meetings</w:t>
      </w:r>
    </w:p>
    <w:p>
      <w:pPr>
        <w:spacing w:after="0" w:line="225"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Upon the completion of this offering, our certificate of incorporation will provide that any action required or permitted to be taken by our stockholders must be effected at a duly called annual or special meeting of such holders and may not be effected by any consent in writing by such holders. Upon the completion of this offering, our certificate of incorporation and bylaws will also provide that, except as otherwise required by law, special meetings of our stockholders can only be called by our chairman of our board of directors, our Chief Executive Officer, or our board of directors.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Advance Notice Requirements for Stockholder Proposals</w:t>
      </w:r>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Upon the completion of this offering, our bylaws will establish an advance notice procedure for stockholder proposals to be brought before an annual meeting of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225" w:lineRule="exact"/>
        <w:rPr>
          <w:sz w:val="20"/>
          <w:szCs w:val="20"/>
          <w:color w:val="auto"/>
        </w:rPr>
      </w:pPr>
    </w:p>
    <w:p>
      <w:pPr>
        <w:ind w:right="60" w:firstLine="615"/>
        <w:spacing w:after="0" w:line="253" w:lineRule="auto"/>
        <w:rPr>
          <w:sz w:val="20"/>
          <w:szCs w:val="20"/>
          <w:color w:val="auto"/>
        </w:rPr>
      </w:pPr>
      <w:r>
        <w:rPr>
          <w:rFonts w:ascii="Arial" w:cs="Arial" w:eastAsia="Arial" w:hAnsi="Arial"/>
          <w:sz w:val="18"/>
          <w:szCs w:val="18"/>
          <w:color w:val="auto"/>
        </w:rPr>
        <w:t>Upon the completion of this offering, we will be subject to Section 203 of the General Corporation Law of the State of Delaware.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General Corporation Law of the State of Delaware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Effective upon the completion of this offering, our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certificate of incorporation described above under "— Staggered Board; Removal of Directors" and "—Stockholder Action by Written Consent; Special Meetings."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Effective upon completion of this offering, our certificate of incorporation will provide that the Court of Chancery of the State of Delaware shall be the sole and exclusive forum for (1) any derivative action or proceeding brought on behalf of our company, (2) any action asserting a claim of breach of a fiduciary duty owed by any of our directors, officers, or other employees to our company or our stockholders, (3) any action asserting a claim against our company arising pursuant to any provision of the General Corporation Law of the State of Delaware or our certificate of incorporation or bylaws, or (4) any action asserting a claim against our company governed by the internal affairs doctrine. Although our certificate of incorporation that will be in effect upon the closing of this offering contains the choice of forum provision described above, it is possible that a court could rule that such a provision is inapplicable for a particular claim or action or that such provision is unenforceable.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225"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Effective upon completion of this offering, our certificate of incorporation will provide for 5,000,000 authorized shares of preferred stock. The existence of authorized but unissued shares of preferred stock may enable the board of directors to render more difficult or to discourage an attempt to obtain control of our company by means of a merger, tender offer, proxy contest, or otherwise. For example, if in the due exercise of its fiduciary obligations, the board of directors were to determine that a takeover proposal is not in the best interests of our company, the board of directors could cause shares of preferred stock to be issued without shareholder approval in one or more private offerings or other transactions that might dilute the voting or other rights of the proposed acquiror or insurgent shareholder or shareholder group. In this regard, our certificate of incorporation that will be in effect upon the completion of this offering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such holders and may have the effect of delaying, deterring, or preventing a change in control of Editas. The board of directors currently does not intend to seek shareholder approval prior to any issuance of shares of preferred stock, unless otherwise required by law.</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standards of the NASDAQ Global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applied to list our common stock on the NASDAQ Global Market under the trading symbol "EDIT."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transfer agent and registrar for our common stock will be Computershare Trust Company, 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jc w:val="both"/>
        <w:ind w:right="160" w:firstLine="615"/>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 liquid trading market for our common stock may not develop or be sustained after this offering. Future sales of substantial amounts of our common stock in the public market, including shares issued upon exercise of outstanding options, or the anticipation of these sales, could adversely affect market prices prevailing from time to time and could impair our ability to raise capital through sales of equity securities.</w:t>
      </w:r>
    </w:p>
    <w:p>
      <w:pPr>
        <w:spacing w:after="0" w:line="197"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Based upon the 4,869,829 shares of our common stock that were outstanding on November 30, 2015, upon the closing of this offering, we will have 35,699,538 outstanding shares of our common stock, after giving effect to the issuance of shares of our common stock in this offering and the conversion of all outstanding shares of our preferred stock into 24,929,709 shares of common stock upon the closing of this offering, and assuming no exercise by the underwriters of their over-allotment option and no exercise of options or the warrant outstanding as of November 30, 2015.</w:t>
      </w:r>
    </w:p>
    <w:p>
      <w:pPr>
        <w:spacing w:after="0" w:line="16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Of the shares to be outstanding immediately after the closing of this offering, we expect that the shares to be sold in this offering will be freely tradable without restriction under the Securities Act unless purchased by our "affiliates," as that term is defined in Rule 144 under the Securities Act. The remaining shares of our common stock outstanding after this offering will be "restricted securities" under Rule 144, and we expect that substantially all of these restricted securities will be subject to the 180-day lock-up period under the lock-up agreements as described below. These restricted securities may be sold in the public market only if registered or pursuant to an exemption from registration, such as Rule 144 or Rule 701 under the Securities 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0" w:lineRule="exact"/>
        <w:rPr>
          <w:sz w:val="20"/>
          <w:szCs w:val="20"/>
          <w:color w:val="auto"/>
        </w:rPr>
      </w:pPr>
    </w:p>
    <w:p>
      <w:pPr>
        <w:ind w:right="160" w:firstLine="615"/>
        <w:spacing w:after="0" w:line="256"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may sell any unrestricted securities, as well as restricted securities that the person has beneficially owned for at least six months, including the holding period of any prior owner other than one of our affiliates, under Rule 144. Affiliates selling restricted or unrestricted securities may sell a number of shares within any three-month period that does not exceed the greater of:</w:t>
      </w:r>
    </w:p>
    <w:p>
      <w:pPr>
        <w:spacing w:after="0" w:line="211" w:lineRule="exact"/>
        <w:rPr>
          <w:sz w:val="20"/>
          <w:szCs w:val="20"/>
          <w:color w:val="auto"/>
        </w:rPr>
      </w:pPr>
    </w:p>
    <w:p>
      <w:pPr>
        <w:ind w:left="1080" w:right="64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356,995 shares immediately after this offering;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of Proposed Sale of Securities Pursuant to Rule 144 with respect to the sale.</w:t>
      </w:r>
    </w:p>
    <w:p>
      <w:pPr>
        <w:spacing w:after="0" w:line="186" w:lineRule="exact"/>
        <w:rPr>
          <w:sz w:val="20"/>
          <w:szCs w:val="20"/>
          <w:color w:val="auto"/>
        </w:rPr>
      </w:pPr>
    </w:p>
    <w:p>
      <w:pPr>
        <w:ind w:right="480" w:firstLine="615"/>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Upon expiration of the 180-day lock-up period described below, and disregarding any restrictions due to vesting, approximately 28,122,234 shares of our common stock will be eligible for sale under Rule 144, including shares eligible for resale immediately upon the closing of this offering as described above. We cannot estimate the number of shares of our common stock that our existing stockholders will elect to sell under Rule 144.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holding period requirements of Rule 144 and without regard to the volume of such sales or the availability of public information about us. Rule 701 permits affiliates to sell their Rule 701 shares under Rule 144 without complying with the holding period requirements of Rule 144. Subject to the 180-day lock-up period described below, and disregarding any restrictions due to vesting, approximately 1,678,746 shares of our common stock will be eligible for sale in accordance with Rule 701.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right="160" w:firstLine="611"/>
        <w:spacing w:after="0" w:line="259" w:lineRule="auto"/>
        <w:rPr>
          <w:sz w:val="20"/>
          <w:szCs w:val="20"/>
          <w:color w:val="auto"/>
        </w:rPr>
      </w:pPr>
      <w:r>
        <w:rPr>
          <w:rFonts w:ascii="Arial" w:cs="Arial" w:eastAsia="Arial" w:hAnsi="Arial"/>
          <w:sz w:val="18"/>
          <w:szCs w:val="18"/>
          <w:color w:val="auto"/>
        </w:rPr>
        <w:t>We, and each of our executive officers and directors and the holders of substantially all of our stock outstanding prior to this offering have agreed that, without the prior written consent of Morgan Stanley &amp; Co. LLC and J.P. Morgan Securities LLC, on behalf of the underwriters, we and they will not, subject to limited exceptions, during the period ending 180 days after the date of this prospectus:</w:t>
      </w:r>
    </w:p>
    <w:p>
      <w:pPr>
        <w:spacing w:after="0" w:line="208" w:lineRule="exact"/>
        <w:rPr>
          <w:sz w:val="20"/>
          <w:szCs w:val="20"/>
          <w:color w:val="auto"/>
        </w:rPr>
      </w:pPr>
    </w:p>
    <w:p>
      <w:pPr>
        <w:ind w:left="1080" w:right="2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by us or them or any securities so owned convertible into or exercisable or exchangeable for common stock;</w:t>
      </w:r>
    </w:p>
    <w:p>
      <w:pPr>
        <w:spacing w:after="0" w:line="221"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or</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publicly disclose the intention to make any such offer, pledge, sale, contract, purchase, grant, loan, transfer, or disposition, or enter into any such swap or other arrangement;</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and J.P. Morgan Securities LLC, on behalf of the underwriters, we will not file any registration statement with the SEC relating to the offering of, or such other person will not, during such 180-day period, make any demand for or exercise any right with respect to the registration of, any shares of common stock or any security convertible into or exercisable or exchangeable for common stock.</w:t>
      </w:r>
    </w:p>
    <w:p>
      <w:pPr>
        <w:spacing w:after="0" w:line="197" w:lineRule="exact"/>
        <w:rPr>
          <w:sz w:val="20"/>
          <w:szCs w:val="20"/>
          <w:color w:val="auto"/>
        </w:rPr>
      </w:pPr>
    </w:p>
    <w:p>
      <w:pPr>
        <w:ind w:right="160" w:firstLine="605"/>
        <w:spacing w:after="0" w:line="259" w:lineRule="auto"/>
        <w:rPr>
          <w:sz w:val="20"/>
          <w:szCs w:val="20"/>
          <w:color w:val="auto"/>
        </w:rPr>
      </w:pPr>
      <w:r>
        <w:rPr>
          <w:rFonts w:ascii="Arial" w:cs="Arial" w:eastAsia="Arial" w:hAnsi="Arial"/>
          <w:sz w:val="18"/>
          <w:szCs w:val="18"/>
          <w:color w:val="auto"/>
        </w:rPr>
        <w:t>After the offering, certain of our employees, including our directors and executive officers may enter into written trading plans that are intended to comply with Rule 10b5-1 under the Securities Exchange Act of 1934. Sales under these trading plans would not be permitted until the expiration of the lock-up agreements relating to the offering described above.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lock-up restrictions and specified exceptions are described in more detail under "Underwriters."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Subject to the lock-up agreements described above, upon the closing of this offering, the holders of an aggregate of 24,929,709 shares of our common stock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"Description of Capital Stock—Registration Rights" for additional information. Shares covered by a registration statement will be eligible for sale in the public market upon the expiration or release from the terms of lock-up agreements applicable to such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Restricted Common Stock and Warrants</w:t>
      </w:r>
    </w:p>
    <w:p>
      <w:pPr>
        <w:spacing w:after="0" w:line="231" w:lineRule="exact"/>
        <w:rPr>
          <w:sz w:val="20"/>
          <w:szCs w:val="20"/>
          <w:color w:val="auto"/>
        </w:rPr>
      </w:pPr>
    </w:p>
    <w:p>
      <w:pPr>
        <w:ind w:right="120" w:firstLine="605"/>
        <w:spacing w:after="0" w:line="290" w:lineRule="auto"/>
        <w:rPr>
          <w:sz w:val="20"/>
          <w:szCs w:val="20"/>
          <w:color w:val="auto"/>
        </w:rPr>
      </w:pPr>
      <w:r>
        <w:rPr>
          <w:rFonts w:ascii="Arial" w:cs="Arial" w:eastAsia="Arial" w:hAnsi="Arial"/>
          <w:sz w:val="16"/>
          <w:szCs w:val="16"/>
          <w:color w:val="auto"/>
        </w:rPr>
        <w:t>As of November 30, 2015, we had outstanding options to purchase 1,688,470 shares of our common stock, of which options to purchase 20,707 shares were vested. As of November 30, 2015, we had outstanding 3,683,748 shares of restricted common stock issued to our founders or pursuant to our 2013 Stock Incentive Plan, as amended, or the 2013 plan, of which 1,984,329 shares were vested. Following the effectiveness of the Registration Statement on Form S-1 related to this offering, we intend to file one or more registration statements on Form S-8 under the Securities Act to register all of the shares of our common stock subject to outstanding options and options and other awards issuable pursuant to our 2015 Employee Stock Purchase Plan, our 2015 Stock Incentive Plan, and the 2013 plan, as amended. Shares covered by these registration statements will then be eligible for sale in the public markets, subject to vesting restrictions, any applicable lock-up agreements described above and Rule 144 limitations applicable to affiliates.</w:t>
      </w:r>
    </w:p>
    <w:p>
      <w:pPr>
        <w:spacing w:after="0" w:line="172" w:lineRule="exact"/>
        <w:rPr>
          <w:sz w:val="20"/>
          <w:szCs w:val="20"/>
          <w:color w:val="auto"/>
        </w:rPr>
      </w:pPr>
    </w:p>
    <w:p>
      <w:pPr>
        <w:jc w:val="both"/>
        <w:ind w:right="40" w:firstLine="605"/>
        <w:spacing w:after="0" w:line="259" w:lineRule="auto"/>
        <w:rPr>
          <w:sz w:val="20"/>
          <w:szCs w:val="20"/>
          <w:color w:val="auto"/>
        </w:rPr>
      </w:pPr>
      <w:r>
        <w:rPr>
          <w:rFonts w:ascii="Arial" w:cs="Arial" w:eastAsia="Arial" w:hAnsi="Arial"/>
          <w:sz w:val="18"/>
          <w:szCs w:val="18"/>
          <w:color w:val="auto"/>
        </w:rPr>
        <w:t>As of November 30, 2015, we had an outstanding warrant to purchase shares of our Series A-1 preferred stock that upon the closing of this offering will be exercisable for an aggregate of 23,076 shares of our common stock. Any shares acquired through the exercise of this warrant will be eligible for sale subject to the lock-up agreements and securities laws described above.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The following is a discussion of material U.S. federal income and estate tax considerations relating to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174"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or of any political subdivision of the United States;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who hold their common stock through partnerships or such other pass-through entities.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w:t>
      </w:r>
    </w:p>
    <w:p>
      <w:pPr>
        <w:spacing w:after="0" w:line="197"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This discussion is based on current provisions of the Internal Revenue Code of 1986, as amended, or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could alter the tax consequences to non-U.S. holders described in this prospectus. There can be no assurance that the Internal Revenue Service, or the IRS, will not challenge one or more of the tax consequences described in this prospectus.</w:t>
      </w:r>
    </w:p>
    <w:p>
      <w:pPr>
        <w:spacing w:after="0" w:line="197" w:lineRule="exact"/>
        <w:rPr>
          <w:sz w:val="20"/>
          <w:szCs w:val="20"/>
          <w:color w:val="auto"/>
        </w:rPr>
      </w:pPr>
    </w:p>
    <w:p>
      <w:pPr>
        <w:ind w:right="60" w:firstLine="611"/>
        <w:spacing w:after="0" w:line="294" w:lineRule="auto"/>
        <w:rPr>
          <w:sz w:val="20"/>
          <w:szCs w:val="20"/>
          <w:color w:val="auto"/>
        </w:rPr>
      </w:pPr>
      <w:r>
        <w:rPr>
          <w:rFonts w:ascii="Arial" w:cs="Arial" w:eastAsia="Arial" w:hAnsi="Arial"/>
          <w:sz w:val="16"/>
          <w:szCs w:val="16"/>
          <w:color w:val="auto"/>
        </w:rPr>
        <w:t>We assume in this discussion that each non-U.S. holder holds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non-U.S. governments;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ind w:right="60" w:firstLine="615"/>
        <w:spacing w:after="0" w:line="310" w:lineRule="auto"/>
        <w:rPr>
          <w:sz w:val="20"/>
          <w:szCs w:val="20"/>
          <w:color w:val="auto"/>
        </w:rPr>
      </w:pPr>
      <w:r>
        <w:rPr>
          <w:rFonts w:ascii="Arial" w:cs="Arial" w:eastAsia="Arial" w:hAnsi="Arial"/>
          <w:sz w:val="16"/>
          <w:szCs w:val="16"/>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120" w:firstLine="605"/>
        <w:spacing w:after="0" w:line="290" w:lineRule="auto"/>
        <w:rPr>
          <w:sz w:val="20"/>
          <w:szCs w:val="20"/>
          <w:color w:val="auto"/>
        </w:rPr>
      </w:pPr>
      <w:r>
        <w:rPr>
          <w:rFonts w:ascii="Arial" w:cs="Arial" w:eastAsia="Arial" w:hAnsi="Arial"/>
          <w:sz w:val="16"/>
          <w:szCs w:val="16"/>
          <w:color w:val="auto"/>
        </w:rPr>
        <w:t>As discussed under "Dividend Policy" above, we do not expect to make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subject to the tax treatment described in this section. If a distribution exceeds our current and accumulated earnings and profits, the excess will be treated as a tax-free return of the non-U.S. holder's investment, up to the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 below under the heading "FATCA."</w:t>
      </w:r>
    </w:p>
    <w:p>
      <w:pPr>
        <w:spacing w:after="0" w:line="172" w:lineRule="exact"/>
        <w:rPr>
          <w:sz w:val="20"/>
          <w:szCs w:val="20"/>
          <w:color w:val="auto"/>
        </w:rPr>
      </w:pPr>
    </w:p>
    <w:p>
      <w:pPr>
        <w:ind w:right="500" w:firstLine="615"/>
        <w:spacing w:after="0" w:line="268"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6"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in the hands of the non-U.S. holder at the same graduated U.S. federal income tax rates as would apply if such holder were a U.S. person (as defined in the Code). Any U.S. effectively connected income received by a non-U.S. holder that is classified as a corporation for U.S. federal income tax purposes may also, under certain circumstances, be subject to an additional "branch profits tax" at a 30% rate or such lower rate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may be specified by an applicable income tax treaty between the United States and such holder's country of residence.</w:t>
      </w:r>
    </w:p>
    <w:p>
      <w:pPr>
        <w:spacing w:after="0" w:line="225"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own tax advisors regarding their entitlement to benefits under a relevant income tax treaty and the specific methods available to them to satisfy these requirements.</w:t>
      </w:r>
    </w:p>
    <w:p>
      <w:pPr>
        <w:spacing w:after="0" w:line="197" w:lineRule="exact"/>
        <w:rPr>
          <w:sz w:val="20"/>
          <w:szCs w:val="20"/>
          <w:color w:val="auto"/>
        </w:rPr>
      </w:pPr>
    </w:p>
    <w:p>
      <w:pPr>
        <w:ind w:right="500" w:firstLine="605"/>
        <w:spacing w:after="0" w:line="268"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Subject to the discussion below under the heading "FATCA," a non-U.S. holder generally will not be subject to U.S. federal income tax or withholding tax on any gain realized upon such non-U.S. holder's sale, exchange or other disposition of our common stock unless:</w:t>
      </w:r>
    </w:p>
    <w:p>
      <w:pPr>
        <w:spacing w:after="0" w:line="199" w:lineRule="exact"/>
        <w:rPr>
          <w:sz w:val="20"/>
          <w:szCs w:val="20"/>
          <w:color w:val="auto"/>
        </w:rPr>
      </w:pPr>
    </w:p>
    <w:p>
      <w:pPr>
        <w:ind w:left="1080" w:right="140" w:hanging="532"/>
        <w:spacing w:after="0" w:line="294"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graduated U.S. federal income tax rates applicable to U.S. persons,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196" w:lineRule="exact"/>
        <w:rPr>
          <w:rFonts w:ascii="Arial" w:cs="Arial" w:eastAsia="Arial" w:hAnsi="Arial"/>
          <w:sz w:val="16"/>
          <w:szCs w:val="16"/>
          <w:color w:val="auto"/>
        </w:rPr>
      </w:pPr>
    </w:p>
    <w:p>
      <w:pPr>
        <w:ind w:left="1080" w:right="20" w:hanging="532"/>
        <w:spacing w:after="0" w:line="298"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recognized in the taxable year of the disposition, if any; or</w:t>
      </w:r>
    </w:p>
    <w:p>
      <w:pPr>
        <w:spacing w:after="0" w:line="180" w:lineRule="exact"/>
        <w:rPr>
          <w:rFonts w:ascii="Arial" w:cs="Arial" w:eastAsia="Arial" w:hAnsi="Arial"/>
          <w:sz w:val="16"/>
          <w:szCs w:val="16"/>
          <w:color w:val="auto"/>
        </w:rPr>
      </w:pPr>
    </w:p>
    <w:p>
      <w:pPr>
        <w:ind w:left="1080" w:hanging="532"/>
        <w:spacing w:after="0" w:line="287"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If we are a U.S. real property holding corporation and either our common stock is not regularly traded on an established securities market or a non-U.S. holder holds more than 5% of our outstanding common stock, directly or indirectly, during the applicable testing period, such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0"/>
        <w:spacing w:after="0" w:line="332" w:lineRule="auto"/>
        <w:rPr>
          <w:sz w:val="20"/>
          <w:szCs w:val="20"/>
          <w:color w:val="auto"/>
        </w:rPr>
      </w:pPr>
      <w:r>
        <w:rPr>
          <w:rFonts w:ascii="Arial" w:cs="Arial" w:eastAsia="Arial" w:hAnsi="Arial"/>
          <w:sz w:val="16"/>
          <w:szCs w:val="16"/>
          <w:color w:val="auto"/>
        </w:rPr>
        <w:t>non-U.S. holder's gain on the disposition of shares of our common stock generally will be taxed in the same manner as gain that is effectively connected with the conduct of a U.S. trade or business, except that the branch profits tax generally will not apply.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340" w:firstLine="615"/>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jc w:val="both"/>
        <w:ind w:right="120" w:firstLine="611"/>
        <w:spacing w:after="0" w:line="303" w:lineRule="auto"/>
        <w:rPr>
          <w:sz w:val="20"/>
          <w:szCs w:val="20"/>
          <w:color w:val="auto"/>
        </w:rPr>
      </w:pPr>
      <w:r>
        <w:rPr>
          <w:rFonts w:ascii="Arial" w:cs="Arial" w:eastAsia="Arial" w:hAnsi="Arial"/>
          <w:sz w:val="15"/>
          <w:szCs w:val="15"/>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Generally, a holder will comply with such procedures if it provides a properly executed IRS Form W-8BEN or W-8BEN-E (or other applicable Form W-8), or otherwise meets documentary evidence requirements for establishing that it is a non-U.S. holder, or otherwise establishes an exemption. Dividends paid to non-U.S. holders subject to withholding of U.S. federal income tax, as described above under "Distributions," will generally be exempt from U.S. backup withholding.</w:t>
      </w:r>
    </w:p>
    <w:p>
      <w:pPr>
        <w:spacing w:after="0" w:line="163" w:lineRule="exact"/>
        <w:rPr>
          <w:sz w:val="20"/>
          <w:szCs w:val="20"/>
          <w:color w:val="auto"/>
        </w:rPr>
      </w:pPr>
    </w:p>
    <w:p>
      <w:pPr>
        <w:ind w:right="40" w:firstLine="615"/>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01"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ind w:right="160" w:firstLine="611"/>
        <w:spacing w:after="0" w:line="259" w:lineRule="auto"/>
        <w:rPr>
          <w:sz w:val="20"/>
          <w:szCs w:val="20"/>
          <w:color w:val="auto"/>
        </w:rPr>
      </w:pPr>
      <w:r>
        <w:rPr>
          <w:rFonts w:ascii="Arial" w:cs="Arial" w:eastAsia="Arial" w:hAnsi="Arial"/>
          <w:sz w:val="18"/>
          <w:szCs w:val="18"/>
          <w:color w:val="auto"/>
        </w:rPr>
        <w:t>The Foreign Account Tax Compliance Act, or FATCA, generally imposes a 30% withholding tax on dividends on, and gross proceeds from the sale or disposition of, our common stock if paid to a foreign entity unless (i) if the foreign entity is a "foreign financial institution," the foreign entity undertakes certain due diligence, reporting, withholding, and certification obligations, (ii) if the foreign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entity is not a "foreign financial institution," the foreign entity identifies certain of its U.S. investors, or (iii) the foreign entity is otherwise exempt under FATCA.</w:t>
      </w:r>
    </w:p>
    <w:p>
      <w:pPr>
        <w:spacing w:after="0" w:line="248"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Withholding under FATCA generally (1) applies to payments of dividends on our common stock and (2) will apply to payments of gross proceeds from a sale or other disposition of our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 should consult their own tax advisors regarding the possible implications of FATCA on their investment in our common stock.</w:t>
      </w:r>
    </w:p>
    <w:p>
      <w:pPr>
        <w:spacing w:after="0" w:line="161" w:lineRule="exact"/>
        <w:rPr>
          <w:sz w:val="20"/>
          <w:szCs w:val="20"/>
          <w:color w:val="auto"/>
        </w:rPr>
      </w:pPr>
    </w:p>
    <w:p>
      <w:pPr>
        <w:ind w:right="220" w:firstLine="615"/>
        <w:spacing w:after="0" w:line="310" w:lineRule="auto"/>
        <w:rPr>
          <w:sz w:val="20"/>
          <w:szCs w:val="20"/>
          <w:color w:val="auto"/>
        </w:rPr>
      </w:pPr>
      <w:r>
        <w:rPr>
          <w:rFonts w:ascii="Arial" w:cs="Arial" w:eastAsia="Arial" w:hAnsi="Arial"/>
          <w:sz w:val="16"/>
          <w:szCs w:val="16"/>
          <w:b w:val="1"/>
          <w:bCs w:val="1"/>
          <w:color w:val="auto"/>
        </w:rPr>
        <w:t>The preceding discussion of material U.S. federal tax considerations is for information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jc w:val="both"/>
        <w:ind w:right="160" w:firstLine="615"/>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J.P. Morgan Securities LLC are acting as representatives, have severally agreed to purchase, and we have agreed to sell to them the number of shares indicated below:</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ind w:left="360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JMP Securities LLC</w:t>
            </w:r>
          </w:p>
        </w:tc>
        <w:tc>
          <w:tcPr>
            <w:tcW w:w="1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5,900,000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98"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w:t>
      </w:r>
    </w:p>
    <w:p>
      <w:pPr>
        <w:spacing w:after="0" w:line="194"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885,000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No</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Full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Exercise</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Exercise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Underwriting discounts and commissions to be paid by us</w:t>
            </w:r>
          </w:p>
        </w:tc>
        <w:tc>
          <w:tcPr>
            <w:tcW w:w="290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9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60" w:type="dxa"/>
            <w:vAlign w:val="bottom"/>
          </w:tcPr>
          <w:p>
            <w:pPr>
              <w:jc w:val="right"/>
              <w:ind w:right="1552"/>
              <w:spacing w:after="0"/>
              <w:rPr>
                <w:sz w:val="20"/>
                <w:szCs w:val="20"/>
                <w:color w:val="auto"/>
              </w:rPr>
            </w:pPr>
            <w:r>
              <w:rPr>
                <w:rFonts w:ascii="Arial" w:cs="Arial" w:eastAsia="Arial" w:hAnsi="Arial"/>
                <w:sz w:val="18"/>
                <w:szCs w:val="18"/>
                <w:color w:val="auto"/>
              </w:rPr>
              <w:t>-205-</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11"/>
        <w:spacing w:after="0" w:line="33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$3.2 million. We have agreed to reimburse the underwriters for expense relating to clearance of this offering with the Financial Industry Regulatory Authority up to $65,000.</w:t>
      </w:r>
    </w:p>
    <w:p>
      <w:pPr>
        <w:spacing w:after="0" w:line="139" w:lineRule="exact"/>
        <w:rPr>
          <w:sz w:val="20"/>
          <w:szCs w:val="20"/>
          <w:color w:val="auto"/>
        </w:rPr>
      </w:pPr>
    </w:p>
    <w:p>
      <w:pPr>
        <w:jc w:val="both"/>
        <w:ind w:right="200" w:firstLine="611"/>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applied to list our common stock on The NASDAQ Global Market under the trading symbol "EDIT."</w:t>
      </w:r>
    </w:p>
    <w:p>
      <w:pPr>
        <w:spacing w:after="0" w:line="225" w:lineRule="exact"/>
        <w:rPr>
          <w:sz w:val="20"/>
          <w:szCs w:val="20"/>
          <w:color w:val="auto"/>
        </w:rPr>
      </w:pPr>
    </w:p>
    <w:p>
      <w:pPr>
        <w:jc w:val="both"/>
        <w:ind w:right="180" w:firstLine="611"/>
        <w:spacing w:after="0" w:line="306" w:lineRule="auto"/>
        <w:rPr>
          <w:sz w:val="20"/>
          <w:szCs w:val="20"/>
          <w:color w:val="auto"/>
        </w:rPr>
      </w:pPr>
      <w:r>
        <w:rPr>
          <w:rFonts w:ascii="Arial" w:cs="Arial" w:eastAsia="Arial" w:hAnsi="Arial"/>
          <w:sz w:val="16"/>
          <w:szCs w:val="16"/>
          <w:color w:val="auto"/>
        </w:rPr>
        <w:t>We, and each of our executive officers and directors and the holders of substantially all of our stock outstanding prior to this offering have agreed that, without the prior written consent of Morgan Stanley &amp; Co. LLC and J.P. Morgan Securities LLC, on behalf of the underwriters, we and they will not, subject to limited exceptions, during the period ending 180 days after the date of this prospectus (the "restricted period"):</w:t>
      </w:r>
    </w:p>
    <w:p>
      <w:pPr>
        <w:spacing w:after="0" w:line="174" w:lineRule="exact"/>
        <w:rPr>
          <w:sz w:val="20"/>
          <w:szCs w:val="20"/>
          <w:color w:val="auto"/>
        </w:rPr>
      </w:pPr>
    </w:p>
    <w:p>
      <w:pPr>
        <w:ind w:left="1080" w:hanging="532"/>
        <w:spacing w:after="0" w:line="306"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by us or them or any other securities so owned convertible into or exercisable or exchangeable for common stock;</w:t>
      </w:r>
    </w:p>
    <w:p>
      <w:pPr>
        <w:spacing w:after="0" w:line="187"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or</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publicly disclose the intention to make any such offer, pledge, sale, contract, purchase, grant, loan, transfer, or disposition, or enter into any such swap or other arrangement;</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and J.P. Morgan Securities LLC, on behalf of the underwriters, we will not file any registration statement with the SEC relating to the offering of, or such other person will not, during such 180-day period, make any demand for or exercise any right with respect to the registration of any shares of common stock or any security convertible into or exercisable or exchangeable for common stock.</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restrictions described in the immediately preceding paragraph do not apply to certain transactions, including:</w:t>
      </w:r>
    </w:p>
    <w:p>
      <w:pPr>
        <w:spacing w:after="0" w:line="239"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of which the underwriters have been advised in writing;</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certain limitations, transactions by any person other than us relating to shares of common stock or other securities acquired in open market transactions after the completion of the offering of the shares;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certain limitations, transfers by any person other than us of shares of common stock or any security convertible into common stock as a bona fide gift, transfers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dispositions of shares of common stock or such other securities to any trust for the direct or indirect benefit of such person or the immediate family of such person in a transaction not involving a disposition for value, transfers or dispositions of shares of common stock or such other securities to any corporation, partnership, limited liability company or other entity all of the beneficial ownership interests of which are held by such person or the immediate family of such person in a transaction not involving a disposition of value, transfers, or dispositions of shares of common stock or such other securities by will, other testamentary document or intestate succession to the legal representative, heir, beneficiary, or a member of the immediate family of such person, or distributions of shares of common stock or any security convertible into common stock to limited partners or stockholders of such person;</w:t>
      </w:r>
    </w:p>
    <w:p>
      <w:pPr>
        <w:spacing w:after="0" w:line="186" w:lineRule="exact"/>
        <w:rPr>
          <w:sz w:val="20"/>
          <w:szCs w:val="20"/>
          <w:color w:val="auto"/>
        </w:rPr>
      </w:pPr>
    </w:p>
    <w:p>
      <w:pPr>
        <w:ind w:left="1080" w:hanging="532"/>
        <w:spacing w:after="0" w:line="306"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subject to certain limitations, transfers or dispositions of common stock or any security convertible into or exercisable or exchangeable for common stock to us pursuant to any contractual arrangement in effect at the date of the agreement that provides for the repurchase of such person's common stock or such other securities by us or in connection with the termination of such person's employment with us; or</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auto"/>
        </w:rPr>
      </w:pPr>
    </w:p>
    <w:p>
      <w:pPr>
        <w:ind w:left="1080" w:right="180"/>
        <w:spacing w:after="0" w:line="302" w:lineRule="auto"/>
        <w:rPr>
          <w:rFonts w:ascii="Arial" w:cs="Arial" w:eastAsia="Arial" w:hAnsi="Arial"/>
          <w:sz w:val="16"/>
          <w:szCs w:val="16"/>
          <w:color w:val="auto"/>
        </w:rPr>
      </w:pPr>
      <w:r>
        <w:rPr>
          <w:rFonts w:ascii="Arial" w:cs="Arial" w:eastAsia="Arial" w:hAnsi="Arial"/>
          <w:sz w:val="16"/>
          <w:szCs w:val="16"/>
          <w:color w:val="auto"/>
        </w:rPr>
        <w:t>(i)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163" w:lineRule="exact"/>
        <w:rPr>
          <w:sz w:val="20"/>
          <w:szCs w:val="20"/>
          <w:color w:val="auto"/>
        </w:rPr>
      </w:pPr>
    </w:p>
    <w:p>
      <w:pPr>
        <w:ind w:right="100" w:firstLine="615"/>
        <w:spacing w:after="0" w:line="294" w:lineRule="auto"/>
        <w:rPr>
          <w:sz w:val="20"/>
          <w:szCs w:val="20"/>
          <w:color w:val="auto"/>
        </w:rPr>
      </w:pPr>
      <w:r>
        <w:rPr>
          <w:rFonts w:ascii="Arial" w:cs="Arial" w:eastAsia="Arial" w:hAnsi="Arial"/>
          <w:sz w:val="16"/>
          <w:szCs w:val="16"/>
          <w:color w:val="auto"/>
        </w:rPr>
        <w:t>Morgan Stanley &amp; Co. LLC and J.P. Morgan Securities LLC, in their sole discretion, may release the common stock and other securities subject to the lock-up agreements described above in whole or in part at any time. In addition, in the event that Morgan Stanley &amp; Co. LLC and J.P. Morgan Securities LLC grant an early release to certain beneficial holders of any common stock or other securities subject to the lock-up agreements with respect to shares of common stock that, in the aggregate, exceed a specified percentage of our then outstanding common stock, then certain other lock-up parties shall also be granted an early release, on the same terms, from their obligations on a pro rata basis, subject to certain exceptions.</w:t>
      </w:r>
    </w:p>
    <w:p>
      <w:pPr>
        <w:spacing w:after="0" w:line="170" w:lineRule="exact"/>
        <w:rPr>
          <w:sz w:val="20"/>
          <w:szCs w:val="20"/>
          <w:color w:val="auto"/>
        </w:rPr>
      </w:pPr>
    </w:p>
    <w:p>
      <w:pPr>
        <w:ind w:right="140" w:firstLine="615"/>
        <w:spacing w:after="0" w:line="308"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market levels or prevent or retard a decline in the market price of the common stock. The underwriters are not required to engage in these activities and may end any of these activities at any time.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340" w:firstLine="605"/>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financial and operating information in recent periods, and the price-earnings ratios, price-sales ratios, market prices of securities, and certain financial and operating information of companies engaged in activities similar to ours.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prospectus does not constitute an offer to sell or a solicitation of an offer to buy any securities offered by this prospectus in any jurisdiction in which such an offer or a solicitation is unlawful.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440" w:firstLine="611"/>
        <w:spacing w:after="0" w:line="298" w:lineRule="auto"/>
        <w:rPr>
          <w:sz w:val="20"/>
          <w:szCs w:val="20"/>
          <w:color w:val="auto"/>
        </w:rPr>
      </w:pPr>
      <w:r>
        <w:rPr>
          <w:rFonts w:ascii="Arial" w:cs="Arial" w:eastAsia="Arial" w:hAnsi="Arial"/>
          <w:sz w:val="16"/>
          <w:szCs w:val="16"/>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the common stock must be made in accordance with an exemption from, or in a transaction not subject to, the prospectus requirements of applicable securities laws.</w:t>
      </w:r>
    </w:p>
    <w:p>
      <w:pPr>
        <w:spacing w:after="0" w:line="167"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560" w:firstLine="615"/>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7" w:lineRule="exact"/>
        <w:rPr>
          <w:sz w:val="20"/>
          <w:szCs w:val="20"/>
          <w:color w:val="auto"/>
        </w:rPr>
      </w:pPr>
    </w:p>
    <w:p>
      <w:pPr>
        <w:ind w:left="1220" w:hanging="597"/>
        <w:spacing w:after="0"/>
        <w:tabs>
          <w:tab w:leader="none" w:pos="12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right="100" w:firstLine="623"/>
        <w:spacing w:after="0" w:line="259" w:lineRule="auto"/>
        <w:tabs>
          <w:tab w:leader="none" w:pos="121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4" w:lineRule="exact"/>
        <w:rPr>
          <w:rFonts w:ascii="Arial" w:cs="Arial" w:eastAsia="Arial" w:hAnsi="Arial"/>
          <w:sz w:val="18"/>
          <w:szCs w:val="18"/>
          <w:color w:val="auto"/>
        </w:rPr>
      </w:pPr>
    </w:p>
    <w:p>
      <w:pPr>
        <w:ind w:right="280" w:firstLine="623"/>
        <w:spacing w:after="0" w:line="332" w:lineRule="auto"/>
        <w:tabs>
          <w:tab w:leader="none" w:pos="124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Each person in a Relevant Member State who initially acquires any shares of our common stock or to whom any offer is made will be deemed to have represented, acknowledged, and agreed that it is a "qualified investor" within the meaning of the law in that Relevant Member State implementing Article 2(1)(e) of the Prospectus Directive. In the case of any shares of our common stock being offered to a financial intermediary as that term is used in Article 3(2) of the Prospectus Directive, each such financial intermediary will be deemed to have represented, acknowledged, and agreed that the shares of our common stock acquired by it in the offer have not been acquired on a non-discretionary basis on behalf of, nor have they been acquired with a view to their offer or resale to, persons in circumstances which may give rise to an offer of any shares of our common stock to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public other than their offer or resale in a Relevant Member State to qualified investors as so defined or in circumstances in which the prior consent of the representatives has been obtained to each such proposed offer or resale.</w:t>
      </w:r>
    </w:p>
    <w:p>
      <w:pPr>
        <w:spacing w:after="0" w:line="186" w:lineRule="exact"/>
        <w:rPr>
          <w:sz w:val="20"/>
          <w:szCs w:val="20"/>
          <w:color w:val="auto"/>
        </w:rPr>
      </w:pPr>
    </w:p>
    <w:p>
      <w:pPr>
        <w:ind w:right="420" w:firstLine="611"/>
        <w:spacing w:after="0" w:line="268"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86"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This prospectus has been prepared on the basis that any offer of shares of our common stock in any Relevant Member State will be made pursuant to an exemption under the Prospectus Directive from the requirement to publish a prospectus for offers of shares of our common stock. Accordingly any person making or intending to make an offer in that Relevant Member State of shares of our common stock which are the subject of the offering contemplated in this prospectus may only do so in circumstances in which no obligation arises for our company or any of the underwriters to publish a prospectus pursuant to Article 3 of the Prospectus Directive in relation to such offer. Neither we nor the underwriters has authorized, nor do they authorize, the making of any offer of shares of our common stock in circumstances in which an obligation arises for our company or the underwriters to publish a prospectus for such offer.</w:t>
      </w:r>
    </w:p>
    <w:p>
      <w:pPr>
        <w:spacing w:after="0" w:line="174" w:lineRule="exact"/>
        <w:rPr>
          <w:sz w:val="20"/>
          <w:szCs w:val="20"/>
          <w:color w:val="auto"/>
        </w:rPr>
      </w:pPr>
    </w:p>
    <w:p>
      <w:pPr>
        <w:ind w:right="120" w:firstLine="615"/>
        <w:spacing w:after="0" w:line="291" w:lineRule="auto"/>
        <w:rPr>
          <w:sz w:val="20"/>
          <w:szCs w:val="20"/>
          <w:color w:val="auto"/>
        </w:rPr>
      </w:pPr>
      <w:r>
        <w:rPr>
          <w:rFonts w:ascii="Arial" w:cs="Arial" w:eastAsia="Arial" w:hAnsi="Arial"/>
          <w:sz w:val="16"/>
          <w:szCs w:val="16"/>
          <w:color w:val="auto"/>
        </w:rPr>
        <w:t>For the purposes of the above provisions,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In addition, in the United Kingdom, this prospectus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97" w:lineRule="exact"/>
        <w:rPr>
          <w:sz w:val="20"/>
          <w:szCs w:val="20"/>
          <w:color w:val="auto"/>
        </w:rPr>
      </w:pPr>
    </w:p>
    <w:p>
      <w:pPr>
        <w:ind w:right="80" w:firstLine="605"/>
        <w:spacing w:after="0" w:line="306"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prospectus or use it as basis for taking any action. In the United Kingdom, any investment or investment activity that this prospectus relates to may be made or taken exclusively by relevant persons. Any person in the United Kingdom that is not a relevant person should not act or rely on this prospectus or any of its contents.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prospectus:</w:t>
      </w:r>
    </w:p>
    <w:p>
      <w:pPr>
        <w:spacing w:after="0" w:line="239" w:lineRule="exact"/>
        <w:rPr>
          <w:sz w:val="20"/>
          <w:szCs w:val="20"/>
          <w:color w:val="auto"/>
        </w:rPr>
      </w:pPr>
    </w:p>
    <w:p>
      <w:pPr>
        <w:ind w:left="5520" w:right="1600" w:hanging="4972"/>
        <w:spacing w:after="0" w:line="519" w:lineRule="auto"/>
        <w:tabs>
          <w:tab w:leader="none" w:pos="10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00" w:hanging="532"/>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86"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67" w:lineRule="exact"/>
        <w:rPr>
          <w:sz w:val="20"/>
          <w:szCs w:val="20"/>
          <w:color w:val="auto"/>
        </w:rPr>
      </w:pPr>
    </w:p>
    <w:p>
      <w:pPr>
        <w:ind w:firstLine="605"/>
        <w:spacing w:after="0" w:line="294" w:lineRule="auto"/>
        <w:rPr>
          <w:sz w:val="20"/>
          <w:szCs w:val="20"/>
          <w:color w:val="auto"/>
        </w:rPr>
      </w:pPr>
      <w:r>
        <w:rPr>
          <w:rFonts w:ascii="Arial" w:cs="Arial" w:eastAsia="Arial" w:hAnsi="Arial"/>
          <w:sz w:val="16"/>
          <w:szCs w:val="16"/>
          <w:color w:val="auto"/>
        </w:rPr>
        <w:t>As any offer of securities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Bermuda</w:t>
      </w:r>
    </w:p>
    <w:p>
      <w:pPr>
        <w:spacing w:after="0" w:line="225"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225" w:lineRule="exact"/>
        <w:rPr>
          <w:sz w:val="20"/>
          <w:szCs w:val="20"/>
          <w:color w:val="auto"/>
        </w:rPr>
      </w:pPr>
    </w:p>
    <w:p>
      <w:pPr>
        <w:jc w:val="both"/>
        <w:ind w:right="320" w:firstLine="611"/>
        <w:spacing w:after="0" w:line="306" w:lineRule="auto"/>
        <w:rPr>
          <w:sz w:val="20"/>
          <w:szCs w:val="20"/>
          <w:color w:val="auto"/>
        </w:rPr>
      </w:pPr>
      <w:r>
        <w:rPr>
          <w:rFonts w:ascii="Arial" w:cs="Arial" w:eastAsia="Arial" w:hAnsi="Arial"/>
          <w:sz w:val="16"/>
          <w:szCs w:val="16"/>
          <w:color w:val="auto"/>
        </w:rPr>
        <w:t>The securities are not being, and may not be offered to the public or to any person in the British Virgin Islands for purchase or subscription by or on behalf of the company. The securities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61" w:lineRule="exact"/>
        <w:rPr>
          <w:sz w:val="20"/>
          <w:szCs w:val="20"/>
          <w:color w:val="auto"/>
        </w:rPr>
      </w:pPr>
    </w:p>
    <w:p>
      <w:pPr>
        <w:jc w:val="both"/>
        <w:ind w:right="60" w:firstLine="611"/>
        <w:spacing w:after="0" w:line="259"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("SIBA") or the Public Issuers Code of the British Virgin Islands.</w:t>
      </w:r>
    </w:p>
    <w:p>
      <w:pPr>
        <w:spacing w:after="0" w:line="194" w:lineRule="exact"/>
        <w:rPr>
          <w:sz w:val="20"/>
          <w:szCs w:val="20"/>
          <w:color w:val="auto"/>
        </w:rPr>
      </w:pPr>
    </w:p>
    <w:p>
      <w:pPr>
        <w:ind w:right="60" w:firstLine="611"/>
        <w:spacing w:after="0" w:line="284"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w:t>
      </w:r>
    </w:p>
    <w:p>
      <w:pPr>
        <w:spacing w:after="0" w:line="1" w:lineRule="exact"/>
        <w:rPr>
          <w:sz w:val="20"/>
          <w:szCs w:val="20"/>
          <w:color w:val="auto"/>
        </w:rPr>
      </w:pPr>
    </w:p>
    <w:p>
      <w:pPr>
        <w:ind w:left="5520" w:right="1840" w:hanging="5512"/>
        <w:spacing w:after="0" w:line="511" w:lineRule="auto"/>
        <w:tabs>
          <w:tab w:leader="none" w:pos="30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defined as "professional investors" under SIBA, which is any person (a) whose ordinary business involves, whether for that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person's own account or the account of others, the acquisition or disposal of property of the same kind as the property, or a substantial part of the property of our company; or (b) who has signed a declaration that he, whether individually or jointly with his spouse, has net worth in excess of US$1,000,000 and that he consents to being treated as a professional investor.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China</w:t>
      </w:r>
    </w:p>
    <w:p>
      <w:pPr>
        <w:spacing w:after="0" w:line="225" w:lineRule="exact"/>
        <w:rPr>
          <w:sz w:val="20"/>
          <w:szCs w:val="20"/>
          <w:color w:val="auto"/>
        </w:rPr>
      </w:pPr>
    </w:p>
    <w:p>
      <w:pPr>
        <w:ind w:right="200" w:firstLine="611"/>
        <w:spacing w:after="0" w:line="332" w:lineRule="auto"/>
        <w:rPr>
          <w:sz w:val="20"/>
          <w:szCs w:val="20"/>
          <w:color w:val="auto"/>
        </w:rPr>
      </w:pPr>
      <w:r>
        <w:rPr>
          <w:rFonts w:ascii="Arial" w:cs="Arial" w:eastAsia="Arial" w:hAnsi="Arial"/>
          <w:sz w:val="16"/>
          <w:szCs w:val="16"/>
          <w:color w:val="auto"/>
        </w:rPr>
        <w:t>This prospectus does not constitute a public offer of the securities, whether by sale or subscription, in the People's Republic of China (the "PRC"). The securities are not being offered or sold directly or indirectly in the PRC to or for the benefit of, legal or natural persons of the PRC.</w:t>
      </w:r>
    </w:p>
    <w:p>
      <w:pPr>
        <w:spacing w:after="0" w:line="139" w:lineRule="exact"/>
        <w:rPr>
          <w:sz w:val="20"/>
          <w:szCs w:val="20"/>
          <w:color w:val="auto"/>
        </w:rPr>
      </w:pPr>
    </w:p>
    <w:p>
      <w:pPr>
        <w:ind w:right="340" w:firstLine="615"/>
        <w:spacing w:after="0" w:line="259"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or any beneficial interest therein without obtaining all prior PRC's governmental approvals that are required, whether statutorily or otherwise. Persons who come into possession of this prospectus are required by the issuer and its representatives to observe these restrictions.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225"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74" w:lineRule="exact"/>
        <w:rPr>
          <w:sz w:val="20"/>
          <w:szCs w:val="20"/>
          <w:color w:val="auto"/>
        </w:rPr>
      </w:pPr>
    </w:p>
    <w:p>
      <w:pPr>
        <w:ind w:right="80" w:firstLine="615"/>
        <w:spacing w:after="0" w:line="306" w:lineRule="auto"/>
        <w:rPr>
          <w:sz w:val="20"/>
          <w:szCs w:val="20"/>
          <w:color w:val="auto"/>
        </w:rPr>
      </w:pPr>
      <w:r>
        <w:rPr>
          <w:rFonts w:ascii="Arial" w:cs="Arial" w:eastAsia="Arial" w:hAnsi="Arial"/>
          <w:sz w:val="16"/>
          <w:szCs w:val="16"/>
          <w:color w:val="auto"/>
        </w:rPr>
        <w:t>In relation to its use in the Dubai International Financial Centre ("DFIC"),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WARNING</w:t>
      </w:r>
    </w:p>
    <w:p>
      <w:pPr>
        <w:spacing w:after="0" w:line="225" w:lineRule="exact"/>
        <w:rPr>
          <w:sz w:val="20"/>
          <w:szCs w:val="20"/>
          <w:color w:val="auto"/>
        </w:rPr>
      </w:pPr>
    </w:p>
    <w:p>
      <w:pPr>
        <w:ind w:right="120" w:firstLine="611"/>
        <w:spacing w:after="0" w:line="332" w:lineRule="auto"/>
        <w:rPr>
          <w:sz w:val="20"/>
          <w:szCs w:val="20"/>
          <w:color w:val="auto"/>
        </w:rPr>
      </w:pPr>
      <w:r>
        <w:rPr>
          <w:rFonts w:ascii="Arial" w:cs="Arial" w:eastAsia="Arial" w:hAnsi="Arial"/>
          <w:sz w:val="16"/>
          <w:szCs w:val="16"/>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Korea</w:t>
      </w:r>
    </w:p>
    <w:p>
      <w:pPr>
        <w:spacing w:after="0" w:line="225"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Malaysia</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Saudi Arabia</w:t>
      </w:r>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authorised financial adviser.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40" w:firstLine="611"/>
        <w:spacing w:after="0" w:line="302"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right="200" w:firstLine="623"/>
        <w:spacing w:after="0" w:line="268" w:lineRule="auto"/>
        <w:tabs>
          <w:tab w:leader="none" w:pos="12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5" w:lineRule="exact"/>
        <w:rPr>
          <w:rFonts w:ascii="Arial" w:cs="Arial" w:eastAsia="Arial" w:hAnsi="Arial"/>
          <w:sz w:val="18"/>
          <w:szCs w:val="18"/>
          <w:color w:val="auto"/>
        </w:rPr>
      </w:pPr>
    </w:p>
    <w:p>
      <w:pPr>
        <w:ind w:right="700" w:firstLine="623"/>
        <w:spacing w:after="0" w:line="268" w:lineRule="auto"/>
        <w:tabs>
          <w:tab w:leader="none" w:pos="121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corporation or that trust has acquired the securities pursuant to an offer made under Section 275 of the SFA except:</w:t>
      </w:r>
    </w:p>
    <w:p>
      <w:pPr>
        <w:spacing w:after="0" w:line="225" w:lineRule="exact"/>
        <w:rPr>
          <w:sz w:val="20"/>
          <w:szCs w:val="20"/>
          <w:color w:val="auto"/>
        </w:rPr>
      </w:pPr>
    </w:p>
    <w:p>
      <w:pPr>
        <w:ind w:right="440" w:firstLine="623"/>
        <w:spacing w:after="0" w:line="268" w:lineRule="auto"/>
        <w:tabs>
          <w:tab w:leader="none" w:pos="120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85" w:lineRule="exact"/>
        <w:rPr>
          <w:rFonts w:ascii="Arial" w:cs="Arial" w:eastAsia="Arial" w:hAnsi="Arial"/>
          <w:sz w:val="18"/>
          <w:szCs w:val="18"/>
          <w:color w:val="auto"/>
        </w:rPr>
      </w:pPr>
    </w:p>
    <w:p>
      <w:pPr>
        <w:ind w:left="1220" w:hanging="597"/>
        <w:spacing w:after="0"/>
        <w:tabs>
          <w:tab w:leader="none" w:pos="1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260" w:hanging="637"/>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220" w:hanging="597"/>
        <w:spacing w:after="0"/>
        <w:tabs>
          <w:tab w:leader="none" w:pos="1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220" w:hanging="597"/>
        <w:spacing w:after="0"/>
        <w:tabs>
          <w:tab w:leader="none" w:pos="12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South Africa</w:t>
      </w:r>
    </w:p>
    <w:p>
      <w:pPr>
        <w:spacing w:after="0" w:line="225" w:lineRule="exact"/>
        <w:rPr>
          <w:sz w:val="20"/>
          <w:szCs w:val="20"/>
          <w:color w:val="auto"/>
        </w:rPr>
      </w:pPr>
    </w:p>
    <w:p>
      <w:pPr>
        <w:ind w:right="40" w:firstLine="623"/>
        <w:spacing w:after="0" w:line="332" w:lineRule="auto"/>
        <w:tabs>
          <w:tab w:leader="none" w:pos="120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139" w:lineRule="exact"/>
        <w:rPr>
          <w:rFonts w:ascii="Arial" w:cs="Arial" w:eastAsia="Arial" w:hAnsi="Arial"/>
          <w:sz w:val="16"/>
          <w:szCs w:val="16"/>
          <w:color w:val="auto"/>
        </w:rPr>
      </w:pPr>
    </w:p>
    <w:p>
      <w:pPr>
        <w:ind w:left="1080" w:firstLine="623"/>
        <w:spacing w:after="0" w:line="255" w:lineRule="auto"/>
        <w:tabs>
          <w:tab w:leader="none" w:pos="229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authorised services provider, or financial institution, acting as agent in the capacity of an authorised portfolio manager for a pension fund (duly registered in South Africa), or as manager for a collective investment scheme(registered in South Africa); or</w:t>
      </w:r>
    </w:p>
    <w:p>
      <w:pPr>
        <w:spacing w:after="0" w:line="196" w:lineRule="exact"/>
        <w:rPr>
          <w:rFonts w:ascii="Arial" w:cs="Arial" w:eastAsia="Arial" w:hAnsi="Arial"/>
          <w:sz w:val="18"/>
          <w:szCs w:val="18"/>
          <w:color w:val="auto"/>
        </w:rPr>
      </w:pPr>
    </w:p>
    <w:p>
      <w:pPr>
        <w:ind w:left="2320" w:hanging="617"/>
        <w:spacing w:after="0"/>
        <w:tabs>
          <w:tab w:leader="none" w:pos="232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contemplated acquisition cost of the securities, for any single addressee acting as principal is equal to or greater than</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R1,000,000.</w:t>
      </w:r>
    </w:p>
    <w:p>
      <w:pPr>
        <w:spacing w:after="0" w:line="218" w:lineRule="exact"/>
        <w:rPr>
          <w:rFonts w:ascii="Arial" w:cs="Arial" w:eastAsia="Arial" w:hAnsi="Arial"/>
          <w:sz w:val="16"/>
          <w:szCs w:val="16"/>
          <w:color w:val="auto"/>
        </w:rPr>
      </w:pPr>
    </w:p>
    <w:p>
      <w:pPr>
        <w:ind w:right="160" w:firstLine="623"/>
        <w:spacing w:after="0" w:line="255" w:lineRule="auto"/>
        <w:tabs>
          <w:tab w:leader="none" w:pos="121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This prospectus does not, nor is it intended to, constitute an "offer to the public" (as that term is defined in the South African Companies Act, 2008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right="200" w:firstLine="611"/>
        <w:spacing w:after="0" w:line="318" w:lineRule="auto"/>
        <w:rPr>
          <w:sz w:val="20"/>
          <w:szCs w:val="20"/>
          <w:color w:val="auto"/>
        </w:rPr>
      </w:pPr>
      <w:r>
        <w:rPr>
          <w:rFonts w:ascii="Arial" w:cs="Arial" w:eastAsia="Arial" w:hAnsi="Arial"/>
          <w:sz w:val="15"/>
          <w:szCs w:val="15"/>
          <w:color w:val="auto"/>
        </w:rPr>
        <w:t>The shares may not be publicly offered in Switzerland and will not be listed on the SIX Swiss Exchange ("SIX") or on any other stock exchange or regulated trading facility in Switzerland. This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the shares have been or will be filed with or approved by any Swiss regulatory authority. In particular, this prospectus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Taiwan</w:t>
      </w:r>
    </w:p>
    <w:p>
      <w:pPr>
        <w:spacing w:after="0" w:line="225"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20" w:firstLine="611"/>
        <w:spacing w:after="0" w:line="259" w:lineRule="auto"/>
        <w:rPr>
          <w:sz w:val="20"/>
          <w:szCs w:val="20"/>
          <w:color w:val="auto"/>
        </w:rPr>
      </w:pPr>
      <w:r>
        <w:rPr>
          <w:rFonts w:ascii="Arial" w:cs="Arial" w:eastAsia="Arial" w:hAnsi="Arial"/>
          <w:sz w:val="18"/>
          <w:szCs w:val="18"/>
          <w:color w:val="auto"/>
        </w:rPr>
        <w:t>The validity of the shares of common stock offered hereby will be passed upon for us by Wilmer Cutler Pickering Hale and Dorr LLP, Boston, Massachusetts. Davis Polk &amp; Wardwell LLP, New York, New York, is acting as counsel for the underwriters in connection with certain legal matters related to this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2014 and 2013, and for the period from September 3, 2013 (Inception) to December 31, 2013 and the year ended December 31, 2014, as set forth in their report. We have included our financial statements in the prospectus and elsewhere in the registration statement in reliance on Ernst &amp; Young LLP's report, given 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have filed with the Securities and Exchange Commission, or SEC, a registration statement on Form S-1 under the Securities Act of 1933, as amended,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74" w:lineRule="exact"/>
        <w:rPr>
          <w:sz w:val="20"/>
          <w:szCs w:val="20"/>
          <w:color w:val="auto"/>
        </w:rPr>
      </w:pPr>
    </w:p>
    <w:p>
      <w:pPr>
        <w:ind w:right="180" w:firstLine="615"/>
        <w:spacing w:after="0" w:line="255" w:lineRule="auto"/>
        <w:rPr>
          <w:sz w:val="20"/>
          <w:szCs w:val="20"/>
          <w:color w:val="auto"/>
        </w:rPr>
      </w:pPr>
      <w:r>
        <w:rPr>
          <w:rFonts w:ascii="Arial" w:cs="Arial" w:eastAsia="Arial" w:hAnsi="Arial"/>
          <w:sz w:val="18"/>
          <w:szCs w:val="18"/>
          <w:color w:val="auto"/>
        </w:rPr>
        <w:t xml:space="preserve">Upon completion of this offering, we will be required to file periodic reports, proxy statements, and other information with the SEC pursuant to the Securities Exchange Act of 1934. You may read and copy this information at the Public Reference Room of the SEC, 100 F Street, N.E., Room 1580, Washington, D.C. 20549. You may obtain information on the operation of the public reference rooms by calling the Securities and Exchange Commission at 1-800-SEC-0330. The SEC also maintains an Internet website that contains reports, proxy statements, and other information about registrants, like us, that file electronically with the SEC. The address of that 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07"/>
        </w:trPr>
        <w:tc>
          <w:tcPr>
            <w:tcW w:w="876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51"/>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0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rPr>
              <w:t>EDITAS MEDICINE, INC.</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0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9"/>
              </w:rPr>
              <w:t>INDEX TO FINANCIAL STATEMENTS</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7620" w:type="dxa"/>
            <w:vAlign w:val="bottom"/>
            <w:gridSpan w:val="8"/>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Report of Independent Registered Public Accounting Firm</w:t>
              </w:r>
            </w:hyperlink>
          </w:p>
        </w:tc>
        <w:tc>
          <w:tcPr>
            <w:tcW w:w="2660" w:type="dxa"/>
            <w:vAlign w:val="bottom"/>
            <w:gridSpan w:val="3"/>
          </w:tcPr>
          <w:p>
            <w:pPr>
              <w:ind w:left="1280"/>
              <w:spacing w:after="0"/>
              <w:rPr>
                <w:rFonts w:ascii="Arial" w:cs="Arial" w:eastAsia="Arial" w:hAnsi="Arial"/>
                <w:sz w:val="18"/>
                <w:szCs w:val="18"/>
                <w:color w:val="0000EE"/>
              </w:rPr>
            </w:pPr>
            <w:hyperlink w:anchor="page223">
              <w:r>
                <w:rPr>
                  <w:rFonts w:ascii="Arial" w:cs="Arial" w:eastAsia="Arial" w:hAnsi="Arial"/>
                  <w:sz w:val="18"/>
                  <w:szCs w:val="18"/>
                  <w:color w:val="0000EE"/>
                </w:rPr>
                <w:t>F-2</w:t>
              </w:r>
            </w:hyperlink>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80" w:type="dxa"/>
            <w:vAlign w:val="bottom"/>
            <w:gridSpan w:val="2"/>
          </w:tcPr>
          <w:p>
            <w:pPr>
              <w:spacing w:after="0" w:line="196" w:lineRule="exact"/>
              <w:rPr>
                <w:rFonts w:ascii="Arial" w:cs="Arial" w:eastAsia="Arial" w:hAnsi="Arial"/>
                <w:sz w:val="18"/>
                <w:szCs w:val="18"/>
                <w:color w:val="0000EE"/>
                <w:w w:val="84"/>
              </w:rPr>
            </w:pPr>
            <w:hyperlink w:anchor="page224">
              <w:r>
                <w:rPr>
                  <w:rFonts w:ascii="Arial" w:cs="Arial" w:eastAsia="Arial" w:hAnsi="Arial"/>
                  <w:sz w:val="18"/>
                  <w:szCs w:val="18"/>
                  <w:color w:val="0000EE"/>
                  <w:w w:val="84"/>
                </w:rPr>
                <w:t>Balance Sheets</w:t>
              </w:r>
            </w:hyperlink>
          </w:p>
        </w:tc>
        <w:tc>
          <w:tcPr>
            <w:tcW w:w="3040" w:type="dxa"/>
            <w:vAlign w:val="bottom"/>
            <w:gridSpan w:val="4"/>
          </w:tcPr>
          <w:p>
            <w:pPr>
              <w:spacing w:after="0"/>
              <w:rPr>
                <w:sz w:val="17"/>
                <w:szCs w:val="17"/>
                <w:color w:val="auto"/>
              </w:rPr>
            </w:pPr>
          </w:p>
        </w:tc>
        <w:tc>
          <w:tcPr>
            <w:tcW w:w="3500" w:type="dxa"/>
            <w:vAlign w:val="bottom"/>
            <w:gridSpan w:val="2"/>
          </w:tcPr>
          <w:p>
            <w:pPr>
              <w:spacing w:after="0"/>
              <w:rPr>
                <w:sz w:val="17"/>
                <w:szCs w:val="17"/>
                <w:color w:val="auto"/>
              </w:rPr>
            </w:pPr>
          </w:p>
        </w:tc>
        <w:tc>
          <w:tcPr>
            <w:tcW w:w="2660" w:type="dxa"/>
            <w:vAlign w:val="bottom"/>
            <w:gridSpan w:val="3"/>
          </w:tcPr>
          <w:p>
            <w:pPr>
              <w:ind w:left="128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F-3</w:t>
              </w:r>
            </w:hyperlink>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20" w:type="dxa"/>
            <w:vAlign w:val="bottom"/>
            <w:gridSpan w:val="8"/>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Statements of Operations and Comprehensive Loss</w:t>
              </w:r>
            </w:hyperlink>
          </w:p>
        </w:tc>
        <w:tc>
          <w:tcPr>
            <w:tcW w:w="2660" w:type="dxa"/>
            <w:vAlign w:val="bottom"/>
            <w:gridSpan w:val="3"/>
          </w:tcPr>
          <w:p>
            <w:pPr>
              <w:ind w:left="1280"/>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F-4</w:t>
              </w:r>
            </w:hyperlink>
          </w:p>
        </w:tc>
      </w:tr>
      <w:tr>
        <w:trPr>
          <w:trHeight w:val="20"/>
        </w:trPr>
        <w:tc>
          <w:tcPr>
            <w:tcW w:w="114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20" w:type="dxa"/>
            <w:vAlign w:val="bottom"/>
            <w:gridSpan w:val="8"/>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Statements of Redeemable Convertible Preferred Stock and Stockholders' (Deficit) Equity</w:t>
              </w:r>
            </w:hyperlink>
          </w:p>
        </w:tc>
        <w:tc>
          <w:tcPr>
            <w:tcW w:w="2660" w:type="dxa"/>
            <w:vAlign w:val="bottom"/>
            <w:gridSpan w:val="3"/>
          </w:tcPr>
          <w:p>
            <w:pPr>
              <w:ind w:left="1280"/>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F-5</w:t>
              </w:r>
            </w:hyperlink>
          </w:p>
        </w:tc>
      </w:tr>
      <w:tr>
        <w:trPr>
          <w:trHeight w:val="20"/>
        </w:trPr>
        <w:tc>
          <w:tcPr>
            <w:tcW w:w="114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40" w:type="dxa"/>
            <w:vAlign w:val="bottom"/>
            <w:gridSpan w:val="3"/>
          </w:tcPr>
          <w:p>
            <w:pPr>
              <w:spacing w:after="0" w:line="196" w:lineRule="exact"/>
              <w:rPr>
                <w:rFonts w:ascii="Arial" w:cs="Arial" w:eastAsia="Arial" w:hAnsi="Arial"/>
                <w:sz w:val="18"/>
                <w:szCs w:val="18"/>
                <w:color w:val="0000EE"/>
                <w:w w:val="86"/>
              </w:rPr>
            </w:pPr>
            <w:hyperlink w:anchor="page228">
              <w:r>
                <w:rPr>
                  <w:rFonts w:ascii="Arial" w:cs="Arial" w:eastAsia="Arial" w:hAnsi="Arial"/>
                  <w:sz w:val="18"/>
                  <w:szCs w:val="18"/>
                  <w:color w:val="0000EE"/>
                  <w:w w:val="86"/>
                </w:rPr>
                <w:t>Statements of Cash Flows</w:t>
              </w:r>
            </w:hyperlink>
          </w:p>
        </w:tc>
        <w:tc>
          <w:tcPr>
            <w:tcW w:w="450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2660" w:type="dxa"/>
            <w:vAlign w:val="bottom"/>
            <w:gridSpan w:val="3"/>
          </w:tcPr>
          <w:p>
            <w:pPr>
              <w:ind w:left="1280"/>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F-6</w:t>
              </w:r>
            </w:hyperlink>
          </w:p>
        </w:tc>
      </w:tr>
      <w:tr>
        <w:trPr>
          <w:trHeight w:val="20"/>
        </w:trPr>
        <w:tc>
          <w:tcPr>
            <w:tcW w:w="114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20" w:type="dxa"/>
            <w:vAlign w:val="bottom"/>
            <w:gridSpan w:val="8"/>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Notes to Financial Statements</w:t>
              </w:r>
            </w:hyperlink>
          </w:p>
        </w:tc>
        <w:tc>
          <w:tcPr>
            <w:tcW w:w="2660" w:type="dxa"/>
            <w:vAlign w:val="bottom"/>
            <w:gridSpan w:val="3"/>
          </w:tcPr>
          <w:p>
            <w:pPr>
              <w:ind w:left="1280"/>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F-7</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00" w:type="dxa"/>
            <w:vAlign w:val="bottom"/>
            <w:gridSpan w:val="2"/>
          </w:tcPr>
          <w:p>
            <w:pPr>
              <w:jc w:val="center"/>
              <w:ind w:right="2580"/>
              <w:spacing w:after="0"/>
              <w:rPr>
                <w:sz w:val="20"/>
                <w:szCs w:val="20"/>
                <w:color w:val="auto"/>
              </w:rPr>
            </w:pPr>
            <w:r>
              <w:rPr>
                <w:rFonts w:ascii="Arial" w:cs="Arial" w:eastAsia="Arial" w:hAnsi="Arial"/>
                <w:sz w:val="18"/>
                <w:szCs w:val="18"/>
                <w:color w:val="auto"/>
                <w:w w:val="88"/>
              </w:rPr>
              <w:t>F-1</w:t>
            </w:r>
          </w:p>
        </w:tc>
        <w:tc>
          <w:tcPr>
            <w:tcW w:w="1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Editas Medicine, Inc.</w:t>
      </w:r>
    </w:p>
    <w:p>
      <w:pPr>
        <w:spacing w:after="0" w:line="219" w:lineRule="exact"/>
        <w:rPr>
          <w:sz w:val="20"/>
          <w:szCs w:val="20"/>
          <w:color w:val="auto"/>
        </w:rPr>
      </w:pPr>
    </w:p>
    <w:p>
      <w:pPr>
        <w:ind w:right="100" w:firstLine="611"/>
        <w:spacing w:after="0" w:line="298" w:lineRule="auto"/>
        <w:rPr>
          <w:sz w:val="20"/>
          <w:szCs w:val="20"/>
          <w:color w:val="auto"/>
        </w:rPr>
      </w:pPr>
      <w:r>
        <w:rPr>
          <w:rFonts w:ascii="Arial" w:cs="Arial" w:eastAsia="Arial" w:hAnsi="Arial"/>
          <w:sz w:val="16"/>
          <w:szCs w:val="16"/>
          <w:color w:val="auto"/>
        </w:rPr>
        <w:t>We have audited the accompanying balance sheets of Editas Medicine, Inc. (the "Company") as of December 31, 2013 and 2014, and the related statements of operations and comprehensive loss, redeemable convertible preferred stock and stockholders' (deficit) equity, and cash flows for the period from September 3, 2013 (Inception) to December 31, 2013 and the year ended December 31, 2014. These financial statements are the responsibility of the Company's management. Our responsibility is to express an opinion on these financial statements based on our audit.</w:t>
      </w:r>
    </w:p>
    <w:p>
      <w:pPr>
        <w:spacing w:after="0" w:line="167" w:lineRule="exact"/>
        <w:rPr>
          <w:sz w:val="20"/>
          <w:szCs w:val="20"/>
          <w:color w:val="auto"/>
        </w:rPr>
      </w:pPr>
    </w:p>
    <w:p>
      <w:pPr>
        <w:ind w:right="80" w:firstLine="611"/>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72"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Editas Medicine, Inc. at December 31, 2013 and 2014, and the results of its operations and its cash flows for the period from September 3, 2013 (Inception) to December 31, 2013 and the year ended December 31, 2014, in conformity with U.S. generally accepted accounting principles.</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16, 2015, except for Note 16(f), as to which the date is January 25, 2016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Editas Medicine,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5"/>
                <w:szCs w:val="5"/>
                <w:color w:val="auto"/>
              </w:rPr>
            </w:pPr>
          </w:p>
        </w:tc>
        <w:tc>
          <w:tcPr>
            <w:tcW w:w="10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10,623</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155,301</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155,301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rPr>
              <w:t>Preferred stock tranche asset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156,941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156,941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ind w:left="220"/>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159,745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159,745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900" w:type="dxa"/>
            <w:vAlign w:val="bottom"/>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LIABILITIES, REDEEMABLE CONVERTIBLE PREFERRED STOCK AND</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STOCKHOLDERS' (DEFICIT) EQUITY</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1,515</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rent, current portion</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rPr>
              <w:t>Anti-dilution protection liability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tranche liability</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rPr>
              <w:t>Equipment loan, current portion, net of discount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6,161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Deferred rent, net of current portion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 loan, net of current portion and discount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25,165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25,165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liability</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Other long term liabilities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32,269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32,129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gridSpan w:val="2"/>
          </w:tcPr>
          <w:p>
            <w:pPr>
              <w:spacing w:after="0" w:line="142" w:lineRule="exact"/>
              <w:rPr>
                <w:sz w:val="20"/>
                <w:szCs w:val="20"/>
                <w:color w:val="auto"/>
              </w:rPr>
            </w:pPr>
            <w:r>
              <w:rPr>
                <w:rFonts w:ascii="Arial" w:cs="Arial" w:eastAsia="Arial" w:hAnsi="Arial"/>
                <w:sz w:val="14"/>
                <w:szCs w:val="14"/>
                <w:color w:val="auto"/>
              </w:rPr>
              <w:t>Commitments and contingencies (see note 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Series A-1 redeemable convertible preferred stock, $0.0001 par value per share:</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8"/>
              </w:rPr>
              <w:t>21,260,000, 21,320,000, and 21,320,000 shares authorized at December 31, 2013 and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2014, and September 30, 2015 (unaudited), respectively; 3,260,000, 21,260,000, and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2"/>
              </w:rPr>
              <w:t>21,260,000 shares issued and outstanding at December 31, 2013 and 2014, and at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September 30, 2015 (unaudited), respectively; aggregate liquidation preference of</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8"/>
              </w:rPr>
              <w:t>$21,260,000 at December 31, 2014 and at September 30, 2015 (unaudited); no shares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4"/>
              </w:rPr>
              <w:t>authorized, issued and outstanding at September 30, 2015, pro forma (unaudited)</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2,111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20,772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21,056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00" w:type="dxa"/>
            <w:vAlign w:val="bottom"/>
          </w:tcPr>
          <w:p>
            <w:pPr>
              <w:spacing w:after="0" w:line="138" w:lineRule="exact"/>
              <w:rPr>
                <w:sz w:val="20"/>
                <w:szCs w:val="20"/>
                <w:color w:val="auto"/>
              </w:rPr>
            </w:pPr>
            <w:r>
              <w:rPr>
                <w:rFonts w:ascii="Arial" w:cs="Arial" w:eastAsia="Arial" w:hAnsi="Arial"/>
                <w:sz w:val="14"/>
                <w:szCs w:val="14"/>
                <w:color w:val="auto"/>
                <w:w w:val="97"/>
              </w:rPr>
              <w:t>Series A-2 redeemable convertible preferred stock, $0.0001 par value per share: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w w:val="93"/>
              </w:rPr>
              <w:t>16,698,672 shares authorized at December 31, 2013 and 2014, and 16,890,699 at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w w:val="87"/>
              </w:rPr>
              <w:t>September 30, 2015 (unaudited); 0, 0, and 16,890,699 shares issued and outstanding at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w w:val="91"/>
              </w:rPr>
              <w:t>December 31, 2013 and 2014, and at September 30, 2015 (unaudited), respectively;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w w:val="90"/>
              </w:rPr>
              <w:t>aggregate liquidation preference of $0 and $21,990,000 at December 31, 2014 and at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w w:val="96"/>
              </w:rPr>
              <w:t>September 30, 2015 (unaudited), respectively; no shares authorized, issued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00" w:type="dxa"/>
            <w:vAlign w:val="bottom"/>
          </w:tcPr>
          <w:p>
            <w:pPr>
              <w:ind w:left="100"/>
              <w:spacing w:after="0" w:line="159" w:lineRule="exact"/>
              <w:rPr>
                <w:sz w:val="20"/>
                <w:szCs w:val="20"/>
                <w:color w:val="auto"/>
              </w:rPr>
            </w:pPr>
            <w:r>
              <w:rPr>
                <w:rFonts w:ascii="Arial" w:cs="Arial" w:eastAsia="Arial" w:hAnsi="Arial"/>
                <w:sz w:val="14"/>
                <w:szCs w:val="14"/>
                <w:color w:val="auto"/>
              </w:rPr>
              <w:t>outstanding at September 30, 2015, pro forma (unaudited)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59,027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Series B redeemable convertible preferred stock, $0.0001 par value per share; no shares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authorized at December 31, 2013 and 2014, 26,666,660 shares authorized at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7"/>
              </w:rPr>
              <w:t>September 30, 2015 (unaudited); 0, 0, and 26,666,660 shares issued and outstanding at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December 31, 2013 and 2014, and at September 30, 2015 (unaudited), respectively;</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8"/>
              </w:rPr>
              <w:t>aggregate liquidation preference of $0 and $119,999,970 at December 31, 2014 and at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September 30, 2015 (unaudited), respectively; no shares authorized, issued and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outstanding at September 30, 2015, pro forma (unaudited)</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119,733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Stockholders' (deficit) equity: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8"/>
              </w:rPr>
              <w:t>Common stock, $0.0001 par value per share: 57,250,000 shares authorized at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December 31, 2013, 60,800,000 shares at December 31, 2014, and 92,000,000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authorized at September 30, 2015 (unaudited), respectively; 2,598,556, 4,513,208,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and 4,864,253 shares issued and 751,200, 1,863,169, and 3,010,930 shares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outstanding at December 31, 2013 and 2014 and September 30, 2015 (unaudited),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7"/>
              </w:rPr>
              <w:t>respectively; 92,000,000 shares authorized; 29,793,962 shares issued and 27,940,639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shares outstanding at September 30, 2015, pro forma (unaudited)</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203,323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(15,448)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(75,715)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(75,710)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ind w:left="220"/>
              <w:spacing w:after="0" w:line="142" w:lineRule="exact"/>
              <w:rPr>
                <w:sz w:val="20"/>
                <w:szCs w:val="20"/>
                <w:color w:val="auto"/>
              </w:rPr>
            </w:pPr>
            <w:r>
              <w:rPr>
                <w:rFonts w:ascii="Arial" w:cs="Arial" w:eastAsia="Arial" w:hAnsi="Arial"/>
                <w:sz w:val="14"/>
                <w:szCs w:val="14"/>
                <w:color w:val="auto"/>
              </w:rPr>
              <w:t>Total stockholders' (deficit) equity</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(72,340)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127,616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00" w:type="dxa"/>
            <w:vAlign w:val="bottom"/>
            <w:shd w:val="clear" w:color="auto" w:fill="CCEEFF"/>
          </w:tcPr>
          <w:p>
            <w:pPr>
              <w:ind w:left="220"/>
              <w:spacing w:after="0" w:line="131" w:lineRule="exact"/>
              <w:rPr>
                <w:sz w:val="20"/>
                <w:szCs w:val="20"/>
                <w:color w:val="auto"/>
              </w:rPr>
            </w:pPr>
            <w:r>
              <w:rPr>
                <w:rFonts w:ascii="Arial" w:cs="Arial" w:eastAsia="Arial" w:hAnsi="Arial"/>
                <w:sz w:val="14"/>
                <w:szCs w:val="14"/>
                <w:color w:val="auto"/>
                <w:w w:val="93"/>
              </w:rPr>
              <w:t>Total liabilities, redeemable convertible preferred stock and stockholders' (deficit)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0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equity</w:t>
            </w:r>
          </w:p>
        </w:tc>
        <w:tc>
          <w:tcPr>
            <w:tcW w:w="260" w:type="dxa"/>
            <w:vAlign w:val="bottom"/>
            <w:gridSpan w:val="2"/>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12,188</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159,745</w:t>
            </w:r>
          </w:p>
        </w:tc>
        <w:tc>
          <w:tcPr>
            <w:tcW w:w="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159,745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(amounts in thousands, except per share and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September 3, 2013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20" w:type="dxa"/>
            <w:vAlign w:val="bottom"/>
            <w:gridSpan w:val="7"/>
          </w:tcPr>
          <w:p>
            <w:pPr>
              <w:jc w:val="center"/>
              <w:ind w:right="144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20" w:type="dxa"/>
            <w:vAlign w:val="bottom"/>
            <w:gridSpan w:val="7"/>
          </w:tcPr>
          <w:p>
            <w:pPr>
              <w:jc w:val="center"/>
              <w:ind w:right="14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4"/>
          </w:tcPr>
          <w:p>
            <w:pPr>
              <w:jc w:val="right"/>
              <w:ind w:right="553"/>
              <w:spacing w:after="0"/>
              <w:rPr>
                <w:sz w:val="20"/>
                <w:szCs w:val="20"/>
                <w:color w:val="auto"/>
              </w:rPr>
            </w:pPr>
            <w:r>
              <w:rPr>
                <w:rFonts w:ascii="Arial" w:cs="Arial" w:eastAsia="Arial" w:hAnsi="Arial"/>
                <w:sz w:val="12"/>
                <w:szCs w:val="12"/>
                <w:b w:val="1"/>
                <w:bCs w:val="1"/>
                <w:color w:val="auto"/>
                <w:w w:val="79"/>
              </w:rPr>
              <w:t>(unaudited)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gridSpan w:val="2"/>
          </w:tcPr>
          <w:p>
            <w:pPr>
              <w:ind w:left="114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(22,939)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(37,219)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1140"/>
              <w:spacing w:after="0"/>
              <w:rPr>
                <w:sz w:val="20"/>
                <w:szCs w:val="20"/>
                <w:color w:val="auto"/>
              </w:rPr>
            </w:pPr>
            <w:r>
              <w:rPr>
                <w:rFonts w:ascii="Arial" w:cs="Arial" w:eastAsia="Arial" w:hAnsi="Arial"/>
                <w:sz w:val="18"/>
                <w:szCs w:val="18"/>
                <w:color w:val="auto"/>
                <w:w w:val="91"/>
              </w:rPr>
              <w:t>Reconciliation of net loss to net loss attributable to common</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Accretion of redeemable convertible preferred stock to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1140"/>
              <w:spacing w:after="0"/>
              <w:rPr>
                <w:sz w:val="20"/>
                <w:szCs w:val="20"/>
                <w:color w:val="auto"/>
              </w:rPr>
            </w:pPr>
            <w:r>
              <w:rPr>
                <w:rFonts w:ascii="Arial" w:cs="Arial" w:eastAsia="Arial" w:hAnsi="Arial"/>
                <w:sz w:val="18"/>
                <w:szCs w:val="18"/>
                <w:color w:val="auto"/>
                <w:w w:val="97"/>
              </w:rPr>
              <w:t>Net loss per share attributable to common stockholders,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(12.46)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(25.53)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Weighted-average common shares outstanding, basic and</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300,480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1,123,098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970,593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2,371,976</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1140"/>
              <w:spacing w:after="0"/>
              <w:rPr>
                <w:sz w:val="20"/>
                <w:szCs w:val="20"/>
                <w:color w:val="auto"/>
              </w:rPr>
            </w:pPr>
            <w:r>
              <w:rPr>
                <w:rFonts w:ascii="Arial" w:cs="Arial" w:eastAsia="Arial" w:hAnsi="Arial"/>
                <w:sz w:val="18"/>
                <w:szCs w:val="18"/>
                <w:color w:val="auto"/>
                <w:w w:val="92"/>
              </w:rPr>
              <w:t>Pro-forma net loss per share, basic and diluted (unaudited)</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Pro-forma weighted-average common shares outstanding,</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(unaudited)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4,038,660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15,440,679</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00" w:type="dxa"/>
            <w:vAlign w:val="bottom"/>
            <w:gridSpan w:val="4"/>
            <w:vMerge w:val="restart"/>
          </w:tcPr>
          <w:p>
            <w:pPr>
              <w:jc w:val="right"/>
              <w:ind w:right="1140"/>
              <w:spacing w:after="0"/>
              <w:rPr>
                <w:sz w:val="20"/>
                <w:szCs w:val="20"/>
                <w:color w:val="auto"/>
              </w:rPr>
            </w:pPr>
            <w:r>
              <w:rPr>
                <w:rFonts w:ascii="Arial" w:cs="Arial" w:eastAsia="Arial" w:hAnsi="Arial"/>
                <w:sz w:val="18"/>
                <w:szCs w:val="18"/>
                <w:color w:val="auto"/>
              </w:rPr>
              <w:t>F-4</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0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line="58"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 Equity</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gridSpan w:val="3"/>
          </w:tcPr>
          <w:p>
            <w:pPr>
              <w:jc w:val="center"/>
              <w:ind w:left="335"/>
              <w:spacing w:after="0"/>
              <w:rPr>
                <w:sz w:val="20"/>
                <w:szCs w:val="20"/>
                <w:color w:val="auto"/>
              </w:rPr>
            </w:pPr>
            <w:r>
              <w:rPr>
                <w:rFonts w:ascii="Arial" w:cs="Arial" w:eastAsia="Arial" w:hAnsi="Arial"/>
                <w:sz w:val="14"/>
                <w:szCs w:val="14"/>
                <w:b w:val="1"/>
                <w:bCs w:val="1"/>
                <w:color w:val="auto"/>
                <w:w w:val="84"/>
              </w:rPr>
              <w:t>Series A-1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left="312"/>
              <w:spacing w:after="0"/>
              <w:rPr>
                <w:sz w:val="20"/>
                <w:szCs w:val="20"/>
                <w:color w:val="auto"/>
              </w:rPr>
            </w:pPr>
            <w:r>
              <w:rPr>
                <w:rFonts w:ascii="Arial" w:cs="Arial" w:eastAsia="Arial" w:hAnsi="Arial"/>
                <w:sz w:val="14"/>
                <w:szCs w:val="14"/>
                <w:b w:val="1"/>
                <w:bCs w:val="1"/>
                <w:color w:val="auto"/>
                <w:w w:val="84"/>
              </w:rPr>
              <w:t>Series A-2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Redeemable</w:t>
            </w:r>
          </w:p>
        </w:tc>
        <w:tc>
          <w:tcPr>
            <w:tcW w:w="80" w:type="dxa"/>
            <w:vAlign w:val="bottom"/>
          </w:tcPr>
          <w:p>
            <w:pPr>
              <w:spacing w:after="0"/>
              <w:rPr>
                <w:sz w:val="12"/>
                <w:szCs w:val="12"/>
                <w:color w:val="auto"/>
              </w:rPr>
            </w:pPr>
          </w:p>
        </w:tc>
        <w:tc>
          <w:tcPr>
            <w:tcW w:w="13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4"/>
              </w:rPr>
              <w:t>Redeemable</w:t>
            </w:r>
          </w:p>
        </w:tc>
        <w:tc>
          <w:tcPr>
            <w:tcW w:w="80" w:type="dxa"/>
            <w:vAlign w:val="bottom"/>
          </w:tcPr>
          <w:p>
            <w:pPr>
              <w:spacing w:after="0"/>
              <w:rPr>
                <w:sz w:val="12"/>
                <w:szCs w:val="12"/>
                <w:color w:val="auto"/>
              </w:rPr>
            </w:pPr>
          </w:p>
        </w:tc>
        <w:tc>
          <w:tcPr>
            <w:tcW w:w="1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0" w:type="dxa"/>
            <w:vAlign w:val="bottom"/>
          </w:tcPr>
          <w:p>
            <w:pPr>
              <w:spacing w:after="0"/>
              <w:rPr>
                <w:sz w:val="5"/>
                <w:szCs w:val="5"/>
                <w:color w:val="auto"/>
              </w:rPr>
            </w:pPr>
          </w:p>
        </w:tc>
        <w:tc>
          <w:tcPr>
            <w:tcW w:w="138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52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Redeemable Convertible</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5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5"/>
            <w:vMerge w:val="restart"/>
          </w:tcPr>
          <w:p>
            <w:pPr>
              <w:ind w:left="80"/>
              <w:spacing w:after="0" w:line="149" w:lineRule="exact"/>
              <w:rPr>
                <w:sz w:val="20"/>
                <w:szCs w:val="20"/>
                <w:color w:val="auto"/>
              </w:rPr>
            </w:pPr>
            <w:r>
              <w:rPr>
                <w:rFonts w:ascii="Arial" w:cs="Arial" w:eastAsia="Arial" w:hAnsi="Arial"/>
                <w:sz w:val="14"/>
                <w:szCs w:val="14"/>
                <w:b w:val="1"/>
                <w:bCs w:val="1"/>
                <w:color w:val="auto"/>
              </w:rPr>
              <w:t>Additional</w:t>
            </w:r>
          </w:p>
        </w:tc>
        <w:tc>
          <w:tcPr>
            <w:tcW w:w="640" w:type="dxa"/>
            <w:vAlign w:val="bottom"/>
          </w:tcPr>
          <w:p>
            <w:pPr>
              <w:spacing w:after="0"/>
              <w:rPr>
                <w:sz w:val="7"/>
                <w:szCs w:val="7"/>
                <w:color w:val="auto"/>
              </w:rPr>
            </w:pPr>
          </w:p>
        </w:tc>
        <w:tc>
          <w:tcPr>
            <w:tcW w:w="1020" w:type="dxa"/>
            <w:vAlign w:val="bottom"/>
            <w:gridSpan w:val="4"/>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5"/>
                <w:szCs w:val="5"/>
                <w:color w:val="auto"/>
              </w:rPr>
            </w:pPr>
          </w:p>
        </w:tc>
        <w:tc>
          <w:tcPr>
            <w:tcW w:w="13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5"/>
                <w:szCs w:val="5"/>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5"/>
                <w:szCs w:val="5"/>
                <w:color w:val="auto"/>
              </w:rPr>
            </w:pP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5"/>
                <w:szCs w:val="5"/>
                <w:color w:val="auto"/>
              </w:rPr>
            </w:pPr>
          </w:p>
        </w:tc>
        <w:tc>
          <w:tcPr>
            <w:tcW w:w="920" w:type="dxa"/>
            <w:vAlign w:val="bottom"/>
            <w:gridSpan w:val="5"/>
            <w:vMerge w:val="continue"/>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8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Borders>
              <w:bottom w:val="single" w:sz="8" w:color="auto"/>
            </w:tcBorders>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Borders>
              <w:bottom w:val="single" w:sz="8" w:color="auto"/>
            </w:tcBorders>
            <w:gridSpan w:val="3"/>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6"/>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   Accumulated</w:t>
            </w:r>
          </w:p>
        </w:tc>
        <w:tc>
          <w:tcPr>
            <w:tcW w:w="8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gridSpan w:val="6"/>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4"/>
          </w:tcPr>
          <w:p>
            <w:pPr>
              <w:jc w:val="center"/>
              <w:ind w:left="35"/>
              <w:spacing w:after="0"/>
              <w:rPr>
                <w:sz w:val="20"/>
                <w:szCs w:val="20"/>
                <w:color w:val="auto"/>
              </w:rPr>
            </w:pPr>
            <w:r>
              <w:rPr>
                <w:rFonts w:ascii="Arial" w:cs="Arial" w:eastAsia="Arial" w:hAnsi="Arial"/>
                <w:sz w:val="14"/>
                <w:szCs w:val="14"/>
                <w:b w:val="1"/>
                <w:bCs w:val="1"/>
                <w:color w:val="auto"/>
                <w:w w:val="90"/>
              </w:rPr>
              <w:t>SharesAmount</w:t>
            </w:r>
          </w:p>
        </w:tc>
        <w:tc>
          <w:tcPr>
            <w:tcW w:w="8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Amount</w:t>
            </w:r>
          </w:p>
        </w:tc>
        <w:tc>
          <w:tcPr>
            <w:tcW w:w="80" w:type="dxa"/>
            <w:vAlign w:val="bottom"/>
          </w:tcPr>
          <w:p>
            <w:pPr>
              <w:spacing w:after="0"/>
              <w:rPr>
                <w:sz w:val="14"/>
                <w:szCs w:val="14"/>
                <w:color w:val="auto"/>
              </w:rPr>
            </w:pPr>
          </w:p>
        </w:tc>
        <w:tc>
          <w:tcPr>
            <w:tcW w:w="13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8"/>
              </w:rPr>
              <w:t>Shares   Amount</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Deficit</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September 3,</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2013</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(Inception)</w:t>
            </w:r>
          </w:p>
        </w:tc>
        <w:tc>
          <w:tcPr>
            <w:tcW w:w="980" w:type="dxa"/>
            <w:vAlign w:val="bottom"/>
            <w:gridSpan w:val="3"/>
            <w:shd w:val="clear" w:color="auto" w:fill="CCEEFF"/>
          </w:tcPr>
          <w:p>
            <w:pPr>
              <w:jc w:val="center"/>
              <w:ind w:left="395"/>
              <w:spacing w:after="0"/>
              <w:rPr>
                <w:sz w:val="20"/>
                <w:szCs w:val="20"/>
                <w:color w:val="auto"/>
              </w:rPr>
            </w:pPr>
            <w:r>
              <w:rPr>
                <w:rFonts w:ascii="Arial" w:cs="Arial" w:eastAsia="Arial" w:hAnsi="Arial"/>
                <w:sz w:val="14"/>
                <w:szCs w:val="14"/>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center"/>
              <w:ind w:left="492"/>
              <w:spacing w:after="0"/>
              <w:rPr>
                <w:sz w:val="20"/>
                <w:szCs w:val="20"/>
                <w:color w:val="auto"/>
              </w:rPr>
            </w:pPr>
            <w:r>
              <w:rPr>
                <w:rFonts w:ascii="Arial" w:cs="Arial" w:eastAsia="Arial" w:hAnsi="Arial"/>
                <w:sz w:val="14"/>
                <w:szCs w:val="14"/>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center"/>
              <w:ind w:left="192"/>
              <w:spacing w:after="0"/>
              <w:rPr>
                <w:sz w:val="20"/>
                <w:szCs w:val="20"/>
                <w:color w:val="auto"/>
              </w:rPr>
            </w:pPr>
            <w:r>
              <w:rPr>
                <w:rFonts w:ascii="Arial" w:cs="Arial" w:eastAsia="Arial" w:hAnsi="Arial"/>
                <w:sz w:val="14"/>
                <w:szCs w:val="14"/>
                <w:color w:val="auto"/>
              </w:rPr>
              <w:t>— $</w:t>
            </w: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Series A-1</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0"/>
              </w:rPr>
              <w:t>preferred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1"/>
              </w:rPr>
              <w:t>net of preferred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stock tranche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liability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$902 and and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5"/>
              </w:rPr>
              <w:t>issuance costs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of $272</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3,260,000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2,086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6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Vesting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87"/>
              </w:rPr>
              <w:t>founders shares</w:t>
            </w:r>
          </w:p>
        </w:tc>
        <w:tc>
          <w:tcPr>
            <w:tcW w:w="9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751,200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4"/>
                <w:szCs w:val="14"/>
                <w:color w:val="auto"/>
              </w:rPr>
              <w:t>Accretion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4"/>
              </w:rPr>
              <w:t>preferred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to redemption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value</w:t>
            </w:r>
          </w:p>
        </w:tc>
        <w:tc>
          <w:tcPr>
            <w:tcW w:w="98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6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29"/>
        </w:trPr>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jc w:val="right"/>
              <w:spacing w:after="0"/>
              <w:rPr>
                <w:sz w:val="20"/>
                <w:szCs w:val="20"/>
                <w:color w:val="auto"/>
              </w:rPr>
            </w:pPr>
            <w:r>
              <w:rPr>
                <w:rFonts w:ascii="Arial" w:cs="Arial" w:eastAsia="Arial" w:hAnsi="Arial"/>
                <w:sz w:val="14"/>
                <w:szCs w:val="14"/>
                <w:color w:val="auto"/>
              </w:rPr>
              <w:t>3,260,000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2,111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gridSpan w:val="3"/>
          </w:tcPr>
          <w:p>
            <w:pPr>
              <w:jc w:val="right"/>
              <w:ind w:right="232"/>
              <w:spacing w:after="0"/>
              <w:rPr>
                <w:sz w:val="20"/>
                <w:szCs w:val="20"/>
                <w:color w:val="auto"/>
              </w:rPr>
            </w:pPr>
            <w:r>
              <w:rPr>
                <w:rFonts w:ascii="Arial" w:cs="Arial" w:eastAsia="Arial" w:hAnsi="Arial"/>
                <w:sz w:val="14"/>
                <w:szCs w:val="14"/>
                <w:color w:val="auto"/>
                <w:w w:val="85"/>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751,200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Issuance of</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common stock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to licensors</w:t>
            </w:r>
          </w:p>
        </w:tc>
        <w:tc>
          <w:tcPr>
            <w:tcW w:w="9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628,379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408</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Series A-1</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0"/>
              </w:rPr>
              <w:t>preferred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3"/>
              </w:rPr>
              <w:t>net of issuance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costs of $20</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18,000,000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83"/>
              </w:rPr>
              <w:t>17,980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6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Reclassification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of tranche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rights upon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4"/>
              </w:rPr>
              <w:t>preferred stock</w:t>
            </w:r>
          </w:p>
        </w:tc>
        <w:tc>
          <w:tcPr>
            <w:tcW w:w="9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expense</w:t>
            </w:r>
          </w:p>
        </w:tc>
        <w:tc>
          <w:tcPr>
            <w:tcW w:w="98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6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Vesting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common stock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and common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stock subject to</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repurchase</w:t>
            </w:r>
          </w:p>
        </w:tc>
        <w:tc>
          <w:tcPr>
            <w:tcW w:w="9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77,942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4"/>
                <w:szCs w:val="14"/>
                <w:color w:val="auto"/>
              </w:rPr>
              <w:t>Vesting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w w:val="87"/>
              </w:rPr>
              <w:t>founders shares</w:t>
            </w:r>
          </w:p>
        </w:tc>
        <w:tc>
          <w:tcPr>
            <w:tcW w:w="98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405,648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Accretion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reedeemble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preferred stock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to redemption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value</w:t>
            </w:r>
          </w:p>
        </w:tc>
        <w:tc>
          <w:tcPr>
            <w:tcW w:w="9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gridSpan w:val="3"/>
          </w:tcPr>
          <w:p>
            <w:pPr>
              <w:jc w:val="right"/>
              <w:ind w:right="232"/>
              <w:spacing w:after="0" w:line="149" w:lineRule="exact"/>
              <w:rPr>
                <w:sz w:val="20"/>
                <w:szCs w:val="20"/>
                <w:color w:val="auto"/>
              </w:rPr>
            </w:pPr>
            <w:r>
              <w:rPr>
                <w:rFonts w:ascii="Arial" w:cs="Arial" w:eastAsia="Arial" w:hAnsi="Arial"/>
                <w:sz w:val="14"/>
                <w:szCs w:val="14"/>
                <w:color w:val="auto"/>
                <w:w w:val="85"/>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(13,685)</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(13,685)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21,260,000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20,772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32"/>
              <w:spacing w:after="0"/>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1,863,169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(15,448)</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(15,292)</w:t>
            </w:r>
          </w:p>
        </w:tc>
        <w:tc>
          <w:tcPr>
            <w:tcW w:w="0" w:type="dxa"/>
            <w:vAlign w:val="bottom"/>
          </w:tcPr>
          <w:p>
            <w:pPr>
              <w:spacing w:after="0"/>
              <w:rPr>
                <w:sz w:val="1"/>
                <w:szCs w:val="1"/>
                <w:color w:val="auto"/>
              </w:rPr>
            </w:pPr>
          </w:p>
        </w:tc>
      </w:tr>
      <w:tr>
        <w:trPr>
          <w:trHeight w:val="131"/>
        </w:trPr>
        <w:tc>
          <w:tcPr>
            <w:tcW w:w="1020" w:type="dxa"/>
            <w:vAlign w:val="bottom"/>
            <w:gridSpan w:val="2"/>
          </w:tcPr>
          <w:p>
            <w:pPr>
              <w:spacing w:after="0" w:line="131" w:lineRule="exact"/>
              <w:rPr>
                <w:sz w:val="20"/>
                <w:szCs w:val="20"/>
                <w:color w:val="auto"/>
              </w:rPr>
            </w:pPr>
            <w:r>
              <w:rPr>
                <w:rFonts w:ascii="Arial" w:cs="Arial" w:eastAsia="Arial" w:hAnsi="Arial"/>
                <w:sz w:val="14"/>
                <w:szCs w:val="14"/>
                <w:color w:val="auto"/>
              </w:rPr>
              <w:t>Issuance of</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Series A-2</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0"/>
              </w:rPr>
              <w:t>preferred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3"/>
              </w:rPr>
              <w:t>net of issuance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costs of $1</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(unaudited)</w:t>
            </w:r>
          </w:p>
        </w:tc>
        <w:tc>
          <w:tcPr>
            <w:tcW w:w="98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16,890,699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21,989</w:t>
            </w:r>
          </w:p>
        </w:tc>
        <w:tc>
          <w:tcPr>
            <w:tcW w:w="80" w:type="dxa"/>
            <w:vAlign w:val="bottom"/>
          </w:tcPr>
          <w:p>
            <w:pPr>
              <w:spacing w:after="0"/>
              <w:rPr>
                <w:sz w:val="13"/>
                <w:szCs w:val="13"/>
                <w:color w:val="auto"/>
              </w:rPr>
            </w:pPr>
          </w:p>
        </w:tc>
        <w:tc>
          <w:tcPr>
            <w:tcW w:w="8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6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Reclassification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of tranche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rights upon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redeemable</w:t>
            </w:r>
          </w:p>
        </w:tc>
        <w:tc>
          <w:tcPr>
            <w:tcW w:w="9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37,038</w:t>
            </w: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ind w:left="100"/>
              <w:spacing w:after="0" w:line="138"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20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200"/>
              <w:spacing w:after="0" w:line="149" w:lineRule="exact"/>
              <w:rPr>
                <w:sz w:val="20"/>
                <w:szCs w:val="20"/>
                <w:color w:val="auto"/>
              </w:rPr>
            </w:pPr>
            <w:r>
              <w:rPr>
                <w:rFonts w:ascii="Arial" w:cs="Arial" w:eastAsia="Arial" w:hAnsi="Arial"/>
                <w:sz w:val="14"/>
                <w:szCs w:val="14"/>
                <w:color w:val="auto"/>
              </w:rPr>
              <w:t>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200"/>
              <w:spacing w:after="0" w:line="159" w:lineRule="exact"/>
              <w:rPr>
                <w:sz w:val="20"/>
                <w:szCs w:val="20"/>
                <w:color w:val="auto"/>
              </w:rPr>
            </w:pPr>
            <w:r>
              <w:rPr>
                <w:rFonts w:ascii="Arial" w:cs="Arial" w:eastAsia="Arial" w:hAnsi="Arial"/>
                <w:sz w:val="14"/>
                <w:szCs w:val="14"/>
                <w:color w:val="auto"/>
              </w:rPr>
              <w:t>(unaudited)</w:t>
            </w:r>
          </w:p>
        </w:tc>
        <w:tc>
          <w:tcPr>
            <w:tcW w:w="98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Series B</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preferred stock,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3"/>
              </w:rPr>
              <w:t>net of issuance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costs of $278</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(unaudited)</w:t>
            </w:r>
          </w:p>
        </w:tc>
        <w:tc>
          <w:tcPr>
            <w:tcW w:w="98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26,666,660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119,722</w:t>
            </w:r>
          </w:p>
        </w:tc>
        <w:tc>
          <w:tcPr>
            <w:tcW w:w="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4"/>
                <w:szCs w:val="14"/>
                <w:color w:val="auto"/>
              </w:rPr>
              <w:t>Accretion of</w:t>
            </w:r>
          </w:p>
        </w:tc>
        <w:tc>
          <w:tcPr>
            <w:tcW w:w="98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38" w:lineRule="exact"/>
              <w:rPr>
                <w:sz w:val="20"/>
                <w:szCs w:val="20"/>
                <w:color w:val="auto"/>
              </w:rPr>
            </w:pPr>
            <w:r>
              <w:rPr>
                <w:rFonts w:ascii="Arial" w:cs="Arial" w:eastAsia="Arial" w:hAnsi="Arial"/>
                <w:sz w:val="14"/>
                <w:szCs w:val="14"/>
                <w:color w:val="auto"/>
              </w:rPr>
              <w:t>284</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gridSpan w:val="3"/>
          </w:tcPr>
          <w:p>
            <w:pPr>
              <w:jc w:val="right"/>
              <w:ind w:right="232"/>
              <w:spacing w:after="0" w:line="138" w:lineRule="exact"/>
              <w:rPr>
                <w:sz w:val="20"/>
                <w:szCs w:val="20"/>
                <w:color w:val="auto"/>
              </w:rPr>
            </w:pPr>
            <w:r>
              <w:rPr>
                <w:rFonts w:ascii="Arial" w:cs="Arial" w:eastAsia="Arial" w:hAnsi="Arial"/>
                <w:sz w:val="14"/>
                <w:szCs w:val="14"/>
                <w:color w:val="auto"/>
                <w:w w:val="85"/>
              </w:rPr>
              <w:t>—</w:t>
            </w:r>
          </w:p>
        </w:tc>
        <w:tc>
          <w:tcPr>
            <w:tcW w:w="3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1"/>
                <w:szCs w:val="11"/>
                <w:color w:val="auto"/>
              </w:rPr>
            </w:pPr>
          </w:p>
        </w:tc>
        <w:tc>
          <w:tcPr>
            <w:tcW w:w="1060" w:type="dxa"/>
            <w:vAlign w:val="bottom"/>
            <w:gridSpan w:val="3"/>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(295)</w:t>
            </w:r>
          </w:p>
        </w:tc>
        <w:tc>
          <w:tcPr>
            <w:tcW w:w="120" w:type="dxa"/>
            <w:vAlign w:val="bottom"/>
          </w:tcPr>
          <w:p>
            <w:pPr>
              <w:spacing w:after="0"/>
              <w:rPr>
                <w:sz w:val="11"/>
                <w:szCs w:val="11"/>
                <w:color w:val="auto"/>
              </w:rPr>
            </w:pPr>
          </w:p>
        </w:tc>
        <w:tc>
          <w:tcPr>
            <w:tcW w:w="82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4"/>
              </w:rPr>
              <w:t>preferred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4"/>
                <w:szCs w:val="14"/>
                <w:color w:val="auto"/>
              </w:rPr>
              <w:t>to redemption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97" w:orient="portrait"/>
          <w:cols w:equalWidth="0" w:num="1">
            <w:col w:w="10400"/>
          </w:cols>
          <w:pgMar w:left="240" w:top="131" w:right="1259" w:bottom="0" w:gutter="0" w:footer="0" w:header="0"/>
        </w:sectPr>
      </w:pPr>
    </w:p>
    <w:bookmarkStart w:id="226" w:name="page227"/>
    <w:bookmarkEnd w:id="2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4"/>
                <w:szCs w:val="14"/>
                <w:color w:val="auto"/>
              </w:rPr>
              <w:t>value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common stock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to licensors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8"/>
              </w:rPr>
              <w:t>upon settlement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of anti-dilution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protection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liability</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(unaudited)</w:t>
            </w:r>
          </w:p>
        </w:tc>
        <w:tc>
          <w:tcPr>
            <w:tcW w:w="9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327,970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1,936</w:t>
            </w:r>
          </w:p>
        </w:tc>
        <w:tc>
          <w:tcPr>
            <w:tcW w:w="14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4"/>
                <w:szCs w:val="14"/>
                <w:color w:val="auto"/>
                <w:w w:val="92"/>
              </w:rPr>
              <w:t>Exercise of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options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(unaudited)</w:t>
            </w:r>
          </w:p>
        </w:tc>
        <w:tc>
          <w:tcPr>
            <w:tcW w:w="90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23,075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Vesting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common stock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and common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stock subject to</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repurchase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(unaudited)</w:t>
            </w:r>
          </w:p>
        </w:tc>
        <w:tc>
          <w:tcPr>
            <w:tcW w:w="9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526,284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4"/>
                <w:szCs w:val="14"/>
                <w:color w:val="auto"/>
              </w:rPr>
              <w:t>Vesting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4"/>
              </w:rPr>
              <w:t>founder shares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(unaudited)</w:t>
            </w:r>
          </w:p>
        </w:tc>
        <w:tc>
          <w:tcPr>
            <w:tcW w:w="90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270,432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1,202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1,202</w:t>
            </w:r>
          </w:p>
        </w:tc>
        <w:tc>
          <w:tcPr>
            <w:tcW w:w="14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expense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(unaudited)</w:t>
            </w:r>
          </w:p>
        </w:tc>
        <w:tc>
          <w:tcPr>
            <w:tcW w:w="9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360</w:t>
            </w:r>
          </w:p>
        </w:tc>
        <w:tc>
          <w:tcPr>
            <w:tcW w:w="14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(unaudited)</w:t>
            </w:r>
          </w:p>
        </w:tc>
        <w:tc>
          <w:tcPr>
            <w:tcW w:w="90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(60,267)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(60,267)</w:t>
            </w:r>
          </w:p>
        </w:tc>
      </w:tr>
      <w:tr>
        <w:trPr>
          <w:trHeight w:val="129"/>
        </w:trPr>
        <w:tc>
          <w:tcPr>
            <w:tcW w:w="20" w:type="dxa"/>
            <w:vAlign w:val="bottom"/>
          </w:tcPr>
          <w:p>
            <w:pPr>
              <w:spacing w:after="0"/>
              <w:rPr>
                <w:sz w:val="11"/>
                <w:szCs w:val="11"/>
                <w:color w:val="auto"/>
              </w:rPr>
            </w:pPr>
          </w:p>
        </w:tc>
        <w:tc>
          <w:tcPr>
            <w:tcW w:w="10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2015</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(unaudited)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21,260,000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16,890,699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59,027</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26,666,660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119,733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3,010,930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(75,715)</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(72,340)</w:t>
            </w:r>
          </w:p>
        </w:tc>
      </w:tr>
      <w:tr>
        <w:trPr>
          <w:trHeight w:val="131"/>
        </w:trPr>
        <w:tc>
          <w:tcPr>
            <w:tcW w:w="1020" w:type="dxa"/>
            <w:vAlign w:val="bottom"/>
            <w:gridSpan w:val="2"/>
          </w:tcPr>
          <w:p>
            <w:pPr>
              <w:spacing w:after="0" w:line="131" w:lineRule="exact"/>
              <w:rPr>
                <w:sz w:val="20"/>
                <w:szCs w:val="20"/>
                <w:color w:val="auto"/>
              </w:rPr>
            </w:pPr>
            <w:r>
              <w:rPr>
                <w:rFonts w:ascii="Arial" w:cs="Arial" w:eastAsia="Arial" w:hAnsi="Arial"/>
                <w:sz w:val="14"/>
                <w:szCs w:val="14"/>
                <w:color w:val="auto"/>
              </w:rPr>
              <w:t>Conversion of</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w w:val="94"/>
              </w:rPr>
              <w:t>preferred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to common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color w:val="auto"/>
              </w:rPr>
              <w:t>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Arial" w:cs="Arial" w:eastAsia="Arial" w:hAnsi="Arial"/>
                <w:sz w:val="14"/>
                <w:szCs w:val="14"/>
                <w:color w:val="auto"/>
              </w:rPr>
              <w:t>(unaudited)</w:t>
            </w: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3"/>
              </w:rPr>
              <w:t>(21,260,000)</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5"/>
              </w:rPr>
              <w:t>(21,056)</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0"/>
              </w:rPr>
              <w:t>(16,890,699)</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5"/>
              </w:rPr>
              <w:t>(59,027)</w:t>
            </w:r>
          </w:p>
        </w:tc>
        <w:tc>
          <w:tcPr>
            <w:tcW w:w="8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3"/>
              </w:rPr>
              <w:t>(26,666,660)</w:t>
            </w:r>
          </w:p>
        </w:tc>
        <w:tc>
          <w:tcPr>
            <w:tcW w:w="10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3"/>
              </w:rPr>
              <w:t>(119,733)</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1"/>
              </w:rPr>
              <w:t>24,929,709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199,808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199,816</w:t>
            </w:r>
          </w:p>
        </w:tc>
        <w:tc>
          <w:tcPr>
            <w:tcW w:w="14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warrant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liability to</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0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(unaudited)</w:t>
            </w:r>
          </w:p>
        </w:tc>
        <w:tc>
          <w:tcPr>
            <w:tcW w:w="9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w:t>
            </w:r>
          </w:p>
        </w:tc>
        <w:tc>
          <w:tcPr>
            <w:tcW w:w="140" w:type="dxa"/>
            <w:vAlign w:val="bottom"/>
            <w:shd w:val="clear" w:color="auto" w:fill="CCEEFF"/>
          </w:tcPr>
          <w:p>
            <w:pPr>
              <w:spacing w:after="0"/>
              <w:rPr>
                <w:sz w:val="13"/>
                <w:szCs w:val="13"/>
                <w:color w:val="auto"/>
              </w:rPr>
            </w:pPr>
          </w:p>
        </w:tc>
      </w:tr>
      <w:tr>
        <w:trPr>
          <w:trHeight w:val="129"/>
        </w:trPr>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Pro forma</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balance at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1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(unaudited)</w:t>
            </w:r>
          </w:p>
        </w:tc>
        <w:tc>
          <w:tcPr>
            <w:tcW w:w="900" w:type="dxa"/>
            <w:vAlign w:val="bottom"/>
            <w:gridSpan w:val="3"/>
          </w:tcPr>
          <w:p>
            <w:pPr>
              <w:ind w:left="580"/>
              <w:spacing w:after="0"/>
              <w:rPr>
                <w:sz w:val="20"/>
                <w:szCs w:val="20"/>
                <w:color w:val="auto"/>
              </w:rPr>
            </w:pPr>
            <w:r>
              <w:rPr>
                <w:rFonts w:ascii="Arial" w:cs="Arial" w:eastAsia="Arial" w:hAnsi="Arial"/>
                <w:sz w:val="14"/>
                <w:szCs w:val="14"/>
                <w:color w:val="auto"/>
              </w:rPr>
              <w:t>— $</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560"/>
              <w:spacing w:after="0"/>
              <w:rPr>
                <w:sz w:val="20"/>
                <w:szCs w:val="20"/>
                <w:color w:val="auto"/>
              </w:rPr>
            </w:pPr>
            <w:r>
              <w:rPr>
                <w:rFonts w:ascii="Arial" w:cs="Arial" w:eastAsia="Arial" w:hAnsi="Arial"/>
                <w:sz w:val="14"/>
                <w:szCs w:val="14"/>
                <w:color w:val="auto"/>
              </w:rPr>
              <w:t>— $</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580"/>
              <w:spacing w:after="0"/>
              <w:rPr>
                <w:sz w:val="20"/>
                <w:szCs w:val="20"/>
                <w:color w:val="auto"/>
              </w:rPr>
            </w:pPr>
            <w:r>
              <w:rPr>
                <w:rFonts w:ascii="Arial" w:cs="Arial" w:eastAsia="Arial" w:hAnsi="Arial"/>
                <w:sz w:val="14"/>
                <w:szCs w:val="14"/>
                <w:color w:val="auto"/>
              </w:rPr>
              <w:t>— $</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27,940,639</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203,323</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(75,710)</w:t>
            </w: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127,616</w:t>
            </w:r>
          </w:p>
        </w:tc>
        <w:tc>
          <w:tcPr>
            <w:tcW w:w="1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211" w:right="125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September 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2013 (Inception)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gridSpan w:val="7"/>
          </w:tcPr>
          <w:p>
            <w:pPr>
              <w:jc w:val="center"/>
              <w:ind w:right="150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7"/>
          </w:tcPr>
          <w:p>
            <w:pPr>
              <w:jc w:val="center"/>
              <w:ind w:right="14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4"/>
          </w:tcPr>
          <w:p>
            <w:pPr>
              <w:jc w:val="center"/>
              <w:ind w:left="294"/>
              <w:spacing w:after="0" w:line="142" w:lineRule="exact"/>
              <w:rPr>
                <w:sz w:val="20"/>
                <w:szCs w:val="20"/>
                <w:color w:val="auto"/>
              </w:rPr>
            </w:pPr>
            <w:r>
              <w:rPr>
                <w:rFonts w:ascii="Arial" w:cs="Arial" w:eastAsia="Arial" w:hAnsi="Arial"/>
                <w:sz w:val="14"/>
                <w:szCs w:val="14"/>
                <w:b w:val="1"/>
                <w:bCs w:val="1"/>
                <w:color w:val="auto"/>
                <w:w w:val="89"/>
              </w:rPr>
              <w:t>(unaudited)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(1,758)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(13,685)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(8,274)</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(60,267)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to net cash used in operating</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Non-cash research and development expenses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Changes in fair value of warrant liability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4"/>
              </w:rPr>
              <w:t>Change in fair value of preferred stock tranche asset or liability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Changes in fair value of anti-dilutive protection liability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Changes in deferred rent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Proceeds from equipment loan, net of issuance 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1"/>
              </w:rPr>
              <w:t>Proceeds from the issuance of redeemable convertible preferred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and tranche rights, net of issuance costs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141,711</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Payments of equipment loan principal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89"/>
              </w:rPr>
              <w:t>Proceeds from the issuance of common stock and restricted stock</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143,143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144,678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155,301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w w:val="96"/>
              </w:rPr>
              <w:t>Supplemental disclosure of cash and non-cash activities:</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Accretion of redeemable convertible preferred stock to</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6"/>
              </w:rPr>
              <w:t>Conversion of anti-dilutive protection liability to common stock</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liability for common stock subject to</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0"/>
              </w:rPr>
              <w:t>Accrual of final payment fee on equipment loan and debt discount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9"/>
              </w:rPr>
              <w:t>Initial public offering costs incurred but unpaid at period end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Reclassification of preferred stock tranche liability upon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settlement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37,038</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740" w:type="dxa"/>
            <w:vAlign w:val="bottom"/>
          </w:tcPr>
          <w:p>
            <w:pPr>
              <w:ind w:left="4440"/>
              <w:spacing w:after="0"/>
              <w:rPr>
                <w:sz w:val="20"/>
                <w:szCs w:val="20"/>
                <w:color w:val="auto"/>
              </w:rPr>
            </w:pPr>
            <w:r>
              <w:rPr>
                <w:rFonts w:ascii="Arial" w:cs="Arial" w:eastAsia="Arial" w:hAnsi="Arial"/>
                <w:sz w:val="18"/>
                <w:szCs w:val="18"/>
                <w:color w:val="auto"/>
              </w:rPr>
              <w:t>F-6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Notes to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September 30, 2014 and 2015 is 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31"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Editas Medicine, Inc. (the "Company"), formerly known as Gengine, Inc., is a research stage company dedicated to treating patients with genetically defined diseases by correcting their disease-causing genes. The Company was incorporated in the state of Delaware in September 2013. Its principal offices are in Cambridge, Massachusetts.</w:t>
      </w:r>
    </w:p>
    <w:p>
      <w:pPr>
        <w:spacing w:after="0" w:line="194"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Since its inception, the Company has devoted substantially all of its efforts to business planning, research and development, recruiting management and technical staff, and raising capital, and has financed its operations through various equity and debt financings including the issuance of preferred stock and an equipment loan, and from upfront fees paid under a research collaboration.</w:t>
      </w:r>
    </w:p>
    <w:p>
      <w:pPr>
        <w:spacing w:after="0" w:line="194" w:lineRule="exact"/>
        <w:rPr>
          <w:sz w:val="20"/>
          <w:szCs w:val="20"/>
          <w:color w:val="auto"/>
        </w:rPr>
      </w:pPr>
    </w:p>
    <w:p>
      <w:pPr>
        <w:ind w:right="120" w:firstLine="611"/>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pilot-scale manufacturing to large-scale production of products.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40" w:firstLine="611"/>
        <w:spacing w:after="0" w:line="306" w:lineRule="auto"/>
        <w:rPr>
          <w:sz w:val="20"/>
          <w:szCs w:val="20"/>
          <w:color w:val="auto"/>
        </w:rPr>
      </w:pPr>
      <w:r>
        <w:rPr>
          <w:rFonts w:ascii="Arial" w:cs="Arial" w:eastAsia="Arial" w:hAnsi="Arial"/>
          <w:sz w:val="16"/>
          <w:szCs w:val="16"/>
          <w:color w:val="auto"/>
        </w:rPr>
        <w:t>The Company had an accumulated deficit of $75.7 million at September 30, 2015, and will require substantial additional capital to fund operations. The future success of the Company is dependent on its ability to identify and develop its product candidates, and ultimately upon its ability to attain profitable operations. At September 30, 2015, the Company had $155.3 million of unrestricted cash and cash equivalents.</w:t>
      </w:r>
    </w:p>
    <w:p>
      <w:pPr>
        <w:spacing w:after="0" w:line="16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Company believes its cash and cash equivalents of $155.3 million at September 30, 2015 will be sufficient to fund the Company's current operating plan for at least the next 24 months. Thereafter, the Company will be required to obtain additional funding. The Company intends to pursue a public offering of its common stock to fund future operations. If the Company is unable to complete a sufficient public offering in a timely manner, it would need to pursue other financing alternatives, such as private financing of debt or equity or collaboration agreements. There can be no assurances, however, that the current operating plan will be achieved or that additional funding will be available on terms acceptable to the Company, or at all.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611"/>
        <w:spacing w:after="0" w:line="335" w:lineRule="auto"/>
        <w:rPr>
          <w:sz w:val="20"/>
          <w:szCs w:val="20"/>
          <w:color w:val="auto"/>
        </w:rPr>
      </w:pPr>
      <w:r>
        <w:rPr>
          <w:rFonts w:ascii="Arial" w:cs="Arial" w:eastAsia="Arial" w:hAnsi="Arial"/>
          <w:sz w:val="15"/>
          <w:szCs w:val="15"/>
          <w:color w:val="auto"/>
        </w:rPr>
        <w:t>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revenue recognition, accrued expenses, stock-based compensation expense, valuation of the redeemable convertible preferred stock tranche liability and the anti-dilutive protection liability, valuation of the warrant liability, deferred tax valuation allowances, and the fair value of common stock. The Company bases its estimates on historical experience and other market-specific or relevant assumptions that it believes to be reasonable under the circumstances. Actual results may differ from those estimates or assumptions.</w:t>
      </w:r>
    </w:p>
    <w:p>
      <w:pPr>
        <w:spacing w:after="0" w:line="174"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 xml:space="preserve">The Company utilizes significant estimates and assumptions in determining the fair value of its common stock. The Company has utilized various valuation methodologies in accordance with the framework of the 2004 American Institute of Certified Public Accountants Technical Practice Aid, </w:t>
      </w:r>
      <w:r>
        <w:rPr>
          <w:rFonts w:ascii="Arial" w:cs="Arial" w:eastAsia="Arial" w:hAnsi="Arial"/>
          <w:sz w:val="16"/>
          <w:szCs w:val="16"/>
          <w:i w:val="1"/>
          <w:iCs w:val="1"/>
          <w:color w:val="auto"/>
        </w:rPr>
        <w:t>Valuation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Privately-Held Company Equity Securities Issued as Compensation</w:t>
      </w:r>
      <w:r>
        <w:rPr>
          <w:rFonts w:ascii="Arial" w:cs="Arial" w:eastAsia="Arial" w:hAnsi="Arial"/>
          <w:sz w:val="16"/>
          <w:szCs w:val="16"/>
          <w:color w:val="auto"/>
        </w:rPr>
        <w:t>, to estimate the fair value of its common stock. Each valuation methodology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that require the Company's judgment. These estimates and assumptions include a number of objective and subjective factors, including external market conditions, the prices at which the Company sold shares of preferred stock, the superior rights and preferences of securities senior to the Company's common stock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The accompanying balance sheet as of September 30, 2015, the statements of operations and comprehensive loss and statements of cash flows for the nine months ended September 30, 2014 and 2015, and the statement of redeemable convertible preferred stock and stockholders' (deficit) equity for the nine months ended September 30, 2015, are unaudited. The interim unaudited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2015, and the results of its operations and comprehensive loss and its cash flows for the nine months ended September 30, 2014 and 2015. The financial data and other information disclosed in these notes related to the nine months ended September 30, 2014 and 2015 are unaudited. The results for the nine months ended September 30, 2015, are not necessarily indicative of results to be expected for the year ending December 31, 2015, any other interim periods, or any future year or period.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225"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accompanying unaudited pro forma balance sheet as of September 30, 2015 has been prepared to give effect to (i) the automatic conversion of all shares of redeemable convertible preferred stock outstanding as of September 30, 2015 into 24,929,709 shares of common stock and (ii) the automatic conversion of an outstanding warrant to purchase 60,000 shares of redeemable convertible preferred stock into a warrant to purchase 23,076 shares of common stock, resulting in the reclassification of the warrant liability to stockholders' (deficit) equity, as if the proposed initial public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offering had occurred on September 30, 2015. In the accompanying statements of operations and comprehensive loss, unaudited pro forma basic and diluted net loss per share attributable to common stockholders has been prepared to give effect to the automatic conversion of all outstanding shares of redeemable convertible preferred stock, as if the proposed initial public offering had occurred on the later of the beginning of the reporting period or the issuance date of the redeemable convertible preferred stock. Accordingly, the unaudited pro forma net loss attributable to common stockholders used in the calculation of unaudited basic and diluted pro forma net loss per share attributable to common stockholders does not include the effects of the accretion of issuance costs and discounts on redeemable convertible preferred stock or the mark to market adjustments related to the warrant for preferred stock and the preferred stock tranche asset or liability.</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80" w:firstLine="605"/>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97" w:lineRule="exact"/>
        <w:rPr>
          <w:sz w:val="20"/>
          <w:szCs w:val="20"/>
          <w:color w:val="auto"/>
        </w:rPr>
      </w:pPr>
    </w:p>
    <w:p>
      <w:pPr>
        <w:ind w:right="200" w:firstLine="605"/>
        <w:spacing w:after="0" w:line="259"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208"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market prices in active markets for identical assets or liabilities.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inputs that are either directly or indirectly observable, such as quoted market prices, interest rates, and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developed using estimates of assumptions developed by the Company, which reflect those that a market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w:t>
      </w:r>
    </w:p>
    <w:p>
      <w:pPr>
        <w:spacing w:after="0" w:line="186" w:lineRule="exact"/>
        <w:rPr>
          <w:sz w:val="20"/>
          <w:szCs w:val="20"/>
          <w:color w:val="auto"/>
        </w:rPr>
      </w:pPr>
    </w:p>
    <w:p>
      <w:pPr>
        <w:ind w:right="200" w:firstLine="611"/>
        <w:spacing w:after="0" w:line="306"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1" w:lineRule="exact"/>
        <w:rPr>
          <w:sz w:val="20"/>
          <w:szCs w:val="20"/>
          <w:color w:val="auto"/>
        </w:rPr>
      </w:pPr>
    </w:p>
    <w:p>
      <w:pPr>
        <w:ind w:right="380" w:firstLine="611"/>
        <w:spacing w:after="0" w:line="268" w:lineRule="auto"/>
        <w:rPr>
          <w:sz w:val="20"/>
          <w:szCs w:val="20"/>
          <w:color w:val="auto"/>
        </w:rPr>
      </w:pPr>
      <w:r>
        <w:rPr>
          <w:rFonts w:ascii="Arial" w:cs="Arial" w:eastAsia="Arial" w:hAnsi="Arial"/>
          <w:sz w:val="18"/>
          <w:szCs w:val="18"/>
          <w:color w:val="auto"/>
        </w:rPr>
        <w:t>The carrying amounts reflected in the balance sheets for cash and cash equivalents, prepaid expenses and other current assets, accounts payable and accrued expenses approximate their fair values, due to their short-term nature.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611"/>
        <w:spacing w:after="0" w:line="268"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0" w:firstLine="605"/>
        <w:spacing w:after="0" w:line="256" w:lineRule="auto"/>
        <w:rPr>
          <w:sz w:val="20"/>
          <w:szCs w:val="20"/>
          <w:color w:val="auto"/>
        </w:rPr>
      </w:pPr>
      <w:r>
        <w:rPr>
          <w:rFonts w:ascii="Arial" w:cs="Arial" w:eastAsia="Arial" w:hAnsi="Arial"/>
          <w:sz w:val="18"/>
          <w:szCs w:val="18"/>
          <w:color w:val="auto"/>
        </w:rPr>
        <w:t>At December 31, 2013 and 2014, the Company had restricted cash of $0.3 million and $0.4 million, respectively, held in the form of money market accounts as collateral for the Company's facility lease obligation and credit cards. The balance is included within other non-current assets in the accompanying balance sheets at December 31, 2013 and December 31, 2014. At September 30, 2015, the Company maintained restricted cash totaling $0.4 million. The balance is included in prepaid expenses and other current assets at September 30, 2015.</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60" w:firstLine="615"/>
        <w:spacing w:after="0" w:line="255" w:lineRule="auto"/>
        <w:rPr>
          <w:sz w:val="20"/>
          <w:szCs w:val="20"/>
          <w:color w:val="auto"/>
        </w:rPr>
      </w:pPr>
      <w:r>
        <w:rPr>
          <w:rFonts w:ascii="Arial" w:cs="Arial" w:eastAsia="Arial" w:hAnsi="Arial"/>
          <w:sz w:val="18"/>
          <w:szCs w:val="18"/>
          <w:color w:val="auto"/>
        </w:rPr>
        <w:t>Property and equipment consists of computers,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straight-line method. The Company capitalizes laboratory equipment used for research and development if it has alternative future use in research and development or otherwise.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48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Lab equipment</w:t>
            </w:r>
          </w:p>
        </w:tc>
        <w:tc>
          <w:tcPr>
            <w:tcW w:w="480" w:type="dxa"/>
            <w:vAlign w:val="bottom"/>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4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Shorter of useful life or remaining lease term</w:t>
            </w: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September 30, 2015.</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Deferred issuance costs, which primarily consist of direct incremental legal and accounting fees relating to the Company's proposed initial public offering of common stock are capitalized as incurred. The deferred issuance costs will be offset against proceeds upon the consummation of the offering. In the event the offering is terminated, deferred issuance costs will be expensed. Approximately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$0.7 million of deferred issuance costs were incurred and capitalized as of September 30, 2015. No amounts were capitalized as of December 31, 2013 and 2014.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classified in other non-current assets on the balance sheet.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To date, the Company's only source of revenue has been the collaboration and license agreement with Juno Therapeutics, Inc. ("Juno Therapeutics") (see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Note 9).</w:t>
      </w:r>
    </w:p>
    <w:p>
      <w:pPr>
        <w:spacing w:after="0" w:line="219" w:lineRule="exact"/>
        <w:rPr>
          <w:sz w:val="20"/>
          <w:szCs w:val="20"/>
          <w:color w:val="auto"/>
        </w:rPr>
      </w:pPr>
    </w:p>
    <w:p>
      <w:pPr>
        <w:ind w:right="160" w:firstLine="611"/>
        <w:spacing w:after="0" w:line="268" w:lineRule="auto"/>
        <w:rPr>
          <w:sz w:val="20"/>
          <w:szCs w:val="20"/>
          <w:color w:val="auto"/>
        </w:rPr>
      </w:pPr>
      <w:r>
        <w:rPr>
          <w:rFonts w:ascii="Arial" w:cs="Arial" w:eastAsia="Arial" w:hAnsi="Arial"/>
          <w:sz w:val="18"/>
          <w:szCs w:val="18"/>
          <w:color w:val="auto"/>
        </w:rPr>
        <w:t xml:space="preserve">The Company recognizes revenue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Accordingly, revenue is recognized for each unit of accounting when all of the following criteria are met:</w:t>
      </w:r>
    </w:p>
    <w:p>
      <w:pPr>
        <w:spacing w:after="0" w:line="199"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right="20" w:firstLine="605"/>
        <w:spacing w:after="0" w:line="259" w:lineRule="auto"/>
        <w:rPr>
          <w:sz w:val="20"/>
          <w:szCs w:val="20"/>
          <w:color w:val="auto"/>
        </w:rPr>
      </w:pPr>
      <w:r>
        <w:rPr>
          <w:rFonts w:ascii="Arial" w:cs="Arial" w:eastAsia="Arial" w:hAnsi="Arial"/>
          <w:sz w:val="18"/>
          <w:szCs w:val="18"/>
          <w:color w:val="auto"/>
        </w:rPr>
        <w:t>Amounts received prior to satisfying the revenue recognition criteria are recorded as deferred revenue. Amounts expected to be recognized as revenue within the 12 months following the balance sheet date are classified in current liabilities. Amounts not expected to be recognized as revenue within the 12 months following the balance sheet date are classified as deferred revenue, net of current portion.</w:t>
      </w:r>
    </w:p>
    <w:p>
      <w:pPr>
        <w:spacing w:after="0" w:line="194"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 xml:space="preserve">The Company evaluates multiple-element arrangements based on the guidance in ASC Topic 605-25, </w:t>
      </w:r>
      <w:r>
        <w:rPr>
          <w:rFonts w:ascii="Arial" w:cs="Arial" w:eastAsia="Arial" w:hAnsi="Arial"/>
          <w:sz w:val="16"/>
          <w:szCs w:val="16"/>
          <w:i w:val="1"/>
          <w:iCs w:val="1"/>
          <w:color w:val="auto"/>
        </w:rPr>
        <w:t>Revenue Recognition Multiple-Element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("ASC 605-25"). Pursuant to the guidance in ASC 605-25, the Company evaluates multiple-element arrangements to determine (1) the deliverables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arrangement and (2) whether the individual deliverables represent separate units of accounting or whether they must be accounted for as a combined unit of accounting. This evaluation involves subjective determinations and requires the Company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 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181" w:lineRule="exact"/>
        <w:rPr>
          <w:sz w:val="20"/>
          <w:szCs w:val="20"/>
          <w:color w:val="auto"/>
        </w:rPr>
      </w:pPr>
    </w:p>
    <w:p>
      <w:pPr>
        <w:ind w:right="180" w:firstLine="615"/>
        <w:spacing w:after="0" w:line="268" w:lineRule="auto"/>
        <w:rPr>
          <w:sz w:val="20"/>
          <w:szCs w:val="20"/>
          <w:color w:val="auto"/>
        </w:rPr>
      </w:pPr>
      <w:r>
        <w:rPr>
          <w:rFonts w:ascii="Arial" w:cs="Arial" w:eastAsia="Arial" w:hAnsi="Arial"/>
          <w:sz w:val="18"/>
          <w:szCs w:val="18"/>
          <w:color w:val="auto"/>
        </w:rPr>
        <w:t>Options are considered substantive if, at the inception of the arrangement, the Company is at risk as to whether the collaboration partner will choose to exercise the option. Factors that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Company considers in evaluating whether an option is substantive include the cost to exercise the option, the overall objective of the arrangement, the benefit the collaborator might obtain from the arrangement without exercising the option and the likelihood the option will be exercised. When an option is considered substantive, the Company does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the Company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discount would be included as a deliverable at the inception of the arrangement.</w:t>
      </w:r>
    </w:p>
    <w:p>
      <w:pPr>
        <w:spacing w:after="0" w:line="172"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consideration received under the arrangement that is fixed or determinable is then allocated among the separate units of accounting using the relative selling price method.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172"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The Company recognizes arrangement consideration allocated to each unit of accounting when all of the revenue recognition criteria in ASC 605 are satisfied for that particular unit of accounting. In the event that a deliverable does not represent a separate unit of accounting, the Company recognizes revenue from the combined unit of accounting over the Company's contractual or estimated performance period for the undelivered elements, which is typically the term of the Company's research and development obligations. If there is no discernible pattern of performance or objectively measurable performance measures do not exist, then the Company recognizes revenue under the arrangement on a straight-line basis over the period the Company is expected to complete its performance obligations. Conversely, if the pattern of performance in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74" w:lineRule="exact"/>
        <w:rPr>
          <w:sz w:val="20"/>
          <w:szCs w:val="20"/>
          <w:color w:val="auto"/>
        </w:rPr>
      </w:pPr>
    </w:p>
    <w:p>
      <w:pPr>
        <w:ind w:right="60" w:firstLine="605"/>
        <w:spacing w:after="0" w:line="294" w:lineRule="auto"/>
        <w:rPr>
          <w:sz w:val="20"/>
          <w:szCs w:val="20"/>
          <w:color w:val="auto"/>
        </w:rPr>
      </w:pPr>
      <w:r>
        <w:rPr>
          <w:rFonts w:ascii="Arial" w:cs="Arial" w:eastAsia="Arial" w:hAnsi="Arial"/>
          <w:sz w:val="16"/>
          <w:szCs w:val="16"/>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(1) the consideration is commensurate with either the Company's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Company evaluates factors such as the scientific, clinical, regulatory, commercial,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Milestones that are not considered substantive are recognized as earned if there are no remaining performance obligations or over the remaining period of performance, assuming all other revenue recognition criteria are met.</w:t>
      </w:r>
    </w:p>
    <w:p>
      <w:pPr>
        <w:spacing w:after="0" w:line="197" w:lineRule="exact"/>
        <w:rPr>
          <w:sz w:val="20"/>
          <w:szCs w:val="20"/>
          <w:color w:val="auto"/>
        </w:rPr>
      </w:pPr>
    </w:p>
    <w:p>
      <w:pPr>
        <w:ind w:right="340" w:firstLine="611"/>
        <w:spacing w:after="0" w:line="370" w:lineRule="auto"/>
        <w:rPr>
          <w:sz w:val="20"/>
          <w:szCs w:val="20"/>
          <w:color w:val="auto"/>
        </w:rPr>
      </w:pPr>
      <w:r>
        <w:rPr>
          <w:rFonts w:ascii="Arial" w:cs="Arial" w:eastAsia="Arial" w:hAnsi="Arial"/>
          <w:sz w:val="15"/>
          <w:szCs w:val="15"/>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60" w:firstLine="615"/>
        <w:spacing w:after="0" w:line="294" w:lineRule="auto"/>
        <w:rPr>
          <w:sz w:val="20"/>
          <w:szCs w:val="20"/>
          <w:color w:val="auto"/>
        </w:rPr>
      </w:pPr>
      <w:r>
        <w:rPr>
          <w:rFonts w:ascii="Arial" w:cs="Arial" w:eastAsia="Arial" w:hAnsi="Arial"/>
          <w:sz w:val="16"/>
          <w:szCs w:val="16"/>
          <w:color w:val="auto"/>
        </w:rPr>
        <w:t>Research and development costs are charged to expense as incurred in performing research and development activities. The costs include employee-related expenses including salaries, benefits, and stock-based compensation expense, costs of funding research performed by third parties that conduct research and development and preclinical activities on the Company's behalf, the cost of purchasing lab supplies and non-capital equipment used in preclinical activities, consultant fees, facility costs including rent, depreciation, and maintenance expenses, and fees for maintaining licenses under third party licensing agreements. Facilities costs primarily include the allocation of rent, utilities, and depreciation.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right="420" w:firstLine="611"/>
        <w:spacing w:after="0" w:line="268" w:lineRule="auto"/>
        <w:rPr>
          <w:sz w:val="20"/>
          <w:szCs w:val="20"/>
          <w:color w:val="auto"/>
        </w:rPr>
      </w:pPr>
      <w:r>
        <w:rPr>
          <w:rFonts w:ascii="Arial" w:cs="Arial" w:eastAsia="Arial" w:hAnsi="Arial"/>
          <w:sz w:val="18"/>
          <w:szCs w:val="18"/>
          <w:color w:val="auto"/>
        </w:rPr>
        <w:t>The Company expenses patent application and related legal costs as incurred and classifies such costs as general and administrative expenses in the accompanying statements of operations.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 xml:space="preserve">The Company accounts for its stock-based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stock-based compensation awards to employees, including grants of restricted stock and stock options, to be recognized as expense in the statements of operations based on their grant date fair values. The Company estimates the fair value of options granted using the Black-Scholes option pricing model. The Company uses the value of its common stock to determine the fair value of restricted stock awards.</w:t>
      </w:r>
    </w:p>
    <w:p>
      <w:pPr>
        <w:spacing w:after="0" w:line="167"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Black-Scholes option pricing model requires the input of certain subjective assumptions, including (i) the expected stock price volatility, (ii) the calculation of expected term of the award, (iii) the risk-free interest rate and (iv) the expected dividend yield. Due to the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their stages of product development and focus on the life science industry. The Company uses the simplified method, which is the average of the vesting tranche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dates and the contractual term, to calculate the expected term for options granted to employees as it does not have sufficient historical exercise data to provide a reasonable basis upon which to estimate the expected term. For options granted to non-employees, the Company utilizes the contractual term of the arrangement as the basis for the expected term assumption.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w:t>
      </w:r>
    </w:p>
    <w:p>
      <w:pPr>
        <w:spacing w:after="0" w:line="197" w:lineRule="exact"/>
        <w:rPr>
          <w:sz w:val="20"/>
          <w:szCs w:val="20"/>
          <w:color w:val="auto"/>
        </w:rPr>
      </w:pPr>
    </w:p>
    <w:p>
      <w:pPr>
        <w:ind w:right="200" w:firstLine="611"/>
        <w:spacing w:after="0" w:line="306" w:lineRule="auto"/>
        <w:rPr>
          <w:sz w:val="20"/>
          <w:szCs w:val="20"/>
          <w:color w:val="auto"/>
        </w:rPr>
      </w:pPr>
      <w:r>
        <w:rPr>
          <w:rFonts w:ascii="Arial" w:cs="Arial" w:eastAsia="Arial" w:hAnsi="Arial"/>
          <w:sz w:val="16"/>
          <w:szCs w:val="16"/>
          <w:color w:val="auto"/>
        </w:rPr>
        <w:t>The Company expenses the fair value of its stock-based compensation awards granted to employees on a straight-line basis over the associated service period, which is generally the period in which the related services are received. The Company measures stock-based compensation awards granted to non-employees at fair value as the awards vest and recognizes the resulting value as compensation expense at each financial reporting period.</w:t>
      </w:r>
    </w:p>
    <w:p>
      <w:pPr>
        <w:spacing w:after="0" w:line="161"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Company expenses restricted stock awards based on the fair value of the award on a straight-line basis over the associated service period of the award. Awards of restricted stock to non-employees are adjusted through stock-based compensation expense at each reporting period end to reflect the current fair value of such awards and expensed on a straight-line basis.</w:t>
      </w:r>
    </w:p>
    <w:p>
      <w:pPr>
        <w:spacing w:after="0" w:line="194" w:lineRule="exact"/>
        <w:rPr>
          <w:sz w:val="20"/>
          <w:szCs w:val="20"/>
          <w:color w:val="auto"/>
        </w:rPr>
      </w:pPr>
    </w:p>
    <w:p>
      <w:pPr>
        <w:ind w:right="380" w:firstLine="611"/>
        <w:spacing w:after="0" w:line="335" w:lineRule="auto"/>
        <w:rPr>
          <w:sz w:val="20"/>
          <w:szCs w:val="20"/>
          <w:color w:val="auto"/>
        </w:rPr>
      </w:pPr>
      <w:r>
        <w:rPr>
          <w:rFonts w:ascii="Arial" w:cs="Arial" w:eastAsia="Arial" w:hAnsi="Arial"/>
          <w:sz w:val="15"/>
          <w:szCs w:val="15"/>
          <w:color w:val="auto"/>
        </w:rPr>
        <w:t>The Company records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 There has only been one such award to date.</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97" w:lineRule="exact"/>
        <w:rPr>
          <w:sz w:val="20"/>
          <w:szCs w:val="20"/>
          <w:color w:val="auto"/>
        </w:rPr>
      </w:pPr>
    </w:p>
    <w:p>
      <w:pPr>
        <w:ind w:right="120" w:firstLine="611"/>
        <w:spacing w:after="0" w:line="298" w:lineRule="auto"/>
        <w:rPr>
          <w:sz w:val="20"/>
          <w:szCs w:val="20"/>
          <w:color w:val="auto"/>
        </w:rPr>
      </w:pPr>
      <w:r>
        <w:rPr>
          <w:rFonts w:ascii="Arial" w:cs="Arial" w:eastAsia="Arial" w:hAnsi="Arial"/>
          <w:sz w:val="16"/>
          <w:szCs w:val="16"/>
          <w:color w:val="auto"/>
        </w:rPr>
        <w:t>The Company accounts for uncertain tax positions in accordance with the provisions of ASC 740. When uncertain tax positions exist, the Company recognized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2013 and December 31, 2014, the Company does not have any significant uncertain tax positions.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140" w:firstLine="615"/>
        <w:spacing w:after="0" w:line="332" w:lineRule="auto"/>
        <w:rPr>
          <w:sz w:val="20"/>
          <w:szCs w:val="20"/>
          <w:color w:val="auto"/>
        </w:rPr>
      </w:pPr>
      <w:r>
        <w:rPr>
          <w:rFonts w:ascii="Arial" w:cs="Arial" w:eastAsia="Arial" w:hAnsi="Arial"/>
          <w:sz w:val="16"/>
          <w:szCs w:val="16"/>
          <w:color w:val="auto"/>
        </w:rPr>
        <w:t>Comprehensive loss is comprised of net loss and other comprehensive income or loss. Comprehensive loss includes net loss as well as other changes in stockholders' (deficit) equity that result from transactions and economic events other than those with stockholders. There was no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difference between net loss and comprehensive loss for each of the periods presented in the accompanying financial statements.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w:t>
      </w:r>
    </w:p>
    <w:p>
      <w:pPr>
        <w:spacing w:after="0" w:line="197"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For purposes of the diluted net loss per share calculation, redeemable convertible preferred stock, warrants to purchase redeemable convertible preferred stock, and unvested restricted common stock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161"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2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2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As of September 30,</w:t>
            </w: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1,253,843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8,176,900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2,984,603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24,929,709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Warrant to purchase redeemable convertible preferred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23,076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23,076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1,847,356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2,574,735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2,689,018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1,809,639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95,495</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95,495</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1,199,371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3,101,199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10,870,206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5,792,192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27,961,795</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 forma net loss per share</w:t>
      </w:r>
    </w:p>
    <w:p>
      <w:pPr>
        <w:spacing w:after="0" w:line="225" w:lineRule="exact"/>
        <w:rPr>
          <w:sz w:val="20"/>
          <w:szCs w:val="20"/>
          <w:color w:val="auto"/>
        </w:rPr>
      </w:pPr>
    </w:p>
    <w:p>
      <w:pPr>
        <w:ind w:right="40" w:firstLine="611"/>
        <w:spacing w:after="0" w:line="294" w:lineRule="auto"/>
        <w:rPr>
          <w:sz w:val="20"/>
          <w:szCs w:val="20"/>
          <w:color w:val="auto"/>
        </w:rPr>
      </w:pPr>
      <w:r>
        <w:rPr>
          <w:rFonts w:ascii="Arial" w:cs="Arial" w:eastAsia="Arial" w:hAnsi="Arial"/>
          <w:sz w:val="16"/>
          <w:szCs w:val="16"/>
          <w:color w:val="auto"/>
        </w:rPr>
        <w:t>The unaudited pro forma net loss attributable to common stockholders used in the calculation of unaudited basic and diluted pro forma net loss per share attributable to common stockholders does not include the effects of the accretion of issuance costs and discounts on redeemable convertible preferred stock because it assumes that the conversion of redeemable convertible preferred stock into common stock occurred on the later of January 1, 2014 or the issuance date of the redeemable convertible preferred stock for the year ended December 31, 2014, and on the later of January 1, 2015 or the issuance date of the redeemable convertible preferred stock for the nine months ended September 30, 2015.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following table summarizes the Company's unaudited pro forma net loss per share attributable to common stockholders (in thousands, except share and per share data):</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(13,994)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(60,562)</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fair value of preferred stock tranche asset or liability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Changes in fair value of warrant liability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r>
      <w:tr>
        <w:trPr>
          <w:trHeight w:val="210"/>
        </w:trPr>
        <w:tc>
          <w:tcPr>
            <w:tcW w:w="650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Weighted average number of common shares outstanding, basic and diluted (unaudited)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1,123,098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2,371,976</w:t>
            </w: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Pro forma adjustments to reflect assumed conversion of preferred stock (unaudited)</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2,915,562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13,068,703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w w:val="94"/>
              </w:rPr>
              <w:t>Shares used to compute pro forma net loss per share, basic and diluted (unaudited)</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4,038,660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15,440,679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48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5"/>
              </w:rPr>
              <w:t>Pro forma basic and diluted net loss per share attributable to common stockholders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(unaudited)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Company has no financial instruments with off-balance sheet risk such as foreign exchange contracts, option contracts, or other foreign hedging arrangements. Financial instruments that potentially subject the Company to a concentration of credit risk are cash and cash equivalents. The Company's cash is held in accounts at a financial institution that may exceed federally insured limits. The Company has not experienced any credit losses in such accounts and does not believe it is exposed to any significant credit risk on these funds.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 the Company's business as a single operating segment, which is the business of developing and commercializing genome editing technology.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No. 2014-09 amends ASC 605, by outlining a single comprehensive model for entities to use in</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accounting for revenue arising from contracts with customers. ASU No. 2014-09 will be effective for the Company for interim and annual periods beginning after December 15, 2017. The Company is evaluating the impact that this ASU may have on its financial statements, if any.</w:t>
      </w:r>
    </w:p>
    <w:p>
      <w:pPr>
        <w:spacing w:after="0" w:line="186"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 xml:space="preserve">In June 2014, the FASB issued ASU No. 2014-10, </w:t>
      </w:r>
      <w:r>
        <w:rPr>
          <w:rFonts w:ascii="Arial" w:cs="Arial" w:eastAsia="Arial" w:hAnsi="Arial"/>
          <w:sz w:val="16"/>
          <w:szCs w:val="16"/>
          <w:i w:val="1"/>
          <w:iCs w:val="1"/>
          <w:color w:val="auto"/>
        </w:rPr>
        <w:t>Development Stage Entities</w:t>
      </w:r>
      <w:r>
        <w:rPr>
          <w:rFonts w:ascii="Arial" w:cs="Arial" w:eastAsia="Arial" w:hAnsi="Arial"/>
          <w:sz w:val="16"/>
          <w:szCs w:val="16"/>
          <w:color w:val="auto"/>
        </w:rPr>
        <w:t>, which eliminates the concept of a development stage entity ("DSE"), in its entirety from GAAP. Under existing guidance, DSEs are required to report incremental information, including inception-to-date financial information, in their financial statements. A DSE is an entity devoting substantially all of its efforts to establishing a new business and for which either planned principal operations have not yet commenced or have commenced but there has been no significant revenues generated from that business. Entities classified as DSEs will no longer be subject to these incremental reporting requirement. ASU No. 2014-10 is effective for fiscal years beginning after December 15, 2014, with early adoption permitted. Prior to the issuance of ASU No. 2014-10, the Company had met the definition of a DSE since its inception. The Company elected to early adopt the provisions of ASU No. 2014-10 in these financial statements.</w:t>
      </w:r>
    </w:p>
    <w:p>
      <w:pPr>
        <w:spacing w:after="0" w:line="172" w:lineRule="exact"/>
        <w:rPr>
          <w:sz w:val="20"/>
          <w:szCs w:val="20"/>
          <w:color w:val="auto"/>
        </w:rPr>
      </w:pPr>
    </w:p>
    <w:p>
      <w:pPr>
        <w:ind w:firstLine="615"/>
        <w:spacing w:after="0" w:line="318" w:lineRule="auto"/>
        <w:rPr>
          <w:sz w:val="20"/>
          <w:szCs w:val="20"/>
          <w:color w:val="auto"/>
        </w:rPr>
      </w:pPr>
      <w:r>
        <w:rPr>
          <w:rFonts w:ascii="Arial" w:cs="Arial" w:eastAsia="Arial" w:hAnsi="Arial"/>
          <w:sz w:val="15"/>
          <w:szCs w:val="15"/>
          <w:color w:val="auto"/>
        </w:rPr>
        <w:t xml:space="preserve">In August 2014, the FASB issued ASU No. 2014-15, </w:t>
      </w:r>
      <w:r>
        <w:rPr>
          <w:rFonts w:ascii="Arial" w:cs="Arial" w:eastAsia="Arial" w:hAnsi="Arial"/>
          <w:sz w:val="15"/>
          <w:szCs w:val="15"/>
          <w:i w:val="1"/>
          <w:iCs w:val="1"/>
          <w:color w:val="auto"/>
        </w:rPr>
        <w:t>Presentation of Financial Statements—Going Concern</w:t>
      </w:r>
      <w:r>
        <w:rPr>
          <w:rFonts w:ascii="Arial" w:cs="Arial" w:eastAsia="Arial" w:hAnsi="Arial"/>
          <w:sz w:val="15"/>
          <w:szCs w:val="15"/>
          <w:color w:val="auto"/>
        </w:rPr>
        <w:t>, which requires management to assess an entity's ability to continue as a going concern every reporting period, and provide certain disclosures if management has substantial doubt about the entity's ability to operate as a going concern, or an express statement if not, by incorporating and expanding upon certain principles that are currently in U.S. auditing standards. This guidance is effective for the annual period ending after December 15, 2016, and for annual periods and interim periods within annual periods beginning thereafter. Early application is permitted. The Company is in process of evaluating this guidance and determining the expected effect on its financial statements.</w:t>
      </w:r>
    </w:p>
    <w:p>
      <w:pPr>
        <w:spacing w:after="0" w:line="154" w:lineRule="exact"/>
        <w:rPr>
          <w:sz w:val="20"/>
          <w:szCs w:val="20"/>
          <w:color w:val="auto"/>
        </w:rPr>
      </w:pPr>
    </w:p>
    <w:p>
      <w:pPr>
        <w:ind w:right="80" w:firstLine="615"/>
        <w:spacing w:after="0" w:line="254"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 which states the discount or premium resulting from the determination of the present value in cash or non-cash transactions, is not an asset or liability separable from the note that gives rise to it. Therefore, the discount or premium shall be reported in the balance sheet as a direct deduction from or addition to the face amount of the note. Similarly, debt issuance costs related to a note shall be reported in the balance sheet as a direct deduction from the face amount of that note. The discount, premium, or debt issuance costs shall not be classified as a deferred charge or deferred credit. Early application is permitted. The Company elected to early adopt the provisions of ASU No. 2015-03 in these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 2014 and 2015 is 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Assets and liabilities measured at fair value on a recurring basis as of December 31, 2014 are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3"/>
              <w:spacing w:after="0"/>
              <w:rPr>
                <w:sz w:val="20"/>
                <w:szCs w:val="20"/>
                <w:color w:val="auto"/>
              </w:rPr>
            </w:pPr>
            <w:r>
              <w:rPr>
                <w:rFonts w:ascii="Arial" w:cs="Arial" w:eastAsia="Arial" w:hAnsi="Arial"/>
                <w:sz w:val="14"/>
                <w:szCs w:val="14"/>
                <w:b w:val="1"/>
                <w:bCs w:val="1"/>
                <w:color w:val="auto"/>
                <w:w w:val="86"/>
              </w:rPr>
              <w:t>Quoted Prices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3"/>
              <w:spacing w:after="0"/>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Anti-dilution protection liability</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Preferred stock tranche liability</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Company evaluates transfers between levels at the end of each reporting period. There have been no transfers between levels during the year ended December 31, 2014 or during the nine-month period ended September 30, 2015.</w:t>
      </w:r>
    </w:p>
    <w:p>
      <w:pPr>
        <w:spacing w:after="0" w:line="186"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estimated fair value of the redeemable convertible preferred stock tranche liability was determined using a probability-weighted present value model that considered the probability of closing a future tranche, the estimated future value of Series A-1 and Series A-2 redeemable convertible preferred stock, as applicable, at each closing, and the amount of the investment required at each closing. Future values were converted to present value using a discount rate appropriate for probability-adjusted cash flows.</w:t>
      </w:r>
    </w:p>
    <w:p>
      <w:pPr>
        <w:spacing w:after="0" w:line="197" w:lineRule="exact"/>
        <w:rPr>
          <w:sz w:val="20"/>
          <w:szCs w:val="20"/>
          <w:color w:val="auto"/>
        </w:rPr>
      </w:pPr>
    </w:p>
    <w:p>
      <w:pPr>
        <w:jc w:val="both"/>
        <w:ind w:right="80" w:firstLine="611"/>
        <w:spacing w:after="0" w:line="318" w:lineRule="auto"/>
        <w:rPr>
          <w:sz w:val="20"/>
          <w:szCs w:val="20"/>
          <w:color w:val="auto"/>
        </w:rPr>
      </w:pPr>
      <w:r>
        <w:rPr>
          <w:rFonts w:ascii="Arial" w:cs="Arial" w:eastAsia="Arial" w:hAnsi="Arial"/>
          <w:sz w:val="15"/>
          <w:szCs w:val="15"/>
          <w:color w:val="auto"/>
        </w:rPr>
        <w:t>The Company estimated the fair value of the preferred stock tranche liability at the time of issuance and subsequently remeasured it using a probability-weighted present value model that considered the probability of closing each tranche (varying from 80% to 95% based on the milestone and measurement date), and the estimated future value of Series A-1 and Series A-2 Preferred Stock at closing (varying from $0.72 to $1.42 based on the expected tranche closing date). The Company converted future values to present value using a discount rate (21.0%) appropriate for probability-adjusted cash flows. The estimates are based, in part, on subjective assumptions. Changes to these assumptions can have a significant impact on the fair value of the preferred stock tranche liability.</w:t>
      </w:r>
    </w:p>
    <w:p>
      <w:pPr>
        <w:spacing w:after="0" w:line="154"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Company determined the fair value of the warrants to purchase redeemable convertible preferred stock based on input from management and the board of directors, which utilized an independent valuation of the Company's enterprise value, determined utilizing an analytical valuation model. Each valuation methodology includes estimates and assumptions that require the Company's judgment. Any changes in the assumptions used in the valuation could materially affect the financial results of the Company. Due to the nature of these inputs, the valuation of the warrants is considered a Level 3 measurement.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analytical valuation model used for the periods ended December 31, 2013 and 2014 and the nine months ended September 30, 2015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54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Analytical Valuation Model Used</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Option Pricing Model (OPM)</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December 31, 2014</w:t>
            </w:r>
          </w:p>
        </w:tc>
        <w:tc>
          <w:tcPr>
            <w:tcW w:w="5460" w:type="dxa"/>
            <w:vAlign w:val="bottom"/>
          </w:tcPr>
          <w:p>
            <w:pPr>
              <w:spacing w:after="0"/>
              <w:rPr>
                <w:sz w:val="20"/>
                <w:szCs w:val="20"/>
                <w:color w:val="auto"/>
              </w:rPr>
            </w:pPr>
            <w:r>
              <w:rPr>
                <w:rFonts w:ascii="Arial" w:cs="Arial" w:eastAsia="Arial" w:hAnsi="Arial"/>
                <w:sz w:val="18"/>
                <w:szCs w:val="18"/>
                <w:color w:val="auto"/>
              </w:rPr>
              <w:t>OPM</w:t>
            </w:r>
          </w:p>
        </w:tc>
      </w:tr>
      <w:tr>
        <w:trPr>
          <w:trHeight w:val="20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3"/>
              </w:rPr>
              <w:t>Hybrid approach based on an OPM method and the Probability Weighted</w:t>
            </w:r>
          </w:p>
        </w:tc>
      </w:tr>
      <w:tr>
        <w:trPr>
          <w:trHeight w:val="224"/>
        </w:trPr>
        <w:tc>
          <w:tcPr>
            <w:tcW w:w="596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Method (PWERM)</w:t>
            </w:r>
          </w:p>
        </w:tc>
      </w:tr>
    </w:tbl>
    <w:p>
      <w:pPr>
        <w:spacing w:after="0" w:line="208" w:lineRule="exact"/>
        <w:rPr>
          <w:sz w:val="20"/>
          <w:szCs w:val="20"/>
          <w:color w:val="auto"/>
        </w:rPr>
      </w:pPr>
    </w:p>
    <w:p>
      <w:pPr>
        <w:jc w:val="both"/>
        <w:ind w:right="360" w:firstLine="611"/>
        <w:spacing w:after="0" w:line="306" w:lineRule="auto"/>
        <w:rPr>
          <w:sz w:val="20"/>
          <w:szCs w:val="20"/>
          <w:color w:val="auto"/>
        </w:rPr>
      </w:pPr>
      <w:r>
        <w:rPr>
          <w:rFonts w:ascii="Arial" w:cs="Arial" w:eastAsia="Arial" w:hAnsi="Arial"/>
          <w:sz w:val="16"/>
          <w:szCs w:val="16"/>
          <w:color w:val="auto"/>
        </w:rPr>
        <w:t>The Company estimated the fair value of the anti-dilution protection liability at the time of issuance in October 2014 and subsequently remeasured it using a probability-weighted present value model that considers the probability of issuing additional shares (85%), the estimated future value of the common stock at closing, and converted the future values to present value using a discount rate of 21% appropriate for probability-adjusted cash flows.</w:t>
      </w:r>
    </w:p>
    <w:p>
      <w:pPr>
        <w:spacing w:after="0" w:line="161" w:lineRule="exact"/>
        <w:rPr>
          <w:sz w:val="20"/>
          <w:szCs w:val="20"/>
          <w:color w:val="auto"/>
        </w:rPr>
      </w:pPr>
    </w:p>
    <w:p>
      <w:pPr>
        <w:ind w:right="20" w:firstLine="611"/>
        <w:spacing w:after="0" w:line="268" w:lineRule="auto"/>
        <w:rPr>
          <w:sz w:val="20"/>
          <w:szCs w:val="20"/>
          <w:color w:val="auto"/>
        </w:rPr>
      </w:pPr>
      <w:r>
        <w:rPr>
          <w:rFonts w:ascii="Arial" w:cs="Arial" w:eastAsia="Arial" w:hAnsi="Arial"/>
          <w:sz w:val="18"/>
          <w:szCs w:val="18"/>
          <w:color w:val="auto"/>
        </w:rPr>
        <w:t>The estimates are based, in part, on subjective assumptions. Changes to these assumptions as well as the Company's stock value on the reporting date can have a significant impact on the fair value of the anti-dilution protection liability.</w:t>
      </w:r>
    </w:p>
    <w:p>
      <w:pPr>
        <w:spacing w:after="0" w:line="186" w:lineRule="exact"/>
        <w:rPr>
          <w:sz w:val="20"/>
          <w:szCs w:val="20"/>
          <w:color w:val="auto"/>
        </w:rPr>
      </w:pPr>
    </w:p>
    <w:p>
      <w:pPr>
        <w:ind w:right="660" w:firstLine="611"/>
        <w:spacing w:after="0" w:line="268" w:lineRule="auto"/>
        <w:rPr>
          <w:sz w:val="20"/>
          <w:szCs w:val="20"/>
          <w:color w:val="auto"/>
        </w:rPr>
      </w:pPr>
      <w:r>
        <w:rPr>
          <w:rFonts w:ascii="Arial" w:cs="Arial" w:eastAsia="Arial" w:hAnsi="Arial"/>
          <w:sz w:val="18"/>
          <w:szCs w:val="18"/>
          <w:color w:val="auto"/>
        </w:rPr>
        <w:t>The following table provides a roll-forward of the fair value of the assets and liabilities measured at fair value on a recurring basis using Level 3 significant unobservable inputs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1"/>
              </w:rPr>
              <w:t>Anti-dilutive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Warrant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Preferred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3"/>
              </w:rPr>
              <w:t>Protection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7"/>
              </w:rPr>
              <w:t>Tranche Asset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5"/>
              </w:rPr>
              <w:t>Tranche Liability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5"/>
              </w:rPr>
              <w:t>liability</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Issuance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fair value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Reclassification to Series A Preferred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60" w:type="dxa"/>
            <w:vAlign w:val="bottom"/>
            <w:vMerge w:val="restart"/>
          </w:tcPr>
          <w:p>
            <w:pPr>
              <w:ind w:left="160"/>
              <w:spacing w:after="0"/>
              <w:rPr>
                <w:sz w:val="20"/>
                <w:szCs w:val="20"/>
                <w:color w:val="auto"/>
              </w:rPr>
            </w:pPr>
            <w:r>
              <w:rPr>
                <w:rFonts w:ascii="Arial" w:cs="Arial" w:eastAsia="Arial" w:hAnsi="Arial"/>
                <w:sz w:val="18"/>
                <w:szCs w:val="18"/>
                <w:color w:val="auto"/>
              </w:rPr>
              <w:t>Changes in fair value (unaudited)</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35,551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1,609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Reclassification to additional paid in capital upon settlement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w w:val="94"/>
              </w:rPr>
              <w:t>Reclassification of redeemable convertible preferred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w w:val="90"/>
              </w:rPr>
              <w:t>tranche liability to preferred stock upon issuance of shares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(37,038)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2015 (unaudited)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900" w:type="dxa"/>
            <w:vAlign w:val="bottom"/>
            <w:gridSpan w:val="3"/>
          </w:tcPr>
          <w:p>
            <w:pPr>
              <w:ind w:left="4380"/>
              <w:spacing w:after="0"/>
              <w:rPr>
                <w:sz w:val="20"/>
                <w:szCs w:val="20"/>
                <w:color w:val="auto"/>
              </w:rPr>
            </w:pPr>
            <w:r>
              <w:rPr>
                <w:rFonts w:ascii="Arial" w:cs="Arial" w:eastAsia="Arial" w:hAnsi="Arial"/>
                <w:sz w:val="18"/>
                <w:szCs w:val="18"/>
                <w:color w:val="auto"/>
              </w:rPr>
              <w:t>F-19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Assets measured at fair value on a recurring basis as of September 30, 2015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 Active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5620" w:type="dxa"/>
            <w:vAlign w:val="bottom"/>
            <w:gridSpan w:val="2"/>
          </w:tcPr>
          <w:p>
            <w:pPr>
              <w:ind w:left="114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7"/>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27"/>
              <w:spacing w:after="0" w:line="142"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3"/>
              </w:rPr>
              <w:t>Money market funds, included in 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center"/>
              <w:ind w:left="284"/>
              <w:spacing w:after="0"/>
              <w:rPr>
                <w:sz w:val="20"/>
                <w:szCs w:val="20"/>
                <w:color w:val="auto"/>
              </w:rPr>
            </w:pPr>
            <w:r>
              <w:rPr>
                <w:rFonts w:ascii="Arial" w:cs="Arial" w:eastAsia="Arial" w:hAnsi="Arial"/>
                <w:sz w:val="18"/>
                <w:szCs w:val="18"/>
                <w:color w:val="auto"/>
                <w:w w:val="86"/>
              </w:rPr>
              <w:t>155,301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gridSpan w:val="5"/>
          </w:tcPr>
          <w:p>
            <w:pPr>
              <w:ind w:left="620"/>
              <w:spacing w:after="0"/>
              <w:rPr>
                <w:sz w:val="20"/>
                <w:szCs w:val="20"/>
                <w:color w:val="auto"/>
              </w:rPr>
            </w:pPr>
            <w:r>
              <w:rPr>
                <w:rFonts w:ascii="Arial" w:cs="Arial" w:eastAsia="Arial" w:hAnsi="Arial"/>
                <w:sz w:val="18"/>
                <w:szCs w:val="18"/>
                <w:color w:val="auto"/>
                <w:w w:val="92"/>
              </w:rPr>
              <w:t>Prepaid expense and other current assets consisted of the following (in thousands):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1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60" w:type="dxa"/>
            <w:vAlign w:val="bottom"/>
            <w:gridSpan w:val="9"/>
            <w:vMerge w:val="restart"/>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6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61"/>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ind w:left="620"/>
              <w:spacing w:after="0"/>
              <w:rPr>
                <w:sz w:val="20"/>
                <w:szCs w:val="20"/>
                <w:color w:val="auto"/>
              </w:rPr>
            </w:pPr>
            <w:r>
              <w:rPr>
                <w:rFonts w:ascii="Arial" w:cs="Arial" w:eastAsia="Arial" w:hAnsi="Arial"/>
                <w:sz w:val="18"/>
                <w:szCs w:val="18"/>
                <w:color w:val="auto"/>
                <w:w w:val="89"/>
              </w:rPr>
              <w:t>Property and equipment, net consisted of the following (in thousands):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1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60" w:type="dxa"/>
            <w:vAlign w:val="bottom"/>
            <w:gridSpan w:val="9"/>
            <w:vMerge w:val="restart"/>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6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61"/>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47</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52</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Company recorded $1,000 and $0.2 million in depreciation expense during the period ended December 31, 2013 and the year ended December 31, 2014, respectively, and $0.1 million and $0.3 million in depreciation expense during the nine months ended September 30, 2014 and September 30, 2015, respectively.</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 2014 and 2015 is 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3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4"/>
            <w:vMerge w:val="restart"/>
          </w:tcPr>
          <w:p>
            <w:pPr>
              <w:jc w:val="right"/>
              <w:ind w:right="315"/>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Patent and license fees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issuance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Equipment Financing</w:t>
      </w:r>
    </w:p>
    <w:p>
      <w:pPr>
        <w:spacing w:after="0" w:line="231"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In May 2014, the Company entered into a $2.0 million equipment loan agreement (the "Equipment Loan") with Silicon Valley Bank ("Bank"). Under the terms of the Equipment Loan, $0.5 million was available to be borrowed before July 31, 2014 ("Equipment Loan A"), with the remaining $1.5 million available to be borrowed upon the closing of the issuance of $17.0 million of redeemable convertible preferred stock ("Equipment Loan B"). In July 2014, the Company borrowed $0.5 million under Equipment Loan A. In January 2015, the Company borrowed $0.8 million under Equipment Loan B. Additionally, in July 2015, the Company entered into a modification to the Equipment Loan to extend the availability to draw the remaining balance on the Equipment Loan. The Company borrowed $0.7 million under Equipment Loan B in July 2015.</w:t>
      </w:r>
    </w:p>
    <w:p>
      <w:pPr>
        <w:spacing w:after="0" w:line="198"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Interest is fixed at the time of borrowing at the bank's prime rate, as defined, plus 2.75% and is payable monthly. For all borrowings to date, the interest rate is 6.00% per annum. Each borrowing is repayable in equal monthly principal installments over 36 months beginning after the nine-month anniversary of the funding date of each loan. The loan is secured by the related financed equipment.</w:t>
      </w:r>
    </w:p>
    <w:p>
      <w:pPr>
        <w:spacing w:after="0" w:line="194"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In conjunction with execution of the Equipment Loan, the Company issued a warrant to purchase 60,000 shares of Series A-1 redeemable convertible preferred stock with an exercise price of $1.00 per share. The fair value of the warrant at the issuance date was recorded as a reduction to face value of the debt balance and will be amortized as interest expense, along with other debt issuance costs, over the term of the loan using the effective interest rate method. Due to the liquidation preferences of the redeemable convertible preferred stock, the warrant was recorded as a liability in the accompanying balance sheets. The Company will continue to re-measure the fair value of the warrant liability at the end of each reporting period.</w:t>
      </w:r>
    </w:p>
    <w:p>
      <w:pPr>
        <w:spacing w:after="0" w:line="170"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At December 31, 2014 and September 30, 2015, the outstanding principal balance of the Equipment Loan was $0.5 million and $1.9 million respectively. At September 30, 2015, the carrying value of the Equipment Loan approximates fair value, which was determined using Level 3 inputs. The Company early adopted the provisions of ASU No. 2015-03 and therefore recorded debt issuance costs as a reduction to the face amount of the Equipment Loan in the accompanying financial statements.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Equipment Loan balance as of December 31, 2014 and September 30, 2015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Equipment Loan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Debt issuance costs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Equipment Loan, net of issuance costs</w:t>
            </w:r>
          </w:p>
        </w:tc>
        <w:tc>
          <w:tcPr>
            <w:tcW w:w="1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Current Equipment Loan balance, net of issuance costs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Equipment Loan, net of current portion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Future minimum annual principal payments under the Equipment Loan as of December 31, 2014 were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principal payments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Future minimum annual principal payments under the Equipment Loan as of September 30, 2015 were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Periods ending December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142"/>
        </w:trPr>
        <w:tc>
          <w:tcPr>
            <w:tcW w:w="20" w:type="dxa"/>
            <w:vAlign w:val="bottom"/>
          </w:tcPr>
          <w:p>
            <w:pPr>
              <w:spacing w:after="0"/>
              <w:rPr>
                <w:sz w:val="12"/>
                <w:szCs w:val="12"/>
                <w:color w:val="auto"/>
              </w:rPr>
            </w:pPr>
          </w:p>
        </w:tc>
        <w:tc>
          <w:tcPr>
            <w:tcW w:w="7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(unaudited)</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2015 (remaining)</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8760" w:hanging="532"/>
        <w:spacing w:after="0" w:line="605" w:lineRule="auto"/>
        <w:tabs>
          <w:tab w:leader="none" w:pos="175" w:val="left"/>
        </w:tabs>
        <w:numPr>
          <w:ilvl w:val="0"/>
          <w:numId w:val="1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During December 2013, the Company entered into an agreement to sublease its facility under a non-cancelable operating lease that expires September 2016. Pursuant to the sublease agreement, the Company maintains restricted cash of $0.3 million in a collateral account to be held until the expiration or termination of the Company's obligations under the agreement. The sublease agreement cannot be extended beyond the expiration date of the sublease. The lease contains escalating rent clauses which require higher rent payments in future years. The Company expenses rent on a straight-line basis over the term of the lease, including any rent-free periods. The deposit is recorded in other non-current assets in the accompanying balance sheet as of December 31, 2014 and in prepaid expenses and other current assets in the accompanying balance sheet as of September 30, 2015.</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280" w:firstLine="615"/>
        <w:spacing w:after="0" w:line="370" w:lineRule="auto"/>
        <w:rPr>
          <w:sz w:val="20"/>
          <w:szCs w:val="20"/>
          <w:color w:val="auto"/>
        </w:rPr>
      </w:pPr>
      <w:r>
        <w:rPr>
          <w:rFonts w:ascii="Arial" w:cs="Arial" w:eastAsia="Arial" w:hAnsi="Arial"/>
          <w:sz w:val="15"/>
          <w:szCs w:val="15"/>
          <w:color w:val="auto"/>
        </w:rPr>
        <w:t>Rent expense of approximately $22,000 and $0.9 million was incurred during the period ended December 31, 2013 and the year ended December 31, 2014, respectively, and $0.7 million and $0.7 million was incurred during the nine months ended September 30, 2014 and September 30, 2015, respectively.</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Future annual minimum lease payments at December 31, 2014 were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Total Minimum</w:t>
            </w: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1"/>
              </w:rPr>
              <w:t>Lease Payments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jc w:val="right"/>
              <w:ind w:right="3672"/>
              <w:spacing w:after="0"/>
              <w:rPr>
                <w:sz w:val="20"/>
                <w:szCs w:val="20"/>
                <w:color w:val="auto"/>
              </w:rPr>
            </w:pPr>
            <w:r>
              <w:rPr>
                <w:rFonts w:ascii="Arial" w:cs="Arial" w:eastAsia="Arial" w:hAnsi="Arial"/>
                <w:sz w:val="18"/>
                <w:szCs w:val="18"/>
                <w:color w:val="auto"/>
                <w:w w:val="79"/>
              </w:rPr>
              <w:t>2015</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jc w:val="right"/>
              <w:ind w:right="3672"/>
              <w:spacing w:after="0"/>
              <w:rPr>
                <w:sz w:val="20"/>
                <w:szCs w:val="20"/>
                <w:color w:val="auto"/>
              </w:rPr>
            </w:pPr>
            <w:r>
              <w:rPr>
                <w:rFonts w:ascii="Arial" w:cs="Arial" w:eastAsia="Arial" w:hAnsi="Arial"/>
                <w:sz w:val="18"/>
                <w:szCs w:val="18"/>
                <w:color w:val="auto"/>
                <w:w w:val="79"/>
              </w:rPr>
              <w:t>2016</w:t>
            </w:r>
          </w:p>
        </w:tc>
        <w:tc>
          <w:tcPr>
            <w:tcW w:w="3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320" w:firstLine="611"/>
        <w:spacing w:after="0" w:line="268" w:lineRule="auto"/>
        <w:rPr>
          <w:sz w:val="20"/>
          <w:szCs w:val="20"/>
          <w:color w:val="auto"/>
        </w:rPr>
      </w:pPr>
      <w:r>
        <w:rPr>
          <w:rFonts w:ascii="Arial" w:cs="Arial" w:eastAsia="Arial" w:hAnsi="Arial"/>
          <w:sz w:val="18"/>
          <w:szCs w:val="18"/>
          <w:color w:val="auto"/>
        </w:rPr>
        <w:t>The Company is not a party to any litigation and did not have contingency reserves established for any litigation liabilities as of December 31, 2013, December 31, 2014 or September 30,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Significant Agreements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Juno Therapeutics Collaboration Agreement (unaudited)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Agreement</w:t>
      </w:r>
    </w:p>
    <w:p>
      <w:pPr>
        <w:spacing w:after="0" w:line="225"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May, 2015, the Company entered into a Collaboration and License Agreement (the "Collaboration Agreement") with Juno Therapeutics. The collaboration is focused on the research and development of engineered T cells with chimeric antigen receptors ("CARs") and T cell receptors ("TCRs") that have been genetically modified to recognize and kill other cells. The parties will pursue the research and development of CAR and TCR engineered T cell products utilizing the Company's genome editing technologies with Juno Therapeutics' CAR and TCR technologies across three research areas.</w:t>
      </w:r>
    </w:p>
    <w:p>
      <w:pPr>
        <w:spacing w:after="0" w:line="167"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The collaborative program of research to be undertaken by the parties pursuant to the Collaboration Agreement will be conducted in accordance with a mutually agreed upon research plan which outlines each party's research and development responsibilities across the three research areas. The Company's research and development responsibilities under the research plan are related to generating genome editing reagents that modify gene targets selected by Juno Therapeutics. Juno Therapeutics is responsible for evaluating and selecting for further research and development CAR and TCR engineered T cell products modified with the Company's genome editing reagents. Except with respect to the Company's obligations under the mutually agreed upon research plan, Juno Therapeutics has sole responsibility, at its own costs, for the worldwide research, development, manufacturing and commercialization of products within each of the three research areas for the diagnosis, treatment or prevention of any cancer in humans through the use of engineered T cells, excluding the diagnosis, treatment or prevention of medullary cystic kidney disease 1 (the "Exclusive Field").</w:t>
      </w:r>
    </w:p>
    <w:p>
      <w:pPr>
        <w:spacing w:after="0" w:line="172" w:lineRule="exact"/>
        <w:rPr>
          <w:sz w:val="20"/>
          <w:szCs w:val="20"/>
          <w:color w:val="auto"/>
        </w:rPr>
      </w:pPr>
    </w:p>
    <w:p>
      <w:pPr>
        <w:ind w:right="520" w:firstLine="611"/>
        <w:spacing w:after="0" w:line="332" w:lineRule="auto"/>
        <w:rPr>
          <w:sz w:val="20"/>
          <w:szCs w:val="20"/>
          <w:color w:val="auto"/>
        </w:rPr>
      </w:pPr>
      <w:r>
        <w:rPr>
          <w:rFonts w:ascii="Arial" w:cs="Arial" w:eastAsia="Arial" w:hAnsi="Arial"/>
          <w:sz w:val="16"/>
          <w:szCs w:val="16"/>
          <w:color w:val="auto"/>
        </w:rPr>
        <w:t>The initial term of the research program commenced on May 26, 2015 and continues for five years ending on May 26, 2020 (the "Initial Research Program Term"). Juno Therapeutics may extend the Initial Research Program Term for up to two additional one year periods upon the payment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extension fees for each one year extension period, assuming the Company has agreed to the extension request(s) (together, the initial term and any extension period(s) are referred to as the "Research Program Term").</w:t>
      </w:r>
    </w:p>
    <w:p>
      <w:pPr>
        <w:spacing w:after="0" w:line="186" w:lineRule="exact"/>
        <w:rPr>
          <w:sz w:val="20"/>
          <w:szCs w:val="20"/>
          <w:color w:val="auto"/>
        </w:rPr>
      </w:pPr>
    </w:p>
    <w:p>
      <w:pPr>
        <w:ind w:right="80" w:firstLine="615"/>
        <w:spacing w:after="0" w:line="302" w:lineRule="auto"/>
        <w:rPr>
          <w:sz w:val="20"/>
          <w:szCs w:val="20"/>
          <w:color w:val="auto"/>
        </w:rPr>
      </w:pPr>
      <w:r>
        <w:rPr>
          <w:rFonts w:ascii="Arial" w:cs="Arial" w:eastAsia="Arial" w:hAnsi="Arial"/>
          <w:sz w:val="15"/>
          <w:szCs w:val="15"/>
          <w:color w:val="auto"/>
        </w:rPr>
        <w:t>Under the terms of the Collaboration Agreement, the Company granted to Juno Therapeutics during the Research Program Term a nonexclusive, worldwide, royalty-free, sublicensable (subject to certain conditions) license under certain of the intellectual property controlled by the Company solely for the purpose of conducting activities required under the specified research under the Collaboration Agreement: (i) conduct activities assigned to Juno Therapeutics under the research plan, (ii) conduct activities assigned to the Company under the research plan that the Company fails or refuses to conduct in a timely manner,</w:t>
      </w:r>
    </w:p>
    <w:p>
      <w:pPr>
        <w:spacing w:after="0" w:line="3" w:lineRule="exact"/>
        <w:rPr>
          <w:sz w:val="20"/>
          <w:szCs w:val="20"/>
          <w:color w:val="auto"/>
        </w:rPr>
      </w:pPr>
    </w:p>
    <w:p>
      <w:pPr>
        <w:ind w:firstLine="8"/>
        <w:spacing w:after="0" w:line="284" w:lineRule="auto"/>
        <w:tabs>
          <w:tab w:leader="none" w:pos="30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use certain genome editing reagents generated under the research program to research, evaluate and conduct preclinical testing and development of certain engineered T cells and (iv) evaluate the data developed in the conduct of activities under the research plan (the "Research License"). Additionally, as it relates to two of the three research areas, the Company granted to Juno Therapeutics an exclusive, milestone and royalty-bearing, sublicensable license under certain of the intellectual property controlled by the Company to research, develop, make and have made, use, offer for sale, sell, import and export selected CAR and TCR engineered T cell products in the Exclusive Field on a worldwide basis, specifically as it relates to certain targets selected by Juno Therapeutics pursuant to the research program. Furthermore, as it relates to the same two research areas, the Company granted to Juno Therapeutics a non-exclusive, milestone and royalty-bearing, sub licensable license under certain of the intellectual property controlled by the Company to use genome editing reagents generated under the research program that are used in the creation of certain CAR or TCR engineered T cell products on which Juno Therapeutics has filed an IND in the Exclusive Field for the treatment or prevention of a cancer in humans to research, develop, make and have made, use, offer for sale, sell, import and export those CAR or TCR engineered T cell products in all fields outside of the Exclusive Field (the "Non-Exclusive Field") on a worldwide basis, specifically as it relates to certain targets selected by Juno Therapeutics pursuant to the research program (together, the license in the Exclusive Field and the license in the Non-Exclusive Field are referred to as the "Development and Commercialization License" for each particular research area). Lastly, as it relates to the third research area, the Company granted to Juno Therapeutics a milestone and royalty-bearing, sublicensable license under certain of the intellectual property controlled by the Company to use the genome editing reagents generated under the research program that are associated with certain CAR or TCR engineered T cell products to research, develop, make and have made, use, offer for sale, sell, import or export those CAR or TCR engineered T cell products in the Exclusive Field on a worldwide basis, specifically as it relates to certain to certain products selected by Juno Therapeutics pursuant to the research program. The license associated with the third research area is exclusive as it relates to CAR or TCR engineered T cell products directed to certain targets as selected by Juno Therapeutics, but is otherwise non-exclusive (referred to as the "Development and Commercialization License" for the third research area).</w:t>
      </w:r>
    </w:p>
    <w:p>
      <w:pPr>
        <w:spacing w:after="0" w:line="180" w:lineRule="exact"/>
        <w:rPr>
          <w:sz w:val="20"/>
          <w:szCs w:val="20"/>
          <w:color w:val="auto"/>
        </w:rPr>
      </w:pPr>
    </w:p>
    <w:p>
      <w:pPr>
        <w:ind w:right="80" w:firstLine="611"/>
        <w:spacing w:after="0" w:line="291" w:lineRule="auto"/>
        <w:rPr>
          <w:sz w:val="20"/>
          <w:szCs w:val="20"/>
          <w:color w:val="auto"/>
        </w:rPr>
      </w:pPr>
      <w:r>
        <w:rPr>
          <w:rFonts w:ascii="Arial" w:cs="Arial" w:eastAsia="Arial" w:hAnsi="Arial"/>
          <w:sz w:val="16"/>
          <w:szCs w:val="16"/>
          <w:color w:val="auto"/>
        </w:rPr>
        <w:t>The Collaboration Agreement will be managed on an overall basis by a project leader from each of the Company and Juno Therapeutics. The project leaders will serve as the contact point between the parties with respect to the research program and will be primarily responsible for facilitating the flow of information, interaction, and collaboration between the parties. In addition, the activities under the Collaboration Agreement during the Research Program Term will be governed by a joint research committee ("JRC") formed by an equal number of representatives from the Company and Juno Therapeutics. The JRC will oversee, review and recommend direction of the research program. Among other responsibilities, the JRC will monitor and report research progress and ensure open and frequent exchange between the parties regarding research program activities.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Under the terms of the Collaboration Agreement, the Company received a $25.0 million up-front, non-refundable, non-creditable cash payment. In addition, Juno Therapeutics will pay to the Company an aggregate of up to $22.0 million in research and development funding over the initial five year term of the research program across the three research areas consisting primarily of funding for up to a specified maximum number of full time equivalents personnel each year over the initial five year term of the research program across three research areas. Under the terms of the Collaboration Agreement, there is no incremental compensation due to the Company with respect to the Development and Commercialization License granted to Juno Therapeutics associated with the first target or product, as applicable, designated by Juno Therapeutics within each of the three research areas. However, for two of the three research areas, Juno Therapeutics has the option to purchase up to three additional Development and Commercialization Licenses associated with other gene targets for an additional fee of approximately $2.5 million per target. In addition, Juno Therapeutics would be required to make certain milestone payments to the Company upon the achievement of specified development, regulatory and commercial events. More specifically, for the first product to achieve the associated event in each of the three research areas, the Company is eligible to receive up to a $77.5 million in development milestone payments and up to $80 million in regulatory milestone payments. In addition, the Company is eligible to receive additional development and regulatory milestone payments for subsequent products developed within each of the three research areas. Moreover, the Company is eligible for up to $75.0 million in commercial milestone payments associated with aggregate sales of all products within each of the three research areas. Development milestone payments are triggered upon the achievement of certain specified development criteria or upon initiation of a defined phase of clinical research for a product candidate. Regulatory milestone payments are triggered upon approval to market a product candidate by the United States Food and Drug Administration ("FDA") or other global regulatory authorities. Commercial milestone payments are triggered when an approved pharmaceutical product reaches certain defined levels of net sales by the licensee.</w:t>
      </w:r>
    </w:p>
    <w:p>
      <w:pPr>
        <w:spacing w:after="0" w:line="178"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In addition, to the extent any of the product candidates covered by the licenses conveyed to Juno Therapeutics are commercialized, the Company would be entitled to receive tiered royalty payments of low double digits based on a percentage of net sales. Royalty payments are subject to certain reductions, including for any royalty payments required to be made by Juno Therapeutics related to a third-party's intellectual property rights, subject to an aggregate minimum floor. Royalties are due on a licensed product-by-licensed product and country-by-country basis from the date of the first commercial sale of each product in a country until the later of: (i) the tenth anniversary of the first commercial sale of such licensed product in such country and (ii) the expiration date in such country of the last to expire valid claim within the licensed intellectual property covering the manufacture, use or sale of such licensed product in such country. Due to the uncertainty of pharmaceutical development and the high historical failure rates generally associated with drug development, no milestone or royalty payments may ever be received from Juno Therapeutics. The next potential milestone payment that the Company may be entitled to receive under the agreement is a substantive milestone payment of $2.5 million for the achievement of certain development criteria. The Company would recognize the milestone payment as revenue upon achievement. There are no cancellation, termination or refund provisions in the Collaboration Agreement that contain material financial consequences to the Company.</w:t>
      </w:r>
    </w:p>
    <w:p>
      <w:pPr>
        <w:spacing w:after="0" w:line="181"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Unless earlier terminated, the Collaboration Agreement will continue in full force and effect, on a product-by-product and country-by-country basis until the date no further payments are due to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Company from Juno Therapeutics. Either party may terminate the Collaboration Agreement if the other party has materially breached or defaulted in the performance of any of its material obligations and such breach or default continues after the specified cure period. Either party may terminate the Collaboration Agreement in the event of the commencement of any proceeding in or for bankruptcy, insolvency, dissolution or winding up by or against the other party that is not dismissed or otherwise disposed of within a specified time period. Juno Therapeutics may terminate the Collaboration Agreement for convenience upon not less than six months prior written notice to the Company. The Company may terminate the Collaboration Agreement in the event that Juno Therapeutics brings, assumes, or participates in, or knowingly, willfully or recklessly assists in bringing a dispute or challenge against the Company related to its intellectual property.</w:t>
      </w:r>
    </w:p>
    <w:p>
      <w:pPr>
        <w:spacing w:after="0" w:line="174" w:lineRule="exact"/>
        <w:rPr>
          <w:sz w:val="20"/>
          <w:szCs w:val="20"/>
          <w:color w:val="auto"/>
        </w:rPr>
      </w:pPr>
    </w:p>
    <w:p>
      <w:pPr>
        <w:ind w:firstLine="611"/>
        <w:spacing w:after="0" w:line="283" w:lineRule="auto"/>
        <w:rPr>
          <w:sz w:val="20"/>
          <w:szCs w:val="20"/>
          <w:color w:val="auto"/>
        </w:rPr>
      </w:pPr>
      <w:r>
        <w:rPr>
          <w:rFonts w:ascii="Arial" w:cs="Arial" w:eastAsia="Arial" w:hAnsi="Arial"/>
          <w:sz w:val="16"/>
          <w:szCs w:val="16"/>
          <w:color w:val="auto"/>
        </w:rPr>
        <w:t>Termination of the Collaboration Agreement for any reason does not release either party from any liability which, at the time of such termination, has already accrued to the other party or which is attributable to a period prior to such termination nor preclude either party from pursuing any rights and remedies it may have under the agreement or at law or in equity with respect to any breach of the Collaboration Agreement. If Juno Therapeutics terminates the Collaboration Agreement as a result of the Company's uncured material breach or default, then: (i) the licenses and rights conveyed to Juno Therapeutics will continue as set forth in the agreement, (ii) Juno Therapeutics' obligations related to milestones and royalties will continue as set forth in the agreement and</w:t>
      </w:r>
    </w:p>
    <w:p>
      <w:pPr>
        <w:spacing w:after="0" w:line="2" w:lineRule="exact"/>
        <w:rPr>
          <w:sz w:val="20"/>
          <w:szCs w:val="20"/>
          <w:color w:val="auto"/>
        </w:rPr>
      </w:pPr>
    </w:p>
    <w:p>
      <w:pPr>
        <w:ind w:right="960" w:firstLine="8"/>
        <w:spacing w:after="0" w:line="302" w:lineRule="auto"/>
        <w:tabs>
          <w:tab w:leader="none" w:pos="30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Juno Therapeutics' rights to prosecute, maintain and enforce certain intellectual property rights will continue as set forth in the agreement. If Juno Therapeutics terminates the Collaboration Agreement for convenience or if the Company terminates the Collaboration Agreement as a result of Juno Therapeutics' uncured material breach or default, then the licenses conveyed to Juno will terminate.</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Accounting Analysis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evaluated the Collaboration Agreement in accordance with the provisions of ASC 605-25. The Company's arrangement with</w:t>
      </w:r>
    </w:p>
    <w:p>
      <w:pPr>
        <w:spacing w:after="0" w:line="38"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Juno Therapeutics contains the following deliverables: (i) research and development services during the Initial Research Program Term (the "R&amp;D Services Deliverable"), (ii) research License, (iii) Development and Commercialization License related to each of the three research areas (each, the "Development and Commercialization License Deliverable" for the respective research area), (iv) significant and incremental discount related to the option to purchase up to three additional Development and Commercialization Licenses for two of the research areas (each, the "Discount Deliverable" for the associated option) and (v) JRC services during the Initial Research Program Term (the "JRC Deliverable").</w:t>
      </w:r>
    </w:p>
    <w:p>
      <w:pPr>
        <w:spacing w:after="0" w:line="171" w:lineRule="exact"/>
        <w:rPr>
          <w:sz w:val="20"/>
          <w:szCs w:val="20"/>
          <w:color w:val="auto"/>
        </w:rPr>
      </w:pPr>
    </w:p>
    <w:p>
      <w:pPr>
        <w:ind w:right="200" w:firstLine="611"/>
        <w:spacing w:after="0" w:line="302" w:lineRule="auto"/>
        <w:rPr>
          <w:sz w:val="20"/>
          <w:szCs w:val="20"/>
          <w:color w:val="auto"/>
        </w:rPr>
      </w:pPr>
      <w:r>
        <w:rPr>
          <w:rFonts w:ascii="Arial" w:cs="Arial" w:eastAsia="Arial" w:hAnsi="Arial"/>
          <w:sz w:val="15"/>
          <w:szCs w:val="15"/>
          <w:color w:val="auto"/>
        </w:rPr>
        <w:t>The Company has determined that the options to purchase additional development and commercialization licenses within two of the research program areas related to other gene targets are substantive options. Juno Therapeutics is not contractually obligated to exercise the options. Moreover, as a result of the uncertain outcome of the discovery, research and development activities, there is significant uncertainty as to whether Juno Therapeutics will decide to exercise its option for any additional gene targets within either of the two applicable research areas. Consequently, the Company is at risk with regard to whether</w:t>
      </w:r>
    </w:p>
    <w:p>
      <w:pPr>
        <w:spacing w:after="0" w:line="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Juno Therapeutics will exercise the options. However, the Company has determined that the options to purchase additional development and commercialization licenses with respect to other gene targets within the two applicable research program areas are priced at a significant and incremental discount. As a result, the Company has concluded that the discounts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purchase development and commercialization licenses for up to three additional gene targets within both of the research areas represent separate elements in the arrangement at inception. Accordingly, the deliverables identified at inception of the arrangement include six separate deliverables related to the significant and incremental discount inherent in the pricing of the option to purchase up to three additional development and commercialization licenses for two of the research areas included within the research program.</w:t>
      </w:r>
    </w:p>
    <w:p>
      <w:pPr>
        <w:spacing w:after="0" w:line="197"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The Company has concluded that the Research License deliverable does not qualify for separation from the R&amp;D Services Deliverable. As it relates to the assessment of standalone value, the Company has determined that Juno Therapeutics cannot fully exploit the value of the Research License deliverable without receipt of the R&amp;D Services Deliverable. This is primarily due to the fact that Juno Therapeutics must rely upon the Company to provide the research and development services included in the research plan because the services incorporate technology that is proprietary to the Company. The services to be provided by the Company involve unique skills and specialized expertise, particularly as it relates to genome editing technology that is not available in the marketplace. Accordingly, Juno Therapeutics must obtain the research and development services from the Company which significantly limits the ability for Juno Therapeutics to utilize the Research License for its intended purpose on a standalone basis. Therefore, the Research License deliverable does not have standalone value from the R&amp;D Services Deliverable. As a result, the Research License deliverable and the R&amp;D Services Deliverable have been combined as a single unit of accounting (the "R&amp;D Services Unit of Accounting"). Conversely, the Company has concluded that each of the other deliverables identified at the inception of the arrangement has standalone value from each of the other elements based on their nature. Factors considered in this determination included, among other things, the capabilities of the collaboration partner, whether any other vendor sells the item separately, whether the value of the deliverable is dependent on the other elements in the arrangement, whether there are other vendors that can provide the items and if the customer could use the item for its intended purpose without the other deliverables in the arrangement. Additionally, the Collaboration Agreement does not include a general right of return. Accordingly, each of the other deliverables included in the Juno Therapeutics arrangement qualifies as a separate unit of accounting.</w:t>
      </w:r>
    </w:p>
    <w:p>
      <w:pPr>
        <w:spacing w:after="0" w:line="182" w:lineRule="exact"/>
        <w:rPr>
          <w:sz w:val="20"/>
          <w:szCs w:val="20"/>
          <w:color w:val="auto"/>
        </w:rPr>
      </w:pPr>
    </w:p>
    <w:p>
      <w:pPr>
        <w:ind w:right="80" w:firstLine="611"/>
        <w:spacing w:after="0" w:line="306" w:lineRule="auto"/>
        <w:rPr>
          <w:sz w:val="20"/>
          <w:szCs w:val="20"/>
          <w:color w:val="auto"/>
        </w:rPr>
      </w:pPr>
      <w:r>
        <w:rPr>
          <w:rFonts w:ascii="Arial" w:cs="Arial" w:eastAsia="Arial" w:hAnsi="Arial"/>
          <w:sz w:val="16"/>
          <w:szCs w:val="16"/>
          <w:color w:val="auto"/>
        </w:rPr>
        <w:t>Therefore, the Company has identified eleven units of accounting in connection with its obligations under the collaboration arrangement with Juno Therapeutics as follows: (i) R&amp;D Services Unit of Accounting, (ii) three units of accounting related to the Development and Commercialization License for each of the three research areas, (iii) six units of accounting related to each of the Discount Deliverables, and (iv) JRC Deliverable.</w:t>
      </w:r>
    </w:p>
    <w:p>
      <w:pPr>
        <w:spacing w:after="0" w:line="161" w:lineRule="exact"/>
        <w:rPr>
          <w:sz w:val="20"/>
          <w:szCs w:val="20"/>
          <w:color w:val="auto"/>
        </w:rPr>
      </w:pPr>
    </w:p>
    <w:p>
      <w:pPr>
        <w:ind w:right="20" w:firstLine="611"/>
        <w:spacing w:after="0" w:line="290" w:lineRule="auto"/>
        <w:rPr>
          <w:sz w:val="20"/>
          <w:szCs w:val="20"/>
          <w:color w:val="auto"/>
        </w:rPr>
      </w:pPr>
      <w:r>
        <w:rPr>
          <w:rFonts w:ascii="Arial" w:cs="Arial" w:eastAsia="Arial" w:hAnsi="Arial"/>
          <w:sz w:val="16"/>
          <w:szCs w:val="16"/>
          <w:color w:val="auto"/>
        </w:rPr>
        <w:t>The Company has determined that neither VSOE of selling price nor TPE of selling price is available for any of the units of accounting identified at inception of the arrangement with Juno Therapeutics. Accordingly, the selling price of each unit of accounting was determined based on the Company's BESP. The Company developed the BESP for all of the units of accounting included in the Collaboration Agreement with the objective of determining the price at which it would sell such an item if it were to be sold regularly on a standalone basis. The Company developed the BESP for the R&amp;D Services Unit of Accounting and the JRC Deliverable primarily based on the nature of the services to be performed and estimates of the associated effort and cost of the services, adjusted for a reasonable profit margin that would be expected to be realized under similar contracts. The Company developed the BESP for each of the Development and Commercialization License units of accounting based on the probability-weighted present value of expected future cash flows associated with each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license related to each specific research area. In developing such estimate, the Company also considered applicable market conditions and relevant entity-specific factors, including those factors contemplated in negotiating the agreement, probability of success and the time needed to commercialize a product candidate pursuant to the associated license. The Company developed the BESP for each of the Discount Deliverables based on the estimated value of the associated in-the-money options. In developing such estimate, the Company considered the period to exercise the option, an appropriate discount rate and the likelihood that a market participant who was entitled to the discount would exercise the option.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Allocable arrangement consideration at inception is comprised of: (i) the up-front payment of $25.0 million, (ii) the research support of $20.0 million and</w:t>
      </w:r>
    </w:p>
    <w:p>
      <w:pPr>
        <w:spacing w:after="0" w:line="38" w:lineRule="exact"/>
        <w:rPr>
          <w:sz w:val="20"/>
          <w:szCs w:val="20"/>
          <w:color w:val="auto"/>
        </w:rPr>
      </w:pPr>
    </w:p>
    <w:p>
      <w:pPr>
        <w:ind w:right="160" w:firstLine="8"/>
        <w:spacing w:after="0" w:line="300" w:lineRule="auto"/>
        <w:tabs>
          <w:tab w:leader="none" w:pos="307" w:val="left"/>
        </w:tabs>
        <w:numPr>
          <w:ilvl w:val="0"/>
          <w:numId w:val="141"/>
        </w:numPr>
        <w:rPr>
          <w:rFonts w:ascii="Arial" w:cs="Arial" w:eastAsia="Arial" w:hAnsi="Arial"/>
          <w:sz w:val="15"/>
          <w:szCs w:val="15"/>
          <w:color w:val="auto"/>
        </w:rPr>
      </w:pPr>
      <w:r>
        <w:rPr>
          <w:rFonts w:ascii="Arial" w:cs="Arial" w:eastAsia="Arial" w:hAnsi="Arial"/>
          <w:sz w:val="15"/>
          <w:szCs w:val="15"/>
          <w:color w:val="auto"/>
        </w:rPr>
        <w:t>payments related to specialized materials costs of $2.0 million. The research support of $20.0 million and payments related to specialized materials costs of $2.0 million represent contingent revenue features because the Company's retention of the associated arrangement consideration is dependent upon its future performance of research support services and development of specialized materials. The aggregate allocable arrangement consideration of $47.0 million was allocated among the separate units of accounting using the relative selling price method as follows: (i) R&amp;D Services Unit of Accounting: $16.7 million,</w:t>
      </w:r>
    </w:p>
    <w:p>
      <w:pPr>
        <w:spacing w:after="0" w:line="1" w:lineRule="exact"/>
        <w:rPr>
          <w:rFonts w:ascii="Arial" w:cs="Arial" w:eastAsia="Arial" w:hAnsi="Arial"/>
          <w:sz w:val="15"/>
          <w:szCs w:val="15"/>
          <w:color w:val="auto"/>
        </w:rPr>
      </w:pPr>
    </w:p>
    <w:p>
      <w:pPr>
        <w:ind w:right="100" w:firstLine="8"/>
        <w:spacing w:after="0" w:line="288" w:lineRule="auto"/>
        <w:tabs>
          <w:tab w:leader="none" w:pos="25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Development and Commercialization License for the first research area: $9.3 million, (iii) Development and Commercialization License for the second research area: $15.4 million, (iv) Development and Commercialization License for the third research area: $0.2 million, (v) the first Discount Deliverable for the first research area: $0.7 million, (vi) the second Discount Deliverable for the first research area: $0.4 million, (vii) the third Discount Deliverable for the first research area: $0.2 million, (viii) the first Discount Deliverable for the second research area: $2.0 million, (ix) the second Discount Deliverable for the second research area: $1.3 million, and (x) the third Discount Deliverable for the second research area: $0.8 million. No amounts were allocated to the JRC Deliverable because the associated BESP was determined to be de minimis. The amounts allocated to each of the development and commercialization licenses are based on the respective BESP calculations, which reflect the level of risk and expected probability of success inherent in the nature of the associated research area.</w:t>
      </w:r>
    </w:p>
    <w:p>
      <w:pPr>
        <w:spacing w:after="0" w:line="177" w:lineRule="exact"/>
        <w:rPr>
          <w:sz w:val="20"/>
          <w:szCs w:val="20"/>
          <w:color w:val="auto"/>
        </w:rPr>
      </w:pPr>
    </w:p>
    <w:p>
      <w:pPr>
        <w:ind w:right="100" w:firstLine="611"/>
        <w:spacing w:after="0" w:line="290" w:lineRule="auto"/>
        <w:rPr>
          <w:sz w:val="20"/>
          <w:szCs w:val="20"/>
          <w:color w:val="auto"/>
        </w:rPr>
      </w:pPr>
      <w:r>
        <w:rPr>
          <w:rFonts w:ascii="Arial" w:cs="Arial" w:eastAsia="Arial" w:hAnsi="Arial"/>
          <w:sz w:val="16"/>
          <w:szCs w:val="16"/>
          <w:color w:val="auto"/>
        </w:rPr>
        <w:t>The Company will recognize revenue related to amounts allocated to the R&amp;D Services Unit of Accounting as the underlying services are performed. The Company will recognize revenue related to amounts allocated to each of the Development and Commercialization Licenses upon delivery of the associated license, assuming the research services are substantially complete at the time the license is delivered. The rights to be conveyed to Juno Therapeutics pursuant to each of the Development and Commercialization Licenses extend exclusively to an individual target or product, as applicable; therefore, delivery is deemed to occur upon the designation by Juno Therapeutics of the specific target or product, as applicable, whereupon the license becomes effective. The Company will recognize revenue related to amounts allocated to each of the Discount Deliverables upon the earlier of exercise of the associated option or upon lapsing of the underlying right, if the respective option expires unexercised.</w:t>
      </w:r>
    </w:p>
    <w:p>
      <w:pPr>
        <w:spacing w:after="0" w:line="172"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Company has evaluated all of the milestones that may be received in connection with the Juno Therapeutics arrangement.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to past performance, and (iii) the consideration is reasonable relative to all of the deliverables and payment terms within the arrangement. All development and regulatory milestones are considered substantive on the basis of the contingent nature of the milestone, specifically reviewing factors such as the scientific, clinical, regulatory, commercial and other risks that must be overcome to achieve the milestone as well as the level of effort and investment required. Accordingly, such amounts will be recognized as revenue in full in the period in which the associated milestone is achieved, assuming all other revenue recognition criteria are met. All commercial milestones will be accounted for in the same manner as royalties and recorded as revenue upon achievement of the milestone, assuming all other revenue recognition criteria are met. 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72"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During nine months ended September 30, 2015, the Company recognized revenue totaling approximately $0.8 million with respect to the collaboration with Juno Therapeutics. The revenue is classified as collaboration revenue in the accompanying statement of operations. As of September 30, 2015, there is approximately $25.2 million of deferred revenue related to the Company's collaboration with Juno Therapeutics, all of which is classified as long-term in the accompanying balance sheet.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Licensing Agreements</w:t>
      </w:r>
    </w:p>
    <w:p>
      <w:pPr>
        <w:spacing w:after="0" w:line="225"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Company is a party to a number of license agreements under which the Company licenses patents, patent applications and other intellectual property from third parties. The Company anticipates entering into these types of license agreements in the future. The Company believes the following agreements are significant to the business:</w:t>
      </w:r>
    </w:p>
    <w:p>
      <w:pPr>
        <w:spacing w:after="0" w:line="194" w:lineRule="exact"/>
        <w:rPr>
          <w:sz w:val="20"/>
          <w:szCs w:val="20"/>
          <w:color w:val="auto"/>
        </w:rPr>
      </w:pPr>
    </w:p>
    <w:p>
      <w:pPr>
        <w:ind w:right="100" w:firstLine="615"/>
        <w:spacing w:after="0" w:line="302" w:lineRule="auto"/>
        <w:rPr>
          <w:sz w:val="20"/>
          <w:szCs w:val="20"/>
          <w:color w:val="auto"/>
        </w:rPr>
      </w:pPr>
      <w:r>
        <w:rPr>
          <w:rFonts w:ascii="Arial" w:cs="Arial" w:eastAsia="Arial" w:hAnsi="Arial"/>
          <w:sz w:val="15"/>
          <w:szCs w:val="15"/>
          <w:i w:val="1"/>
          <w:iCs w:val="1"/>
          <w:color w:val="auto"/>
        </w:rPr>
        <w:t>The General Hospital Corporation License Agreement</w:t>
      </w:r>
      <w:r>
        <w:rPr>
          <w:rFonts w:ascii="Arial" w:cs="Arial" w:eastAsia="Arial" w:hAnsi="Arial"/>
          <w:sz w:val="15"/>
          <w:szCs w:val="15"/>
          <w:color w:val="auto"/>
        </w:rPr>
        <w:t>—In August 2014, the Company entered into an agreement to license certain patent rights owned</w:t>
      </w:r>
      <w:r>
        <w:rPr>
          <w:rFonts w:ascii="Arial" w:cs="Arial" w:eastAsia="Arial" w:hAnsi="Arial"/>
          <w:sz w:val="15"/>
          <w:szCs w:val="15"/>
          <w:i w:val="1"/>
          <w:iCs w:val="1"/>
          <w:color w:val="auto"/>
        </w:rPr>
        <w:t xml:space="preserve"> </w:t>
      </w:r>
      <w:r>
        <w:rPr>
          <w:rFonts w:ascii="Arial" w:cs="Arial" w:eastAsia="Arial" w:hAnsi="Arial"/>
          <w:sz w:val="15"/>
          <w:szCs w:val="15"/>
          <w:color w:val="auto"/>
        </w:rPr>
        <w:t>or co-owned by The General Hospital Corporation, d/b/a Massachusetts General Hospital ("MGH"). Consideration for the granting of the license included the payment of an upfront license fee of $0.1 million, the issuance of 66,848 shares of the Company's common stock, which was based on 0.5% of the Company's outstanding stock on a fully diluted basis, and the future issuance of shares of common stock to maintain MGH's ownership following the third tranche of the Company's Series A redeemable convertible preferred stock financing (e.g. anti-dilution protection liability) (see Note 11). MGH is entitled to nominal annual license fees and to receive future clinical, regulatory and commercial milestone payments aggregating to a maximum of $3.7 million and aggregate of</w:t>
      </w:r>
    </w:p>
    <w:p>
      <w:pPr>
        <w:spacing w:after="0" w:line="1"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$1.8 million upon the occurrence of certain sales milestones. The Company is also obligated to pay MGH low single digit percentage royalties on net sales of products for the prevention or treatment of human disease, and ranging from low single digit to low double digit percentage royalties on net sales of other products and services made by the Company, its affiliates or its sublicenses. The royalty percentage depends on the product and service, and whether such licensed product or licensed service is covered by a valid claim within the certain patent rights that the Company licenses from MGH.</w:t>
      </w:r>
    </w:p>
    <w:p>
      <w:pPr>
        <w:spacing w:after="0" w:line="169"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i w:val="1"/>
          <w:iCs w:val="1"/>
          <w:color w:val="auto"/>
        </w:rPr>
        <w:t>The Broad Institute, Inc., The President and Fellows of Harvard College, and Massachusetts Institute of Technology License Agreement</w:t>
      </w:r>
      <w:r>
        <w:rPr>
          <w:rFonts w:ascii="Arial" w:cs="Arial" w:eastAsia="Arial" w:hAnsi="Arial"/>
          <w:sz w:val="18"/>
          <w:szCs w:val="18"/>
          <w:color w:val="auto"/>
        </w:rPr>
        <w:t>—In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2014, the Company entered into an agreement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with the President and Fellows of Harvard College ("Harvard") and The Broad Institute, Inc. ("Broad") to license certain patent rights owned or co-owned by, or among, Harvard, Massachusetts Institute of Technology, and the Broad (collectively, the "Institutions"). Consideration for the granting of the license included the payment of an upfront license issuance fee of $0.2 million, the issuance of 561,531 shares of the Company's common stock, which was equal to 4.2% of the Company's outstanding stock on a fully diluted basis and, the future issuance of shares of common stock to maintain the Institutions' ownership following the third tranche of the Series A Preferred Stock financing (e.g. anti-dilution protection liability) (see Note 11). The Institutions are collectively entitled to receive clinical and regulatory milestone payments totaling up to $14.8 million in the aggregate per licensed product approved in the United States, European Union, and Japan for the treatment of a human disease that afflicts at least a specified number of patients in the aggregate in the United States. If the Company undergoes a change of control during the term of the license agreement, the clinical and regulatory milestone payments will be increased by a certain percentage in the mid-double digits. The Company is also obligated to make additional payments to the Institutions, collectively; of up to an aggregate of $54.0 million upon the occurrence of certain sales milestones per licensed product for the treatment of a human disease that afflicts at least a specified number of patients in the aggregate in the United States. The Institutions are collectively entitled to receive clinical and regulatory milestone payments totaling up to $4.1 million in the aggregate per licensed product approved in the U.S. and at least one jurisdiction outside the U.S. for the treatment of a human disease based on certain criteria. The Company is also obligated to make additional payments to the Institutions, collectively, of up to an aggregate of $36.0 million upon the occurrence of certain sales milestones per licensed product for the treatment of a rare disease meeting certain criteria. The Institutions are entitled to receive from the Company nominal annual license fees and a mid-single digit percentage royalties on net sales of products for the prevention or treatment of human disease, and ranging from low single digit to high single digit percentage royalties on net sales of other products and services, made by the Company, its affiliates, or its sublicensees. The royalty percentage depends on the product and service, and whether such licensed product or licensed service is covered by a valid claim within the certain patent rights that the Company licenses from the Institutions.</w:t>
      </w:r>
    </w:p>
    <w:p>
      <w:pPr>
        <w:spacing w:after="0" w:line="18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i w:val="1"/>
          <w:iCs w:val="1"/>
          <w:color w:val="auto"/>
        </w:rPr>
        <w:t>Duke University License Agreement</w:t>
      </w:r>
      <w:r>
        <w:rPr>
          <w:rFonts w:ascii="Arial" w:cs="Arial" w:eastAsia="Arial" w:hAnsi="Arial"/>
          <w:sz w:val="16"/>
          <w:szCs w:val="16"/>
          <w:color w:val="auto"/>
        </w:rPr>
        <w:t>—In October 2014, the Company entered into an exclusive license agreement with Duke University ("Duke") to</w:t>
      </w:r>
      <w:r>
        <w:rPr>
          <w:rFonts w:ascii="Arial" w:cs="Arial" w:eastAsia="Arial" w:hAnsi="Arial"/>
          <w:sz w:val="16"/>
          <w:szCs w:val="16"/>
          <w:i w:val="1"/>
          <w:iCs w:val="1"/>
          <w:color w:val="auto"/>
        </w:rPr>
        <w:t xml:space="preserve"> </w:t>
      </w:r>
      <w:r>
        <w:rPr>
          <w:rFonts w:ascii="Arial" w:cs="Arial" w:eastAsia="Arial" w:hAnsi="Arial"/>
          <w:sz w:val="16"/>
          <w:szCs w:val="16"/>
          <w:color w:val="auto"/>
        </w:rPr>
        <w:t>access intellectual property and technology related to the CRISPR/Cas9 and TALEN genome editing systems. In consideration for the granting of the license, the Company paid Duke an upfront fee of $0.1 million. Duke is entitled to receive clinical, regulatory, and commercial milestone payments totaling up to $0.6 million in the aggregate per licensed product. The Company is also obligated to pay to Duke nominal annual license fees and low single digit royalties based on annual net sales of licensed products and licensed services by the Company and its affiliates and sublicensees.</w:t>
      </w:r>
    </w:p>
    <w:p>
      <w:pPr>
        <w:spacing w:after="0" w:line="170" w:lineRule="exact"/>
        <w:rPr>
          <w:sz w:val="20"/>
          <w:szCs w:val="20"/>
          <w:color w:val="auto"/>
        </w:rPr>
      </w:pPr>
    </w:p>
    <w:p>
      <w:pPr>
        <w:ind w:right="160" w:firstLine="615"/>
        <w:spacing w:after="0" w:line="291" w:lineRule="auto"/>
        <w:rPr>
          <w:sz w:val="20"/>
          <w:szCs w:val="20"/>
          <w:color w:val="auto"/>
        </w:rPr>
      </w:pPr>
      <w:r>
        <w:rPr>
          <w:rFonts w:ascii="Arial" w:cs="Arial" w:eastAsia="Arial" w:hAnsi="Arial"/>
          <w:sz w:val="16"/>
          <w:szCs w:val="16"/>
          <w:color w:val="auto"/>
        </w:rPr>
        <w:t>Each of the above license agreements obligates the Company to use commercially reasonable efforts to research, develop, and commercialize products for the prevention or treatment of human disease. The Company is also required to achieve certain development milestones within specific time periods. Each licensor has the right to terminate the license if the Company fails to achieve the development milestones. Each license agreement requires the Company to pay an annual license maintenance fee and reimburse the licensor for expenses associated with the prosecution and maintenance of the licensed patent rights. Research and development expense for the nine months ended September 30, 2015 included $4.5 million of sublicensing fees due under license agreements that was triggered by the execution of the Juno Therapeutics collaboration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 xml:space="preserve">The Company recorded the upfront issuance fees and the fair value of the common stock issued to the licensors as research and development expense (as the licenses do not have alternative future use) in accordance with ASC Topic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The anti-dilutive protection obligation is classified as a liability and was recorded at its grant date fair value on the effective date of the respective agreements with the initial fair value being recorded to research and development expense as it represented additional consideration paid to the licensor in connection with the license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231" w:lineRule="exact"/>
        <w:rPr>
          <w:sz w:val="20"/>
          <w:szCs w:val="20"/>
          <w:color w:val="auto"/>
        </w:rPr>
      </w:pPr>
    </w:p>
    <w:p>
      <w:pPr>
        <w:jc w:val="both"/>
        <w:ind w:right="560" w:firstLine="611"/>
        <w:spacing w:after="0" w:line="259" w:lineRule="auto"/>
        <w:rPr>
          <w:sz w:val="20"/>
          <w:szCs w:val="20"/>
          <w:color w:val="auto"/>
        </w:rPr>
      </w:pPr>
      <w:r>
        <w:rPr>
          <w:rFonts w:ascii="Arial" w:cs="Arial" w:eastAsia="Arial" w:hAnsi="Arial"/>
          <w:sz w:val="18"/>
          <w:szCs w:val="18"/>
          <w:color w:val="auto"/>
        </w:rPr>
        <w:t>The Company's redeemable convertible preferred stock has been classified as temporary equity on the accompanying balance sheets instead of in stockholders' (deficit) equity in accordance with authoritative guidance for the classification and measurement of redeemable securities as the convertible preferred stock is redeemable at the option of the holders after August 2019.</w:t>
      </w:r>
    </w:p>
    <w:p>
      <w:pPr>
        <w:spacing w:after="0" w:line="194"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In November 2013, the Company entered into a preferred stock purchase agreement (the "Preferred Stock Agreement") in which it agreed to sell, and the purchasers agreed to purchase up to $43 million of Series A-1 redeemable convertible preferred stock ("Series A-1 Preferred Stock") and Series A-2 redeemable convertible preferred stock ("Series A-2 Preferred Stock" which together with the Series A-1 Preferred Stock is collectively referred to as "Series A Preferred Stock") in three anticipated tranches. Under the Preferred Stock Agreement, the Company initially issued 3,260,000 shares of Series A-1 Preferred Stock in exchange for gross cash proceeds of $3.3 million in November 2013. The Preferred Stock Agreement provided for second and third closings based on the achievement of defined performance milestones. Subsequently, the Company and the investors amended the Preferred Stock Agreement to fund the second closing in four separate closings. The Company issued 2,000,000 shares of Series A-1 Preferred Stock in exchange for cash proceeds of $2.0 million, issued 2,500,000 shares of Series A-1 Preferred Stock in exchange for cash proceeds of $2.5 million, and issued 500,000 shares of Series A-1 Preferred Stock in exchange for cash proceeds of $500,000 in interim closings in May 2014, July 2014, and October 2014, respectively. The final closing of the second tranche occurred in November 2014, when the Company issued 13,000,000 shares of Series A-1 Preferred Stock in exchange for cash proceeds of $13.0 million. The milestones for the third tranche of the Series A Preferred Stock were waived by the investors, and the Company issued 16,698,672 shares of Series A-2 Convertible Preferred Stock in exchange for cash proceeds of $21.7 million in June 2015. In addition, an executive of the Company purchased 192,027 shares of Series A-2 Preferred Stock for $0.3 million.</w:t>
      </w:r>
    </w:p>
    <w:p>
      <w:pPr>
        <w:spacing w:after="0" w:line="17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In August 2015, the Company entered into a preferred stock purchase agreement in which it agreed to sell, and the purchasers agreed to purchase up 26,666,660 shares of Series B redeemable convertible preferred stock ("Series B Preferred Stock") for cash proceeds of $120.0 million. In connection with the issuance of the Series B Preferred Stock, the redemption date of the Series A Preferred Stock was modified from November 2018 to August 2019, consistent with the terms of the Series B Preferred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rights, preferences, and privileges of the Series A Preferred Stock and Series B Preferred Stock, which together are collectively referred to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are listed below:</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Shares of Preferred Stock are convertible at any time at the option of the holder into such number of shares as is determined by dividing the original issuance price by the conversion price in effect at the time. The conversion price for Series A-1 Preferred Stock is $2.60, the conversion price for Series A-2 Preferred Stock is $3.3849, and the conversion price for Series B Preferred Stock is $11.70, subject in each case to certain adjustments to reflect the issuance of common stock, options, warrants, or other rights to subscribe for or to purchase shares of the Company's common stock for a consideration per share less than the conversion price then in effect and subsequent stock dividends and stock splits.</w:t>
      </w:r>
    </w:p>
    <w:p>
      <w:pPr>
        <w:spacing w:after="0" w:line="170" w:lineRule="exact"/>
        <w:rPr>
          <w:sz w:val="20"/>
          <w:szCs w:val="20"/>
          <w:color w:val="auto"/>
        </w:rPr>
      </w:pPr>
    </w:p>
    <w:p>
      <w:pPr>
        <w:ind w:right="20" w:firstLine="605"/>
        <w:spacing w:after="0" w:line="306" w:lineRule="auto"/>
        <w:rPr>
          <w:sz w:val="20"/>
          <w:szCs w:val="20"/>
          <w:color w:val="auto"/>
        </w:rPr>
      </w:pPr>
      <w:r>
        <w:rPr>
          <w:rFonts w:ascii="Arial" w:cs="Arial" w:eastAsia="Arial" w:hAnsi="Arial"/>
          <w:sz w:val="16"/>
          <w:szCs w:val="16"/>
          <w:color w:val="auto"/>
        </w:rPr>
        <w:t>All outstanding shares of Preferred Stock will automatically convert upon the completion of either an initial public offering at a price per share of at least $17.55 (adjusted for stock splits or stock dividends) resulting in gross proceeds to the Company of at least $50.0 million or the vote or written consent of the holders of at least 69% of the then outstanding shares of Preferred Stock on an as-converted to common stock basis.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right="80" w:firstLine="611"/>
        <w:spacing w:after="0" w:line="259" w:lineRule="auto"/>
        <w:rPr>
          <w:sz w:val="20"/>
          <w:szCs w:val="20"/>
          <w:color w:val="auto"/>
        </w:rPr>
      </w:pPr>
      <w:r>
        <w:rPr>
          <w:rFonts w:ascii="Arial" w:cs="Arial" w:eastAsia="Arial" w:hAnsi="Arial"/>
          <w:sz w:val="18"/>
          <w:szCs w:val="18"/>
          <w:color w:val="auto"/>
        </w:rPr>
        <w:t>The holders of shares of Preferred Stock are entitled to receive dividends, if and when declared by the Company's board of directors. Dividends payable on each share of Preferred Stock will be determined as if such share has been converted into shares of the Company's common stock. As of September 30, 2015, no dividends had been declared since the Company's inception.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right="240" w:firstLine="611"/>
        <w:spacing w:after="0" w:line="306" w:lineRule="auto"/>
        <w:rPr>
          <w:sz w:val="20"/>
          <w:szCs w:val="20"/>
          <w:color w:val="auto"/>
        </w:rPr>
      </w:pPr>
      <w:r>
        <w:rPr>
          <w:rFonts w:ascii="Arial" w:cs="Arial" w:eastAsia="Arial" w:hAnsi="Arial"/>
          <w:sz w:val="16"/>
          <w:szCs w:val="16"/>
          <w:color w:val="auto"/>
        </w:rPr>
        <w:t>The Preferred Stock is redeemable after August 2019 upon written notice from the holders of at least 69% of the shares of Preferred Stock then outstanding on an as-converted to common stock basis. The redemption price of the Preferred Stock is equal to $1.00 per share for Series A-1 Preferred Stock, $1.3019 per share for Series A-2 Preferred Stock, and $4.50 per share for Series B Preferred Stock, plus any declared but unpaid dividends.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Holders of Preferred Stock are entitled to a liquidation preference in the event of any voluntary or involuntary liquidation, dissolution, or winding-up of the Company, equal to $1.00 per share for Series A-1 Preferred Stock, $1.3019 per share for Series A-2 Preferred Stock and $4.50 per share for Series B Preferred Stock, plus any declared but unpaid dividends. If the amount per share as would have been payable with respect to a series of Preferred Stock had all shares of that series of Preferred Stock been converted to common stock immediately prior to such liquidation, dissolution, winding up, or deemed liquidation event of the Company is greater than the liquidation preference of such shares (assuming the conversion to common stock of all shares of each other series of Preferred Stock for which this is also the case), such shares are entitled to receive that greater amount in lieu of their liquidation preference.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firstLine="605"/>
        <w:spacing w:after="0" w:line="298" w:lineRule="auto"/>
        <w:rPr>
          <w:sz w:val="20"/>
          <w:szCs w:val="20"/>
          <w:color w:val="auto"/>
        </w:rPr>
      </w:pPr>
      <w:r>
        <w:rPr>
          <w:rFonts w:ascii="Arial" w:cs="Arial" w:eastAsia="Arial" w:hAnsi="Arial"/>
          <w:sz w:val="16"/>
          <w:szCs w:val="16"/>
          <w:color w:val="auto"/>
        </w:rPr>
        <w:t>A deemed liquidation event is defined in the Company's Certificate of Incorporation as a merger (unless the shares of capital stock prior to the transaction represent the majority of the post-merger voting rights) or the sale or transfer of substantially all of the assets of the Company unless the holders of at least 69% of the then outstanding shares of Preferred Stock on an as-converted to common stock basis elected otherwise. After all preferential payments, the common stockholders are entitled to share in the remaining assets of the Company on a pro-rata basis.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Holders of Preferred Stock are entitled to vote as a single class with the holders of the Company's common stock on all matters submitted for vote to the stockholders of the Company. The holders of Preferred Stock are entitled to one vote for each equivalent share for the Company's common stock on an as-converted to common stock basis. In addition, the holders of Series A Preferred Stock are entitled to elect three directors. The holders of Series B Preferred Stock are entitled to elect one director. The holders of common stock voting as a separate class are entitled to elect one director. The holders of Preferred Stock and the holders of common stock, voting together as a single class, are entitled to elect any remaining directors.</w:t>
      </w:r>
    </w:p>
    <w:p>
      <w:pPr>
        <w:spacing w:after="0" w:line="170" w:lineRule="exact"/>
        <w:rPr>
          <w:sz w:val="20"/>
          <w:szCs w:val="20"/>
          <w:color w:val="auto"/>
        </w:rPr>
      </w:pPr>
    </w:p>
    <w:p>
      <w:pPr>
        <w:ind w:right="100" w:firstLine="615"/>
        <w:spacing w:after="0" w:line="370" w:lineRule="auto"/>
        <w:rPr>
          <w:sz w:val="20"/>
          <w:szCs w:val="20"/>
          <w:color w:val="auto"/>
        </w:rPr>
      </w:pPr>
      <w:r>
        <w:rPr>
          <w:rFonts w:ascii="Arial" w:cs="Arial" w:eastAsia="Arial" w:hAnsi="Arial"/>
          <w:sz w:val="15"/>
          <w:szCs w:val="15"/>
          <w:color w:val="auto"/>
        </w:rPr>
        <w:t>Certain actions such as liquidation, dissolution, wind up of business, and deemed liquidation events (as defined by the Certificate of Incorporation), are required to be approved by the holders of at least 69% of the then outstanding Preferred Stock voting as a single class on an as-converted to common stock basis.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Tranche Rights Issued with Series A Preferred Stock</w:t>
      </w:r>
    </w:p>
    <w:p>
      <w:pPr>
        <w:spacing w:after="0" w:line="225"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Included in the terms of the Preferred Stock Agreement were certain rights ("Tranche Rights") granted to the purchasers of Series A-1 Preferred Stock. The Tranche Rights provide purchasers of Series A Preferred Stock the right to purchase and the Company to sell an additional 18,000,000 shares of Series A-1 Preferred Stock at $1.00 per share contingent upon certain performance milestones ("Tranche Right I"). Subsequently, the Company and the investors amended the Preferred Stock Agreement to fund the second tranche in four separate closings. In addition, the purchasers had the right to purchase, and the Company was obligated to sell an additional 16,698,672 shares of Series A-2 Preferred Stock at $1.3019 per share upon additional performance milestones ("Tranche Right II"). The Tranche Rights were transferrable by the purchasers.</w:t>
      </w:r>
    </w:p>
    <w:p>
      <w:pPr>
        <w:spacing w:after="0" w:line="174"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 xml:space="preserve">The Company concluded the Tranche Rights meet the definition of a freestanding financial instrument, as the Tranche Rights were legally detachable and separately exercisable from the Series A-1 Preferred Stock. Therefore, the Company allocated the proceeds received from the sale of shares under the Preferred Stock Agreement between the Tranche Rights and the Series A-1 Preferred Stock. As the Series A Preferred Stock was redeemable at the election of holders of the then-outstanding shares of Series A Preferred Stock, the Tranche Rights were classified as an asset or liability under ASC Topic 480, </w:t>
      </w:r>
      <w:r>
        <w:rPr>
          <w:rFonts w:ascii="Arial" w:cs="Arial" w:eastAsia="Arial" w:hAnsi="Arial"/>
          <w:sz w:val="16"/>
          <w:szCs w:val="16"/>
          <w:i w:val="1"/>
          <w:iCs w:val="1"/>
          <w:color w:val="auto"/>
        </w:rPr>
        <w:t>Distinguishing</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from Equity</w:t>
      </w:r>
      <w:r>
        <w:rPr>
          <w:rFonts w:ascii="Arial" w:cs="Arial" w:eastAsia="Arial" w:hAnsi="Arial"/>
          <w:sz w:val="16"/>
          <w:szCs w:val="16"/>
          <w:color w:val="auto"/>
        </w:rPr>
        <w:t>, and were initially recorded at fair value. The Tranche Rights were then remeasured at fair value at each subsequent reporting period. Since</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Tranche Rights were subject to fair value accounting, the Company allocated the proceeds to the Tranche Rights based on the fair value at the date of issuance with the remaining proceeds being allocated to the Series A-1 Preferred Stock. The estimated fair value of the Tranche Rights was determined using a probability-weighted present value model that considered the probability of closing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tranche, the estimated future value of Series A Preferred Stock each closing and the investment required at each closing. Future values were converted to present value using a discount rate appropriate for probability-adjusted cash flows.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the initial value of the Tranche Rights included in the Preferred Stock Agreement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Fair Value of</w:t>
            </w: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Tranche Right</w:t>
            </w: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Asset (Liability)</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Tranche Right I</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Tranche Right II</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value of Tranche Rights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605"/>
        <w:spacing w:after="0" w:line="332" w:lineRule="auto"/>
        <w:rPr>
          <w:sz w:val="20"/>
          <w:szCs w:val="20"/>
          <w:color w:val="auto"/>
        </w:rPr>
      </w:pPr>
      <w:r>
        <w:rPr>
          <w:rFonts w:ascii="Arial" w:cs="Arial" w:eastAsia="Arial" w:hAnsi="Arial"/>
          <w:sz w:val="16"/>
          <w:szCs w:val="16"/>
          <w:color w:val="auto"/>
        </w:rPr>
        <w:t>As the carrying value of the initial 3,260,000 shares of Series A Preferred Stock issued in November 2013 was less than the redemption value of $3.3 million, the carrying value is being accreted to redemption value through the date the shares become redeemable in August 2019.</w:t>
      </w:r>
    </w:p>
    <w:p>
      <w:pPr>
        <w:spacing w:after="0" w:line="139"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Tranche Right I was initially recorded as an asset of $70,000 as the purchase price of the additional shares was greater than the estimated value of the Series A-1 Preferred Stock at the expected settlement date. The Company issued 18,000,000 additional shares under Tranche Right I, in four separate closings during the year ended December 31, 2014 with total proceeds of $18.0 million prior to issuance costs. Prior to each closing, any change in the value of Tranche Right I was recorded as other expense, net. The fair value of the portion of the Tranche Right I, based on the implied value of the Series A-1 Preferred Stock from the Company's third party valuation, that was settled at each closing, was reclassified to Series A-1 Preferred Stock. The carrying value of the issuance of 5,000,000 shares of Series A-1 Preferred Stock was $4.3 million, which is less than the redemption value, and is being accreted to redemption value of $5.0 million. The carrying value of 13,000,000 shares of Series A-1 Preferred Stock issued in the final closing of the second tranche was $14.1 million, which exceeds the redemption value of $13.0 million, therefore the carrying value is not currently being subsequently adjusted.</w:t>
      </w:r>
    </w:p>
    <w:p>
      <w:pPr>
        <w:spacing w:after="0" w:line="172"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Tranche Right II was initially recorded as a liability of $1.0 million as the purchase price of the additional shares was less than the estimated fair value of the Series A-2 Preferred Stock at the expected settlement date. There were no closings under Tranche Right II in the year ended December 31, 2014. The Company recognized $19,000, $0.9 million and $0.7 million of expense related to the mark to market of Tranche Right I and II during the period ended December 31, 2013, the year ended December 31, 2014, and the period ended September 30, 2014, respectively, which is included in other expense, net.</w:t>
      </w:r>
    </w:p>
    <w:p>
      <w:pPr>
        <w:spacing w:after="0" w:line="167" w:lineRule="exact"/>
        <w:rPr>
          <w:sz w:val="20"/>
          <w:szCs w:val="20"/>
          <w:color w:val="auto"/>
        </w:rPr>
      </w:pPr>
    </w:p>
    <w:p>
      <w:pPr>
        <w:ind w:right="120" w:firstLine="615"/>
        <w:spacing w:after="0" w:line="294" w:lineRule="auto"/>
        <w:rPr>
          <w:sz w:val="20"/>
          <w:szCs w:val="20"/>
          <w:color w:val="auto"/>
        </w:rPr>
      </w:pPr>
      <w:r>
        <w:rPr>
          <w:rFonts w:ascii="Arial" w:cs="Arial" w:eastAsia="Arial" w:hAnsi="Arial"/>
          <w:sz w:val="16"/>
          <w:szCs w:val="16"/>
          <w:color w:val="auto"/>
        </w:rPr>
        <w:t>In June 2015, Tranche Right II was settled when the Company closed the issuance of Series A-2 Preferred Stock. The Company recognized expense of $35.6 million related to the mark to market of Tranche Right II during the nine month period ended September 30, 2015, which is included in other expense, net. The fair value of the Tranche Right II at settlement was based on the implied value of the Series A-2 preferred stock from the Company's third party contemporaneous valuation of common stock. The fair value of the Tranche II right was reclassified to Series A Preferred Stock. The initial carrying amount of the Series A-2 Preferred Stock issued upon the closing of Tranche Right II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amounted to approximately $59.0 million which exceeds the redemption value of $22.0 million, therefore the carrying value is not currently being subsequently adjusted.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31"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voting, dividend, and liquidation rights of the holders of the common stock are subject to and qualified by the rights, powers, and preferences of the holders of redeemable convertible preferred stock. The common stock has the following characteristics: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260" w:firstLine="611"/>
        <w:spacing w:after="0" w:line="268"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any meeting of stockholders and at the time of any written action in lieu of a meeting.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611"/>
        <w:spacing w:after="0" w:line="259" w:lineRule="auto"/>
        <w:rPr>
          <w:sz w:val="20"/>
          <w:szCs w:val="20"/>
          <w:color w:val="auto"/>
        </w:rPr>
      </w:pPr>
      <w:r>
        <w:rPr>
          <w:rFonts w:ascii="Arial" w:cs="Arial" w:eastAsia="Arial" w:hAnsi="Arial"/>
          <w:sz w:val="18"/>
          <w:szCs w:val="18"/>
          <w:color w:val="auto"/>
        </w:rPr>
        <w:t>The holders of shares of common stock are entitled to receive dividends, if and when declared by the Company's board of directors. Cash dividends may not be declared or paid to holders of shares of common stock until all unpaid dividends on the redeemable convertible preferred stock have been paid in accordance with their terms. No dividends have been declared or paid by the Company since its inception.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ind w:right="540" w:firstLine="605"/>
        <w:spacing w:after="0" w:line="306" w:lineRule="auto"/>
        <w:rPr>
          <w:sz w:val="20"/>
          <w:szCs w:val="20"/>
          <w:color w:val="auto"/>
        </w:rPr>
      </w:pPr>
      <w:r>
        <w:rPr>
          <w:rFonts w:ascii="Arial" w:cs="Arial" w:eastAsia="Arial" w:hAnsi="Arial"/>
          <w:sz w:val="16"/>
          <w:szCs w:val="16"/>
          <w:color w:val="auto"/>
        </w:rPr>
        <w:t>After payment of the respective liquidation preferences to the holders of shares of redeemable convertible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26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40" w:type="dxa"/>
            <w:vAlign w:val="bottom"/>
          </w:tcPr>
          <w:p>
            <w:pPr>
              <w:jc w:val="right"/>
              <w:ind w:right="218"/>
              <w:spacing w:after="0" w:line="142" w:lineRule="exact"/>
              <w:rPr>
                <w:sz w:val="20"/>
                <w:szCs w:val="20"/>
                <w:color w:val="auto"/>
              </w:rPr>
            </w:pPr>
            <w:r>
              <w:rPr>
                <w:rFonts w:ascii="Arial" w:cs="Arial" w:eastAsia="Arial" w:hAnsi="Arial"/>
                <w:sz w:val="14"/>
                <w:szCs w:val="14"/>
                <w:b w:val="1"/>
                <w:bCs w:val="1"/>
                <w:color w:val="auto"/>
              </w:rPr>
              <w:t>2013</w:t>
            </w:r>
          </w:p>
        </w:tc>
        <w:tc>
          <w:tcPr>
            <w:tcW w:w="100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2620" w:type="dxa"/>
            <w:vAlign w:val="bottom"/>
            <w:gridSpan w:val="3"/>
          </w:tcPr>
          <w:p>
            <w:pPr>
              <w:jc w:val="center"/>
              <w:ind w:right="1300"/>
              <w:spacing w:after="0" w:line="142" w:lineRule="exact"/>
              <w:rPr>
                <w:sz w:val="20"/>
                <w:szCs w:val="20"/>
                <w:color w:val="auto"/>
              </w:rPr>
            </w:pPr>
            <w:r>
              <w:rPr>
                <w:rFonts w:ascii="Arial" w:cs="Arial" w:eastAsia="Arial" w:hAnsi="Arial"/>
                <w:sz w:val="14"/>
                <w:szCs w:val="14"/>
                <w:b w:val="1"/>
                <w:bCs w:val="1"/>
                <w:color w:val="auto"/>
                <w:w w:val="85"/>
              </w:rPr>
              <w:t>September 30, 2015</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reserved for redeemable convertible preferred stock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1,253,843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8,176,900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24,929,709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6"/>
              </w:rPr>
              <w:t>Shares reserved for future issuances of redeemable convertible preferred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stock warrants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23,076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23,076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Shares reserved for outstanding stock options awards under the 2013 Stock</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Plan, as amended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1,155,687</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3"/>
              </w:rPr>
              <w:t>Remaining shares reserved, but unissued, for future awards under the 2013</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Stock Incentive Plan, as amended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806,443</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636,444</w:t>
            </w:r>
          </w:p>
        </w:tc>
        <w:tc>
          <w:tcPr>
            <w:tcW w:w="1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3,372,566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2,060,286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8,856,611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29,481,038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40" w:type="dxa"/>
            <w:vAlign w:val="bottom"/>
            <w:vMerge w:val="restart"/>
          </w:tcPr>
          <w:p>
            <w:pPr>
              <w:ind w:left="4380"/>
              <w:spacing w:after="0"/>
              <w:rPr>
                <w:sz w:val="20"/>
                <w:szCs w:val="20"/>
                <w:color w:val="auto"/>
              </w:rPr>
            </w:pPr>
            <w:r>
              <w:rPr>
                <w:rFonts w:ascii="Arial" w:cs="Arial" w:eastAsia="Arial" w:hAnsi="Arial"/>
                <w:sz w:val="18"/>
                <w:szCs w:val="18"/>
                <w:color w:val="auto"/>
              </w:rPr>
              <w:t>F-35</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3" w:lineRule="exact"/>
        <w:rPr>
          <w:sz w:val="20"/>
          <w:szCs w:val="20"/>
          <w:color w:val="auto"/>
        </w:rPr>
      </w:pPr>
    </w:p>
    <w:p>
      <w:pPr>
        <w:ind w:left="540" w:right="8980" w:hanging="532"/>
        <w:spacing w:after="0" w:line="605" w:lineRule="auto"/>
        <w:tabs>
          <w:tab w:leader="none" w:pos="263" w:val="left"/>
        </w:tabs>
        <w:numPr>
          <w:ilvl w:val="0"/>
          <w:numId w:val="1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2013 Stock Incentive Plan</w:t>
      </w:r>
    </w:p>
    <w:p>
      <w:pPr>
        <w:spacing w:after="0" w:line="1" w:lineRule="exact"/>
        <w:rPr>
          <w:sz w:val="20"/>
          <w:szCs w:val="20"/>
          <w:color w:val="auto"/>
        </w:rPr>
      </w:pPr>
    </w:p>
    <w:p>
      <w:pPr>
        <w:ind w:right="20" w:firstLine="615"/>
        <w:spacing w:after="0" w:line="318" w:lineRule="auto"/>
        <w:rPr>
          <w:sz w:val="20"/>
          <w:szCs w:val="20"/>
          <w:color w:val="auto"/>
        </w:rPr>
      </w:pPr>
      <w:r>
        <w:rPr>
          <w:rFonts w:ascii="Arial" w:cs="Arial" w:eastAsia="Arial" w:hAnsi="Arial"/>
          <w:sz w:val="15"/>
          <w:szCs w:val="15"/>
          <w:color w:val="auto"/>
        </w:rPr>
        <w:t>In September 2013, the board of directors adopted the 2013 Stock Incentive Plan, as amended (the "Plan"), which provides for the grant of incentive stock options and nonqualified stock options or other awards including restricted stock awards, unrestricted stock awards, and restricted stock units to the Company's employees, officers, directors, advisors, and consultants for the purchase of up to 1,057,692 shares of the Company's common stock. In June 2014, the Plan was amended to increase the number of shares reserved thereunder by 1,365,384 shares. In April 2015, the Plan was amended to increase the number of shares reserved thereunder by 153,846 shares. In July 2015, the Plan was amended to increase the number of shares reserved thereunder by 3,740,847 shares.</w:t>
      </w:r>
    </w:p>
    <w:p>
      <w:pPr>
        <w:spacing w:after="0" w:line="154" w:lineRule="exact"/>
        <w:rPr>
          <w:sz w:val="20"/>
          <w:szCs w:val="20"/>
          <w:color w:val="auto"/>
        </w:rPr>
      </w:pPr>
    </w:p>
    <w:p>
      <w:pPr>
        <w:ind w:right="180" w:firstLine="611"/>
        <w:spacing w:after="0" w:line="298" w:lineRule="auto"/>
        <w:rPr>
          <w:sz w:val="20"/>
          <w:szCs w:val="20"/>
          <w:color w:val="auto"/>
        </w:rPr>
      </w:pPr>
      <w:r>
        <w:rPr>
          <w:rFonts w:ascii="Arial" w:cs="Arial" w:eastAsia="Arial" w:hAnsi="Arial"/>
          <w:sz w:val="16"/>
          <w:szCs w:val="16"/>
          <w:color w:val="auto"/>
        </w:rPr>
        <w:t>The terms of stock awards agreements, including vesting requirements, are determined by the board of directors and are subject to the provisions of the Plan. The stock options granted to employees generally vest over a four-year period and expire ten years from the date of grant. Certain awards contain performance based vesting criteria. There has only been one such award to date. Certain options provide for accelerated vesting in the event of a change in control, as defined. Awards granted to non-employee consultants generally vest monthly over a period of one to four years.</w:t>
      </w:r>
    </w:p>
    <w:p>
      <w:pPr>
        <w:spacing w:after="0" w:line="167"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Company granted a total of 251,249 and 1,439,888 shares of restricted stock to employees and consultants during the period ended December 31, 2013 and the year ended December 31, 2014, respectively, at an issuance price of $0.03 per share. During the year ended December 31, 2014 and the nine month period ended September 30, 2015, the Company granted options to purchase 95,495 and 1,158,571 shares of common stock, respectively, to employees and consultants. As of December 31, 2014 and September 30, 2015, there were 636,444 shares and 3,372,566 shares available for future issuance under the 2013 Plan, respectively.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Founder Awards</w:t>
      </w:r>
    </w:p>
    <w:p>
      <w:pPr>
        <w:spacing w:after="0" w:line="225"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In September 2013, the Company issued 2,403,845 shares of restricted stock to its non-employee founders for services rendered. The shares vested 25% upon the first issuance of shares of Series A Preferred Stock and then 1.5625% a month through the fourth anniversary of the vesting commencement date. These shares of restricted stock are subject to repurchase rights. Accordingly, the Company has recorded the proceeds from the issuance of restricted stock as a liability in its balance sheets. The restricted stock liability is reclassified into stockholders' (deficit) equity as the restricted stock vests. In the event that a founder is no longer in the Company's service (whether as a consultant, employee, director, or advisor) prior to the fourth anniversary of the vesting commencement date, the Company has the right to repurchase the unvested shares at $0.0003 per share. In June 2014, one founder ceased to be in the Company's service and the Company repurchased 285,457 shares of unvested restricted stock from the founder for $74. Upon a change in control, all unvested founder shares will be released from the Company's repurchase options.</w:t>
      </w:r>
    </w:p>
    <w:p>
      <w:pPr>
        <w:spacing w:after="0" w:line="172" w:lineRule="exact"/>
        <w:rPr>
          <w:sz w:val="20"/>
          <w:szCs w:val="20"/>
          <w:color w:val="auto"/>
        </w:rPr>
      </w:pPr>
    </w:p>
    <w:p>
      <w:pPr>
        <w:ind w:right="320" w:firstLine="615"/>
        <w:spacing w:after="0" w:line="268" w:lineRule="auto"/>
        <w:rPr>
          <w:sz w:val="20"/>
          <w:szCs w:val="20"/>
          <w:color w:val="auto"/>
        </w:rPr>
      </w:pPr>
      <w:r>
        <w:rPr>
          <w:rFonts w:ascii="Arial" w:cs="Arial" w:eastAsia="Arial" w:hAnsi="Arial"/>
          <w:sz w:val="18"/>
          <w:szCs w:val="18"/>
          <w:color w:val="auto"/>
        </w:rPr>
        <w:t>Stock-based compensation expense associated with these awards is recognized as the awards vest. Unvested awards are remeasured at each reporting period end to reflect the current fair value of such awards on a straight-line basis.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Licensor Awards</w:t>
      </w:r>
    </w:p>
    <w:p>
      <w:pPr>
        <w:spacing w:after="0" w:line="225" w:lineRule="exact"/>
        <w:rPr>
          <w:sz w:val="20"/>
          <w:szCs w:val="20"/>
          <w:color w:val="auto"/>
        </w:rPr>
      </w:pPr>
    </w:p>
    <w:p>
      <w:pPr>
        <w:ind w:right="60" w:firstLine="615"/>
        <w:spacing w:after="0" w:line="290" w:lineRule="auto"/>
        <w:rPr>
          <w:sz w:val="20"/>
          <w:szCs w:val="20"/>
          <w:color w:val="auto"/>
        </w:rPr>
      </w:pPr>
      <w:r>
        <w:rPr>
          <w:rFonts w:ascii="Arial" w:cs="Arial" w:eastAsia="Arial" w:hAnsi="Arial"/>
          <w:sz w:val="16"/>
          <w:szCs w:val="16"/>
          <w:color w:val="auto"/>
        </w:rPr>
        <w:t>In August 2014, the Company entered into an agreement to license certain patent rights owned or co-owned by MGH (see Note 8). Consideration for the granting of the license included, amongst other payments, the issuance of shares of the Company's common stock equal to 0.5% of the Company's outstanding stock on a fully diluted basis and the future issuance of shares of common stock to maintain MGH's ownership following the third tranche of the Series A Preferred Stock financing (e.g., anti-dilution protection obligation). In 2014, the Company issued to MGH 66,848 shares of its common stock which was determined to have a fair value of $0.65 per share. In 2015, the Company issued to MGH 34,894 shares of its common stock which was determined to have a fair value of $5.91 per share. The Company recorded expense of $43,000 during year ended December 31, 2014 which was recorded as research and development expense in the accompanying statement of operations and comprehensive loss.</w:t>
      </w:r>
    </w:p>
    <w:p>
      <w:pPr>
        <w:spacing w:after="0" w:line="172"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In October 2014, the Company entered into an agreement to license certain patent rights owned or co-owned by, or among, the Institutions. Consideration for the granting of the license included, amongst other payments, the issuance of shares of the Company's common stock equal to an aggregate of 4.2% of the Company's outstanding stock on a fully diluted basis and the future issuance of shares of common stock to maintain the Institutions ownership following the third tranche of the Series A Preferred Stock financing (e.g., anti-dilution protection obligation). In 2014, the Company issued to the Institutions an aggregate of 561,531 shares of its common stock which was determined to have a fair value of $0.65 per share. In the nine month period ended September 30, 2015, the Company issued to the Institutions an aggregate of 293,076 shares of its common stock which was determined to have a fair value of $5.91 per share. The Company recorded expense of $0.4 million for the year ended December 31, 2014 which was recorded as research and development expense in the accompanying statement of operations and comprehensive loss.</w:t>
      </w:r>
    </w:p>
    <w:p>
      <w:pPr>
        <w:spacing w:after="0" w:line="172"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 xml:space="preserve">The Company concluded that the anti-dilution obligation in both agreements represents a liability under ASC Topic 480, </w:t>
      </w:r>
      <w:r>
        <w:rPr>
          <w:rFonts w:ascii="Arial" w:cs="Arial" w:eastAsia="Arial" w:hAnsi="Arial"/>
          <w:sz w:val="16"/>
          <w:szCs w:val="16"/>
          <w:i w:val="1"/>
          <w:iCs w:val="1"/>
          <w:color w:val="auto"/>
        </w:rPr>
        <w:t>Distinguishing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r>
        <w:rPr>
          <w:rFonts w:ascii="Arial" w:cs="Arial" w:eastAsia="Arial" w:hAnsi="Arial"/>
          <w:sz w:val="16"/>
          <w:szCs w:val="16"/>
          <w:color w:val="auto"/>
        </w:rPr>
        <w:t>, because the anti-dilution obligation meets the definition of a freestanding financial instrument as the obligation was legally detachable and separately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from the original issuance of common stock, and it represented a conditional obligation to issue a variable number of shares that the monetary value of the obligation is based on something other than the fair value of the equity shares. As such the liability was recorded at its grant date fair value of $322,000 with the initial fair value of the common stock recorded as research and development expense in 2014. The liability was re-measured at each subsequent balance sheet date through and including the date immediately before the June 2015 settlement of the obligation. The changes to the fair value of the liability were recorded to other expense in the accompanying statement of operations. The Company recorded other expense of $5,000 during the year ended December 31, 2014 and $1.6 million during the nine months ended September 30, 2015 related to the remeasurement of the anti-dilution liability. In June 2015, upon the closing of the final tranche of the Series A Preferred Stock financing, the Company issued an aggregate of 327,970 shares of common stock to the Institutions and MGH to settle the anti-dilution obligations, and the fair value of the liability of $1.9 million was reclassified to equity.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Total compensation cost recognized for all stock-based compensation awards in the statements of operations and comprehensive loss was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Period from</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6"/>
              </w:rPr>
              <w:t>September 3, 2013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Nine Months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ind w:left="640"/>
              <w:spacing w:after="0" w:line="142" w:lineRule="exact"/>
              <w:rPr>
                <w:sz w:val="20"/>
                <w:szCs w:val="20"/>
                <w:color w:val="auto"/>
              </w:rPr>
            </w:pPr>
            <w:r>
              <w:rPr>
                <w:rFonts w:ascii="Arial" w:cs="Arial" w:eastAsia="Arial" w:hAnsi="Arial"/>
                <w:sz w:val="14"/>
                <w:szCs w:val="14"/>
                <w:b w:val="1"/>
                <w:bCs w:val="1"/>
                <w:color w:val="auto"/>
              </w:rPr>
              <w:t>(unaudited)</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stock-compensation expense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From time to time, upon approval by the Board of Directors, certain employees and advisors have been granted restricted shares of Common Stock. These shares of restricted stock are subject to repurchase rights. Accordingly, the Company has recorded the proceeds from the issuance of restricted stock as a liability in the balance sheets included as a component of accrued expenses or other long term liabilities based on the scheduled vesting dates. The restricted stock liability is reclassified into stockholders' (deficit) equity as the restricted stock vests. A summary of the status of and changes in unvested restricted stock as of December 31, 2013, December 31, 2014 and September 30, 2015 was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at Inception (September 3, 2013)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Issued</w:t>
            </w:r>
          </w:p>
        </w:tc>
        <w:tc>
          <w:tcPr>
            <w:tcW w:w="840" w:type="dxa"/>
            <w:vAlign w:val="bottom"/>
          </w:tcPr>
          <w:p>
            <w:pPr>
              <w:jc w:val="right"/>
              <w:spacing w:after="0"/>
              <w:rPr>
                <w:sz w:val="20"/>
                <w:szCs w:val="20"/>
                <w:color w:val="auto"/>
              </w:rPr>
            </w:pPr>
            <w:r>
              <w:rPr>
                <w:rFonts w:ascii="Arial" w:cs="Arial" w:eastAsia="Arial" w:hAnsi="Arial"/>
                <w:sz w:val="18"/>
                <w:szCs w:val="18"/>
                <w:color w:val="auto"/>
              </w:rPr>
              <w:t>2,598,556</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0.0025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(751,200)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Unvested Restricted Common Stock as of December 31, 2013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1,847,356</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0.0034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Issued</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1,496,426</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0.0300</w:t>
            </w: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(483,590)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0.0051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(285,457)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Unvested Restricted Common Stock as of December 31, 2014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2,574,735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0.0189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Issued (unaudited)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Vested (unaudited)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(765,096)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0.0195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September 30, 2015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1,809,639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0.0187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11"/>
        <w:spacing w:after="0" w:line="335" w:lineRule="auto"/>
        <w:rPr>
          <w:sz w:val="20"/>
          <w:szCs w:val="20"/>
          <w:color w:val="auto"/>
        </w:rPr>
      </w:pPr>
      <w:r>
        <w:rPr>
          <w:rFonts w:ascii="Arial" w:cs="Arial" w:eastAsia="Arial" w:hAnsi="Arial"/>
          <w:sz w:val="15"/>
          <w:szCs w:val="15"/>
          <w:color w:val="auto"/>
        </w:rPr>
        <w:t>The expense related to restricted stock awards granted to non-employees was $20,000 for the period ended December 31, 2013. The expense related to restricted stock awards granted to employees and non-employees was $0 and $48,000 respectively for the year ended December 31, 2014. The expense related to restricted stock awards granted to employees and non-employees was $0 and $1.2 million respectively for the nine month period ended September 30, 2015.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jc w:val="both"/>
        <w:ind w:firstLine="605"/>
        <w:spacing w:after="0" w:line="306" w:lineRule="auto"/>
        <w:rPr>
          <w:sz w:val="20"/>
          <w:szCs w:val="20"/>
          <w:color w:val="auto"/>
        </w:rPr>
      </w:pPr>
      <w:r>
        <w:rPr>
          <w:rFonts w:ascii="Arial" w:cs="Arial" w:eastAsia="Arial" w:hAnsi="Arial"/>
          <w:sz w:val="16"/>
          <w:szCs w:val="16"/>
          <w:color w:val="auto"/>
        </w:rPr>
        <w:t>As of September 30, 2015, the Company had unrecognized stock-based compensation expense related to its employee unvested restricted stock awards of $0. As of September 30, 2015, the Company had unrecognized stock-based compensation expense related to its non-employee unvested restricted stock awards of $5.8 million which is expected to be recognized over the remaining weighted average vesting period of 1.8 years.</w:t>
      </w:r>
    </w:p>
    <w:p>
      <w:pPr>
        <w:spacing w:after="0" w:line="161"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fair value of employee restricted stock awards vested during the year ended December 31, 2014 and the nine months ended September 30, 2015, based on estimated fair values of the stock underlying the restricted stock awards on the day of vesting, was $15,000 and $2.8 million, respectively. The fair value of non-employee restricted stock awards vested during the year ended December 31, 2014 and the nine months ended September 30, 2015, based on estimated fair values of the stock underlying the restricted stock awards on the day of vesting, was $48,000 and $1.0 million, respectively.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611"/>
        <w:spacing w:after="0" w:line="318" w:lineRule="auto"/>
        <w:rPr>
          <w:sz w:val="20"/>
          <w:szCs w:val="20"/>
          <w:color w:val="auto"/>
        </w:rPr>
      </w:pPr>
      <w:r>
        <w:rPr>
          <w:rFonts w:ascii="Arial" w:cs="Arial" w:eastAsia="Arial" w:hAnsi="Arial"/>
          <w:sz w:val="15"/>
          <w:szCs w:val="15"/>
          <w:color w:val="auto"/>
        </w:rPr>
        <w:t>The Company's stock option agreements allow for the exercise of unvested awards. During 2014, options to purchase 75,304 shares of common stock for $0.03 per share were exercised prior to their vesting. The unvested shares are subject to repurchase by the Company if the employees ceases to provide service to the Company, with or without cause. As such, the Company does not treat unvested options exercised as a substantive exercise. The Company has recorded the proceeds from the exercise of unvested stock options as a liability in the balance sheets as a component of accrued expenses or other long term liabilities based on the scheduled vesting dates. The liability for unvested common stock subject to repurchase is reclassified into stockholders' (deficit) equity as the shares vest.</w:t>
      </w:r>
    </w:p>
    <w:p>
      <w:pPr>
        <w:spacing w:after="0" w:line="154" w:lineRule="exact"/>
        <w:rPr>
          <w:sz w:val="20"/>
          <w:szCs w:val="20"/>
          <w:color w:val="auto"/>
        </w:rPr>
      </w:pPr>
    </w:p>
    <w:p>
      <w:pPr>
        <w:ind w:right="580" w:firstLine="605"/>
        <w:spacing w:after="0" w:line="370" w:lineRule="auto"/>
        <w:rPr>
          <w:sz w:val="20"/>
          <w:szCs w:val="20"/>
          <w:color w:val="auto"/>
        </w:rPr>
      </w:pPr>
      <w:r>
        <w:rPr>
          <w:rFonts w:ascii="Arial" w:cs="Arial" w:eastAsia="Arial" w:hAnsi="Arial"/>
          <w:sz w:val="15"/>
          <w:szCs w:val="15"/>
          <w:color w:val="auto"/>
        </w:rPr>
        <w:t>A summary of the status of and changes in stock options as of December 31, 2014 and September 30, 2015 is as follows. The table below reflects unvested stock options as exercised on the dates that the shares are no longer subject to repurchase. The Company had 75,304 and 43,684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of unvested common stock at December 31, 2014 and September 30, 2015 related to the exercise of unvested stock options.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w w:val="95"/>
              </w:rPr>
              <w:t>Contractual Life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4"/>
              </w:rPr>
              <w:t>Value (in 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95,495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Outstanding at December 31, 2014</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95,495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Granted (unaudited)</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1,158,571</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Exercised (unaudited)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(54,695)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Outstanding at September 30, 2015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1,199,371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w w:val="96"/>
              </w:rPr>
              <w:t>Vested and expected to vest at December 31, 2014</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9.3</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93,942</w:t>
            </w:r>
          </w:p>
        </w:tc>
        <w:tc>
          <w:tcPr>
            <w:tcW w:w="10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2014</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16,586</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1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w:t>
            </w:r>
          </w:p>
        </w:tc>
        <w:tc>
          <w:tcPr>
            <w:tcW w:w="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w w:val="94"/>
              </w:rPr>
              <w:t>Vested and expected to vest at September 30, 2015</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6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(unaudited)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1,179,869</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Exercisable at September 30, 2015 (unaudited)</w:t>
            </w:r>
          </w:p>
        </w:tc>
        <w:tc>
          <w:tcPr>
            <w:tcW w:w="84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12,501</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0.65</w:t>
            </w:r>
          </w:p>
        </w:tc>
        <w:tc>
          <w:tcPr>
            <w:tcW w:w="13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9.3</w:t>
            </w:r>
          </w:p>
        </w:tc>
        <w:tc>
          <w:tcPr>
            <w:tcW w:w="26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Using the Black-Scholes option pricing model, the weighted average fair value of options granted to employees and directors during the year ended December 31, 2014 and nine months ended September 30, 2015 was $0.03 and $4.71, respectively. The expense related to options granted to employees was $0 and $0.3 million, for year ended December 31, 2014 and the nine months ended September 30, 2015, respectively. There were no stock options granted during the period from September 3, 2013 to December 31, 2013.</w:t>
      </w:r>
    </w:p>
    <w:p>
      <w:pPr>
        <w:spacing w:after="0" w:line="197"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fair value of each option issued to employees and directors was estimated at the date of grant using the Black-Scholes option pricing model with the following weighted-average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26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31, 2014</w:t>
            </w:r>
          </w:p>
        </w:tc>
        <w:tc>
          <w:tcPr>
            <w:tcW w:w="26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5"/>
              </w:rPr>
              <w:t>September 30, 2015</w:t>
            </w: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300" w:type="dxa"/>
            <w:vAlign w:val="bottom"/>
            <w:gridSpan w:val="2"/>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4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Expected volatility</w:t>
            </w:r>
          </w:p>
        </w:tc>
        <w:tc>
          <w:tcPr>
            <w:tcW w:w="4560" w:type="dxa"/>
            <w:vAlign w:val="bottom"/>
            <w:gridSpan w:val="3"/>
          </w:tcPr>
          <w:p>
            <w:pPr>
              <w:jc w:val="right"/>
              <w:ind w:right="20"/>
              <w:spacing w:after="0"/>
              <w:rPr>
                <w:sz w:val="20"/>
                <w:szCs w:val="20"/>
                <w:color w:val="auto"/>
              </w:rPr>
            </w:pPr>
            <w:r>
              <w:rPr>
                <w:rFonts w:ascii="Arial" w:cs="Arial" w:eastAsia="Arial" w:hAnsi="Arial"/>
                <w:sz w:val="18"/>
                <w:szCs w:val="18"/>
                <w:color w:val="auto"/>
              </w:rPr>
              <w:t>87.6%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560" w:type="dxa"/>
            <w:vAlign w:val="bottom"/>
            <w:gridSpan w:val="3"/>
          </w:tcPr>
          <w:p>
            <w:pPr>
              <w:jc w:val="right"/>
              <w:ind w:right="2900"/>
              <w:spacing w:after="0"/>
              <w:rPr>
                <w:sz w:val="20"/>
                <w:szCs w:val="20"/>
                <w:color w:val="auto"/>
              </w:rPr>
            </w:pPr>
            <w:r>
              <w:rPr>
                <w:rFonts w:ascii="Arial" w:cs="Arial" w:eastAsia="Arial" w:hAnsi="Arial"/>
                <w:sz w:val="18"/>
                <w:szCs w:val="18"/>
                <w:color w:val="auto"/>
              </w:rPr>
              <w:t>F-40</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720" w:firstLine="611"/>
        <w:spacing w:after="0" w:line="268" w:lineRule="auto"/>
        <w:rPr>
          <w:sz w:val="20"/>
          <w:szCs w:val="20"/>
          <w:color w:val="auto"/>
        </w:rPr>
      </w:pPr>
      <w:r>
        <w:rPr>
          <w:rFonts w:ascii="Arial" w:cs="Arial" w:eastAsia="Arial" w:hAnsi="Arial"/>
          <w:sz w:val="18"/>
          <w:szCs w:val="18"/>
          <w:color w:val="auto"/>
        </w:rPr>
        <w:t>The fair value of each option issued to non-employees was estimated at the date of grant using the Black-Scholes option pricing model with the following weighted-average assumptions: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31, 2014</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September 30, 2015</w:t>
            </w: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r>
    </w:tbl>
    <w:p>
      <w:pPr>
        <w:spacing w:after="0" w:line="201" w:lineRule="exact"/>
        <w:rPr>
          <w:sz w:val="20"/>
          <w:szCs w:val="20"/>
          <w:color w:val="auto"/>
        </w:rPr>
      </w:pPr>
    </w:p>
    <w:p>
      <w:pPr>
        <w:ind w:right="320" w:firstLine="605"/>
        <w:spacing w:after="0" w:line="268" w:lineRule="auto"/>
        <w:rPr>
          <w:sz w:val="20"/>
          <w:szCs w:val="20"/>
          <w:color w:val="auto"/>
        </w:rPr>
      </w:pPr>
      <w:r>
        <w:rPr>
          <w:rFonts w:ascii="Arial" w:cs="Arial" w:eastAsia="Arial" w:hAnsi="Arial"/>
          <w:sz w:val="18"/>
          <w:szCs w:val="18"/>
          <w:color w:val="auto"/>
        </w:rPr>
        <w:t>As of September 30, 2015, the Company had unrecognized stock-based compensation expense related to its unvested employee stock options of $3.2 million which is expected to be recognized over the remaining weighted average vesting period of 3.5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Savings Plan</w:t>
      </w:r>
    </w:p>
    <w:p>
      <w:pPr>
        <w:spacing w:after="0" w:line="231" w:lineRule="exact"/>
        <w:rPr>
          <w:sz w:val="20"/>
          <w:szCs w:val="20"/>
          <w:color w:val="auto"/>
        </w:rPr>
      </w:pPr>
    </w:p>
    <w:p>
      <w:pPr>
        <w:ind w:right="20" w:firstLine="611"/>
        <w:spacing w:after="0" w:line="306" w:lineRule="auto"/>
        <w:rPr>
          <w:sz w:val="20"/>
          <w:szCs w:val="20"/>
          <w:color w:val="auto"/>
        </w:rPr>
      </w:pPr>
      <w:r>
        <w:rPr>
          <w:rFonts w:ascii="Arial" w:cs="Arial" w:eastAsia="Arial" w:hAnsi="Arial"/>
          <w:sz w:val="16"/>
          <w:szCs w:val="16"/>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to date has not made any contributions to the 401(k)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 reconciliation of the income tax expense computed using the federal statutory income tax rate to the Company's effective income tax rate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Period Ended</w:t>
            </w:r>
          </w:p>
        </w:tc>
        <w:tc>
          <w:tcPr>
            <w:tcW w:w="248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1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80" w:type="dxa"/>
            <w:vAlign w:val="bottom"/>
            <w:gridSpan w:val="3"/>
          </w:tcPr>
          <w:p>
            <w:pPr>
              <w:jc w:val="center"/>
              <w:ind w:right="15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tax computed at federal statutory tax rate</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34.00%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5.20%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General business credit carryovers</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0.67%</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3860" w:type="dxa"/>
            <w:vAlign w:val="bottom"/>
            <w:gridSpan w:val="3"/>
          </w:tcPr>
          <w:p>
            <w:pPr>
              <w:jc w:val="right"/>
              <w:ind w:right="200"/>
              <w:spacing w:after="0"/>
              <w:rPr>
                <w:sz w:val="20"/>
                <w:szCs w:val="20"/>
                <w:color w:val="auto"/>
              </w:rPr>
            </w:pPr>
            <w:r>
              <w:rPr>
                <w:rFonts w:ascii="Arial" w:cs="Arial" w:eastAsia="Arial" w:hAnsi="Arial"/>
                <w:sz w:val="18"/>
                <w:szCs w:val="18"/>
                <w:color w:val="auto"/>
              </w:rPr>
              <w:t>(0.40)%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(39.47)%</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(37.64)%</w:t>
            </w: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78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60" w:type="dxa"/>
            <w:vAlign w:val="bottom"/>
            <w:gridSpan w:val="3"/>
          </w:tcPr>
          <w:p>
            <w:pPr>
              <w:jc w:val="right"/>
              <w:ind w:right="3060"/>
              <w:spacing w:after="0"/>
              <w:rPr>
                <w:sz w:val="20"/>
                <w:szCs w:val="20"/>
                <w:color w:val="auto"/>
              </w:rPr>
            </w:pPr>
            <w:r>
              <w:rPr>
                <w:rFonts w:ascii="Arial" w:cs="Arial" w:eastAsia="Arial" w:hAnsi="Arial"/>
                <w:sz w:val="18"/>
                <w:szCs w:val="18"/>
                <w:color w:val="auto"/>
              </w:rPr>
              <w:t>F-41</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principal components of the Company's deferred tax assets and liabilities consist of the following at December 31, 2013 and 2014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September 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2013 (inception) 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credit carryforwards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deferred tax assets</w:t>
            </w:r>
          </w:p>
        </w:tc>
        <w:tc>
          <w:tcPr>
            <w:tcW w:w="1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assets</w:t>
            </w:r>
          </w:p>
        </w:tc>
        <w:tc>
          <w:tcPr>
            <w:tcW w:w="1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Deferred tax liabilities—depreciation and amortization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The Company has incurred net operating losses ("NOL") since inception. At December 31, 2013 and 2014, the Company had federal and state net operating loss carryforwards of $2.4 million and $16.4 million, respectively, which expire beginning in 2033. As of December 31, 2013 and 2014, the Company had federal and state research and development tax credits carryforwards of $14,000 and $0.2 million, respectively, which expire beginning in 2028.</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Under the provisions of the Internal Revenue Code of 1986, as amended (the "Code"), the NOL and tax credit carryforward are subject to review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possible adjustment by the Internal Revenue Service and state tax authorities. NOL and tax credit carryforwards may become subject to an annual limitation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event of certain cumulative changes in the ownership interest of significant shareholders over a three-year period in excess of 50%, as defined 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Sections 382 and 383 of the Code, respectively, as well as other similar state provisions. The Company has not performed a full comprehensive Section 382 study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determine any potential loss limitation in the United States or a Section 383 study to determine the appropriate amount of tax credit carryforward.</w:t>
      </w:r>
    </w:p>
    <w:p>
      <w:pPr>
        <w:spacing w:after="0" w:line="242"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Management has evaluated the positive and negative evidence bearing upon the realizability of its deferred tax assets, which principally comprise NOL carryforwards and research and development credit carryforwards. Management has determined that it is more likely than not that the Company will not recognize the benefits of its federal and state deferred tax assets, and as a result, a valuation allowance of $0.7 million and $5.8 million has been established at December 31, 2013 and 2014, respectively. The change in the valuation allowance was $5.1 million for the year ended December 31, 2014 was primary due to additional operating losses.</w:t>
      </w:r>
    </w:p>
    <w:p>
      <w:pPr>
        <w:spacing w:after="0" w:line="197" w:lineRule="exact"/>
        <w:rPr>
          <w:sz w:val="20"/>
          <w:szCs w:val="20"/>
          <w:color w:val="auto"/>
        </w:rPr>
      </w:pPr>
    </w:p>
    <w:p>
      <w:pPr>
        <w:ind w:right="260" w:firstLine="611"/>
        <w:spacing w:after="0" w:line="259" w:lineRule="auto"/>
        <w:rPr>
          <w:sz w:val="20"/>
          <w:szCs w:val="20"/>
          <w:color w:val="auto"/>
        </w:rPr>
      </w:pPr>
      <w:r>
        <w:rPr>
          <w:rFonts w:ascii="Arial" w:cs="Arial" w:eastAsia="Arial" w:hAnsi="Arial"/>
          <w:sz w:val="18"/>
          <w:szCs w:val="18"/>
          <w:color w:val="auto"/>
        </w:rPr>
        <w:t>The Company applies ASC 740 related to accounting for uncertainty in income taxes. The Company's reserves related to income taxes are based on a determination of whether, and how much of, a tax benefit take by the Company in its tax filings or positions is more likely than not to be realized following resolution of any potential contingencies present related to the tax benefit. At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4" w:name="page265"/>
    <w:bookmarkEnd w:id="2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December 31, 2014 and 2013, the Company had no unrecognized tax benefits. Interest and penalty charges, if any, related to unrecognized tax benefits would be classified as income tax expense in the accompanying statements of operations</w:t>
      </w:r>
    </w:p>
    <w:p>
      <w:pPr>
        <w:spacing w:after="0" w:line="186"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The Company has not as yet conducted a study of its research and development credit carry 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w:t>
      </w:r>
    </w:p>
    <w:p>
      <w:pPr>
        <w:spacing w:after="0" w:line="197" w:lineRule="exact"/>
        <w:rPr>
          <w:sz w:val="20"/>
          <w:szCs w:val="20"/>
          <w:color w:val="auto"/>
        </w:rPr>
      </w:pPr>
    </w:p>
    <w:p>
      <w:pPr>
        <w:ind w:right="40" w:firstLine="611"/>
        <w:spacing w:after="0" w:line="306" w:lineRule="auto"/>
        <w:rPr>
          <w:sz w:val="20"/>
          <w:szCs w:val="20"/>
          <w:color w:val="auto"/>
        </w:rPr>
      </w:pPr>
      <w:r>
        <w:rPr>
          <w:rFonts w:ascii="Arial" w:cs="Arial" w:eastAsia="Arial" w:hAnsi="Arial"/>
          <w:sz w:val="16"/>
          <w:szCs w:val="16"/>
          <w:color w:val="auto"/>
        </w:rPr>
        <w:t>The Company files income tax returns in the U.S. federal tax jurisdiction and the Massachusetts state jurisdiction. Since the Company is in a loss carryforward position, the Company is generally subject to examination by the U.S. federal, state and local income tax authorities for all tax years in which a loss carryforward is available. The Company did not have any international operations as of December 31, 2014. There are no federal or state audits in process.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231" w:lineRule="exact"/>
        <w:rPr>
          <w:sz w:val="20"/>
          <w:szCs w:val="20"/>
          <w:color w:val="auto"/>
        </w:rPr>
      </w:pPr>
    </w:p>
    <w:p>
      <w:pPr>
        <w:jc w:val="both"/>
        <w:ind w:firstLine="615"/>
        <w:spacing w:after="0" w:line="335" w:lineRule="auto"/>
        <w:rPr>
          <w:sz w:val="20"/>
          <w:szCs w:val="20"/>
          <w:color w:val="auto"/>
        </w:rPr>
      </w:pPr>
      <w:r>
        <w:rPr>
          <w:rFonts w:ascii="Arial" w:cs="Arial" w:eastAsia="Arial" w:hAnsi="Arial"/>
          <w:sz w:val="15"/>
          <w:szCs w:val="15"/>
          <w:color w:val="auto"/>
        </w:rPr>
        <w:t>In 2013, the Company paid one of its investors $18,000 for rent of a facility, two of its investors for an aggregate of $0.3 million in professional fees, and $6,000 for other expenses. The rental agreement terminated as of December 31, 2013. In 2014, the Company paid one of its investors an aggregate of $0.2 million in professional fees. During the nine months ended September 30, 2015, the Company paid one of its investors an aggregate of $0.1 million in professional fees.</w:t>
      </w:r>
    </w:p>
    <w:p>
      <w:pPr>
        <w:spacing w:after="0" w:line="136" w:lineRule="exact"/>
        <w:rPr>
          <w:sz w:val="20"/>
          <w:szCs w:val="20"/>
          <w:color w:val="auto"/>
        </w:rPr>
      </w:pPr>
    </w:p>
    <w:p>
      <w:pPr>
        <w:ind w:left="280" w:hanging="272"/>
        <w:spacing w:after="0"/>
        <w:tabs>
          <w:tab w:leader="none" w:pos="2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1" w:lineRule="exact"/>
        <w:rPr>
          <w:rFonts w:ascii="Arial" w:cs="Arial" w:eastAsia="Arial" w:hAnsi="Arial"/>
          <w:sz w:val="18"/>
          <w:szCs w:val="18"/>
          <w:b w:val="1"/>
          <w:bCs w:val="1"/>
          <w:color w:val="auto"/>
        </w:rPr>
      </w:pPr>
    </w:p>
    <w:p>
      <w:pPr>
        <w:ind w:left="380" w:hanging="196"/>
        <w:spacing w:after="0"/>
        <w:tabs>
          <w:tab w:leader="none" w:pos="380" w:val="left"/>
        </w:tabs>
        <w:numPr>
          <w:ilvl w:val="1"/>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 evaluation</w:t>
      </w:r>
    </w:p>
    <w:p>
      <w:pPr>
        <w:spacing w:after="0" w:line="225" w:lineRule="exact"/>
        <w:rPr>
          <w:sz w:val="20"/>
          <w:szCs w:val="20"/>
          <w:color w:val="auto"/>
        </w:rPr>
      </w:pPr>
    </w:p>
    <w:p>
      <w:pPr>
        <w:ind w:right="560" w:firstLine="615"/>
        <w:spacing w:after="0" w:line="332" w:lineRule="auto"/>
        <w:rPr>
          <w:sz w:val="20"/>
          <w:szCs w:val="20"/>
          <w:color w:val="auto"/>
        </w:rPr>
      </w:pPr>
      <w:r>
        <w:rPr>
          <w:rFonts w:ascii="Arial" w:cs="Arial" w:eastAsia="Arial" w:hAnsi="Arial"/>
          <w:sz w:val="16"/>
          <w:szCs w:val="16"/>
          <w:color w:val="auto"/>
        </w:rPr>
        <w:t>For the purposes of the financial statements as of December 31, 2013, December 31, 2014 and the periods and year then ended, the Company has evaluated the subsequent events through October 16, 2015, the date the audited financial statements were issued.</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Subsequent event evaluation (unaudited)</w:t>
      </w:r>
    </w:p>
    <w:p>
      <w:pPr>
        <w:spacing w:after="0" w:line="225" w:lineRule="exact"/>
        <w:rPr>
          <w:sz w:val="20"/>
          <w:szCs w:val="20"/>
          <w:color w:val="auto"/>
        </w:rPr>
      </w:pPr>
    </w:p>
    <w:p>
      <w:pPr>
        <w:ind w:right="280" w:firstLine="615"/>
        <w:spacing w:after="0" w:line="332" w:lineRule="auto"/>
        <w:rPr>
          <w:sz w:val="20"/>
          <w:szCs w:val="20"/>
          <w:color w:val="auto"/>
        </w:rPr>
      </w:pPr>
      <w:r>
        <w:rPr>
          <w:rFonts w:ascii="Arial" w:cs="Arial" w:eastAsia="Arial" w:hAnsi="Arial"/>
          <w:sz w:val="16"/>
          <w:szCs w:val="16"/>
          <w:color w:val="auto"/>
        </w:rPr>
        <w:t>For the purpose of the interim financial statements as of September 30, 2015 and for the nine month periods ended September 30, 2014 and 2015, the Company has evaluated the subsequent events through November 16, 2015, the date these interim financial statements were issued.</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 Facility lease (unaudited)</w:t>
      </w:r>
    </w:p>
    <w:p>
      <w:pPr>
        <w:spacing w:after="0" w:line="225"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In November 2015, the Company entered into a real estate license agreement to sublease from the licensor additional laboratory space in Cambridge, Massachusetts. The term of the lease is from December 1, 2015 to November 30, 2016. The Company's contractual obligation related to lease payments over the term of the sublease is approximately $1.9 million. The sublease is cancelable upon no less than 30 days written notice, provided however, the Company remains liable to continue to pay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monthly rental fee for the remainder of the term unless the licensor can sublease the space. If the licensor can sublease the space to another party, the Company will be credited the lesser of (i) the rental fee paid by such party corresponding to the remainder of the term and (ii) 50% of the rental for the remainder of the term.</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 Equipment Financing (unaudited)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December 2015, the Company paid off all amounts outstanding under the Silicon Valley Bank loans and terminated the equipment loan agreement.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 Formation of Subsidiary (unaudited)</w:t>
      </w:r>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In December 2015, the Company formed a wholly owned subsidiary, Editas Securities Corporation, a Delaware corporation, for the sole purpose of buying, selling, and holding securities on the Company's behalf. In subsequent periods, the Company's consolidated financial statements will include the accounts of the Company, as well as its wholly owned subsidiary Editas Securities Corporation. All intercompany transactions and balances will be eliminated in those consolidated financial statements.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 Amendment of Certificate of Incorporation</w:t>
      </w:r>
    </w:p>
    <w:p>
      <w:pPr>
        <w:spacing w:after="0" w:line="225"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In connection with preparing for its initial public offering, the Company's board of directors and stockholders approved an amendment to the Company's certificate of incorporation. This amendment became effective on January 15, 2016. Pursuant to this amendment:</w:t>
      </w:r>
    </w:p>
    <w:p>
      <w:pPr>
        <w:spacing w:after="0" w:line="199" w:lineRule="exact"/>
        <w:rPr>
          <w:sz w:val="20"/>
          <w:szCs w:val="20"/>
          <w:color w:val="auto"/>
        </w:rPr>
      </w:pPr>
    </w:p>
    <w:p>
      <w:pPr>
        <w:ind w:left="1080" w:right="580" w:hanging="532"/>
        <w:spacing w:after="0" w:line="332"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upon the closing of a firm commitment underwritten public offering in which the aggregate proceeds raised in the offering equal or exceed $50 million, the Company's Preferred Stock will be automatically converted into common stock at the applicable conversion price;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one-for-2.6 reverse stock split of the Company's common stock was effected;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authorized number of shares of common stock was increased to 110,000,000.</w:t>
      </w:r>
    </w:p>
    <w:p>
      <w:pPr>
        <w:spacing w:after="0" w:line="225" w:lineRule="exact"/>
        <w:rPr>
          <w:sz w:val="20"/>
          <w:szCs w:val="20"/>
          <w:color w:val="auto"/>
        </w:rPr>
      </w:pPr>
    </w:p>
    <w:p>
      <w:pPr>
        <w:ind w:right="200" w:firstLine="605"/>
        <w:spacing w:after="0" w:line="332" w:lineRule="auto"/>
        <w:rPr>
          <w:sz w:val="20"/>
          <w:szCs w:val="20"/>
          <w:color w:val="auto"/>
        </w:rPr>
      </w:pPr>
      <w:r>
        <w:rPr>
          <w:rFonts w:ascii="Arial" w:cs="Arial" w:eastAsia="Arial" w:hAnsi="Arial"/>
          <w:sz w:val="16"/>
          <w:szCs w:val="16"/>
          <w:color w:val="auto"/>
        </w:rPr>
        <w:t>All share and per share amounts in the financial statements and notes thereto have been retroactively adjusted for all periods presented to give effect to the reverse stock split, including reclassifying an amount equal to the reduction in par value of common stock to additional paid-in capital.</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 Equity Plan (unaudited)</w:t>
      </w:r>
    </w:p>
    <w:p>
      <w:pPr>
        <w:spacing w:after="0" w:line="225"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Company's board of directors adopted and the Company's stockholders approved the 2015 stock incentive plan, or the 2015 Plan, which will become effective immediately prior to the effectiveness of the registration statement on Form S-1 related to the Company's initial public offering. The 2015 Plan provides for the grant of incentive stock options, nonstatutory stock options, restricted stock awards, restricted stock units, stock appreciation rights and other stock-based awards, and 1,461,538 additional shares of common stock are reserved under the 2015 Plan. The Company's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Editas Medicine, Inc.</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(Information as of September 30, 2015 and for the nine months ended</w:t>
      </w: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September 30, 2014 and 2015 is 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employees, officers, directors and consultants and advisors are eligible to receive awards under the 2015 Plan.</w:t>
      </w:r>
    </w:p>
    <w:p>
      <w:pPr>
        <w:spacing w:after="0" w:line="225"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Company's board of directors adopted and the Company's stockholders approved the 2015 employee stock purchase plan, which will become effective upon the closing of the Company's initial public offering. An additional 384,615 shares of common stock will become available for future issuance under this plan.</w:t>
      </w:r>
    </w:p>
    <w:p>
      <w:pPr>
        <w:spacing w:after="0" w:line="19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bookmarkStart w:id="267" w:name="page268"/>
    <w:bookmarkEnd w:id="2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148590</wp:posOffset>
            </wp:positionV>
            <wp:extent cx="2066925" cy="8578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06692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b w:val="1"/>
          <w:bCs w:val="1"/>
          <w:i w:val="1"/>
          <w:iCs w:val="1"/>
          <w:color w:val="auto"/>
        </w:rPr>
        <w:t>Until , 2016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8" w:name="page269"/>
    <w:bookmarkEnd w:id="2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("FINRA") filing fee and the NASDAQ Global Market listing fee.</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FINRA filing fee</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1,784,000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Transfer agent's fees and expenses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Miscellaneous</w:t>
            </w: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3,200,000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201" w:lineRule="exact"/>
        <w:rPr>
          <w:sz w:val="20"/>
          <w:szCs w:val="20"/>
          <w:color w:val="auto"/>
        </w:rPr>
      </w:pPr>
    </w:p>
    <w:p>
      <w:pPr>
        <w:ind w:right="80" w:firstLine="615"/>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9" w:name="page270"/>
    <w:bookmarkEnd w:id="2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reasonably entitled to indemnity for such expenses which the Court of Chancery or such other court shall deem proper.</w:t>
      </w:r>
    </w:p>
    <w:p>
      <w:pPr>
        <w:spacing w:after="0" w:line="225" w:lineRule="exact"/>
        <w:rPr>
          <w:sz w:val="20"/>
          <w:szCs w:val="20"/>
          <w:color w:val="auto"/>
        </w:rPr>
      </w:pPr>
    </w:p>
    <w:p>
      <w:pPr>
        <w:ind w:firstLine="615"/>
        <w:spacing w:after="0" w:line="284" w:lineRule="auto"/>
        <w:rPr>
          <w:sz w:val="20"/>
          <w:szCs w:val="20"/>
          <w:color w:val="auto"/>
        </w:rPr>
      </w:pPr>
      <w:r>
        <w:rPr>
          <w:rFonts w:ascii="Arial" w:cs="Arial" w:eastAsia="Arial" w:hAnsi="Arial"/>
          <w:sz w:val="16"/>
          <w:szCs w:val="16"/>
          <w:color w:val="auto"/>
        </w:rPr>
        <w:t>Upon the completion of this offering, our certificate of incorporation will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Upon the completion of this offering, our certificate of incorporation will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7" w:lineRule="exact"/>
        <w:rPr>
          <w:sz w:val="20"/>
          <w:szCs w:val="20"/>
          <w:color w:val="auto"/>
        </w:rPr>
      </w:pPr>
    </w:p>
    <w:p>
      <w:pPr>
        <w:ind w:right="20" w:firstLine="615"/>
        <w:spacing w:after="0" w:line="298" w:lineRule="auto"/>
        <w:rPr>
          <w:sz w:val="20"/>
          <w:szCs w:val="20"/>
          <w:color w:val="auto"/>
        </w:rPr>
      </w:pPr>
      <w:r>
        <w:rPr>
          <w:rFonts w:ascii="Arial" w:cs="Arial" w:eastAsia="Arial" w:hAnsi="Arial"/>
          <w:sz w:val="16"/>
          <w:szCs w:val="16"/>
          <w:color w:val="auto"/>
        </w:rPr>
        <w:t>Our board of directors has approved a form of indemnification agreement to be executed by each of our directors and executive officers. These indemnification agreements may require us, among other things, to indemnify these directors and executive officers for some expenses, including attorneys' fees, judgments, fines, and settlement amounts incurred by each of these directors in any action or proceeding arising out of his or her service as one of our directors or officers, or any of our subsidiaries or any other company or enterprise to which the person provides services at our request.</w:t>
      </w:r>
    </w:p>
    <w:p>
      <w:pPr>
        <w:spacing w:after="0" w:line="167"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86"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(the "Securities Act"), against certain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Set forth below is information regarding shares of our common stock, shares of our preferred stock, stock options, and a warrant to purchase shares of our preferred stock issued by us within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0" w:name="page271"/>
    <w:bookmarkEnd w:id="2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past three years that were not registered under the Securities Act. Also included is the consideration received by us for such securities and information relating to the section of the Securities Act, or rule of the Securities and Exchange Commission, under which exemption from registration was claimed. All of the securities described below are deemed restricted securities for purposes of the Securities Act. All certificates representing the issued shares of capital stock described in this Item 15 included appropriate legends setting forth that the securities have not been registered and the applicable restrictions on transfer.</w:t>
      </w:r>
    </w:p>
    <w:p>
      <w:pPr>
        <w:spacing w:after="0" w:line="180"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Issuance of Preferred Stock</w:t>
      </w:r>
    </w:p>
    <w:p>
      <w:pPr>
        <w:spacing w:after="0" w:line="225"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November 2013, May 2014, July 2014, October 2014, and November 2014, we issued and sold an aggregate of 21,260,000 shares of our Series A-1 preferred stock to nine investors for aggregate consideration of $21.3 million.</w:t>
      </w:r>
    </w:p>
    <w:p>
      <w:pPr>
        <w:spacing w:after="0" w:line="186" w:lineRule="exact"/>
        <w:rPr>
          <w:sz w:val="20"/>
          <w:szCs w:val="20"/>
          <w:color w:val="auto"/>
        </w:rPr>
      </w:pPr>
    </w:p>
    <w:p>
      <w:pPr>
        <w:ind w:right="420" w:firstLine="615"/>
        <w:spacing w:after="0" w:line="268" w:lineRule="auto"/>
        <w:rPr>
          <w:sz w:val="20"/>
          <w:szCs w:val="20"/>
          <w:color w:val="auto"/>
        </w:rPr>
      </w:pPr>
      <w:r>
        <w:rPr>
          <w:rFonts w:ascii="Arial" w:cs="Arial" w:eastAsia="Arial" w:hAnsi="Arial"/>
          <w:sz w:val="18"/>
          <w:szCs w:val="18"/>
          <w:color w:val="auto"/>
        </w:rPr>
        <w:t>In June 2015, we issued and sold an aggregate of 16,890,699 shares of our Series A-2 preferred stock to ten investors for aggregate consideration of $22.0 million.</w:t>
      </w:r>
    </w:p>
    <w:p>
      <w:pPr>
        <w:spacing w:after="0" w:line="186"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In August 2015, we issued and sold an aggregate of 26,666,660 shares of our Series B preferred stock for aggregate consideration of $120.0 million to forty-three investors.</w:t>
      </w:r>
    </w:p>
    <w:p>
      <w:pPr>
        <w:spacing w:after="0" w:line="186"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paragraph (a) of Item 15 were issued to accredited investors in reliance upon exemptions from the registration requirements of the Securities Act provided under Regulation D promulgated under the Securities Act, or pursuant to Section 4(a)(2) under the Securities Act, relating to transactions by an issuer not involving any public offering.</w:t>
      </w:r>
    </w:p>
    <w:p>
      <w:pPr>
        <w:spacing w:after="0" w:line="188"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jc w:val="both"/>
        <w:ind w:right="200" w:firstLine="615"/>
        <w:spacing w:after="0" w:line="256" w:lineRule="auto"/>
        <w:rPr>
          <w:sz w:val="20"/>
          <w:szCs w:val="20"/>
          <w:color w:val="auto"/>
        </w:rPr>
      </w:pPr>
      <w:r>
        <w:rPr>
          <w:rFonts w:ascii="Arial" w:cs="Arial" w:eastAsia="Arial" w:hAnsi="Arial"/>
          <w:sz w:val="18"/>
          <w:szCs w:val="18"/>
          <w:color w:val="auto"/>
        </w:rPr>
        <w:t>From inception through January 25, 2016, we have issued an aggregate of 4,094,982 shares of restricted common stock, for cash with purchase prices ranging from $0.00026 to $0.03 per share, or for services rendered, to employees, directors, and consultants, including 1,691,137 shares issued pursuant to our 2013 Stock Incentive Plan, as amended. During that same time period, we issued an aggregate of 956,349 shares of common stock to certain parties with whom we have entered into license agreements.</w:t>
      </w:r>
    </w:p>
    <w:p>
      <w:pPr>
        <w:spacing w:after="0" w:line="197" w:lineRule="exact"/>
        <w:rPr>
          <w:sz w:val="20"/>
          <w:szCs w:val="20"/>
          <w:color w:val="auto"/>
        </w:rPr>
      </w:pPr>
    </w:p>
    <w:p>
      <w:pPr>
        <w:ind w:right="180" w:firstLine="615"/>
        <w:spacing w:after="0" w:line="255" w:lineRule="auto"/>
        <w:rPr>
          <w:sz w:val="20"/>
          <w:szCs w:val="20"/>
          <w:color w:val="auto"/>
        </w:rPr>
      </w:pPr>
      <w:r>
        <w:rPr>
          <w:rFonts w:ascii="Arial" w:cs="Arial" w:eastAsia="Arial" w:hAnsi="Arial"/>
          <w:sz w:val="18"/>
          <w:szCs w:val="18"/>
          <w:color w:val="auto"/>
        </w:rPr>
        <w:t>No underwriters were involved in the foregoing issuances of securities. The issuances of shares of our common stock described in this paragraph (b) of Item 15 were issued pursuant to written compensatory plans or arrangements with our employees, directors, and consultants, in reliance on the exemption provided by Rule 701 promulgated under the Securities Act, or pursuant to Section 4(a)(2) under the Securities Act, relating to transactions by an issuer not involving any public offering. All recipients either received adequate information about us or had access, through employment or other relationships, to such information.</w:t>
      </w:r>
    </w:p>
    <w:p>
      <w:pPr>
        <w:spacing w:after="0" w:line="210"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 Grants and Option Exercises</w:t>
      </w:r>
    </w:p>
    <w:p>
      <w:pPr>
        <w:spacing w:after="0" w:line="225" w:lineRule="exact"/>
        <w:rPr>
          <w:sz w:val="20"/>
          <w:szCs w:val="20"/>
          <w:color w:val="auto"/>
        </w:rPr>
      </w:pPr>
    </w:p>
    <w:p>
      <w:pPr>
        <w:ind w:right="140" w:firstLine="615"/>
        <w:spacing w:after="0" w:line="306" w:lineRule="auto"/>
        <w:rPr>
          <w:sz w:val="20"/>
          <w:szCs w:val="20"/>
          <w:color w:val="auto"/>
        </w:rPr>
      </w:pPr>
      <w:r>
        <w:rPr>
          <w:rFonts w:ascii="Arial" w:cs="Arial" w:eastAsia="Arial" w:hAnsi="Arial"/>
          <w:sz w:val="16"/>
          <w:szCs w:val="16"/>
          <w:color w:val="auto"/>
        </w:rPr>
        <w:t>From inception through January 25, 2016, we have granted options to purchase an aggregate of 1,801,079 shares of common stock, with exercise prices ranging from $0.03 to $11.21 per share, to employees, directors and consultants pursuant to our 2013 Stock Incentive Plan, as amended. During that same time period, we have issued an aggregate of 105,397 shares of common stock upon the exercise of options for aggregate consideration of $8921.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1" w:name="page272"/>
    <w:bookmarkEnd w:id="2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No underwriters were involved in the foregoing issuances of securities. The issuances of stock options and the shares of our common stock issued upon the exercise of the options described in this paragraph (c) of Item 15 were issued pursuant to written compensatory plans or arrangements with our employees, directors, and consultants, in reliance on the exemption provided by Rule 701 promulgated under the Securities Act, or pursuant to Section 4(a)(2) under the Securities Act, relating to transactions by an issuer not involving any public offering. All recipients either received adequate information about us or had access, through employment or other relationships, to such information.</w:t>
      </w:r>
    </w:p>
    <w:p>
      <w:pPr>
        <w:spacing w:after="0" w:line="210"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Warrant Issuance</w:t>
      </w:r>
    </w:p>
    <w:p>
      <w:pPr>
        <w:spacing w:after="0" w:line="225"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In May 2014, we issued a warrant to purchase an aggregate of 60,000 shares of Series A-1 preferred stock at a price of $1.00 per share to Silicon Valley Bank, which warrant was subsequently transferred to Silicon Valley Bank's parent company, SVB Financial Group.</w:t>
      </w:r>
    </w:p>
    <w:p>
      <w:pPr>
        <w:spacing w:after="0" w:line="186"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No underwriters were involved in the foregoing issuance of securities. The issuance of the warrant described in this paragraph (d) of Item 15 was issued to an investor in reliance upon the exemption from the registration requirements of the Securities Act, as set forth in Section 4(a)(2) under the Securities Act, relating to transactions by an issuer not involving any public offering. The recipient of securities in the transaction described above represented that it was an accredited investor and was acquiring the securities for its own account for investment purposes only and not with a view to the public resale or distribution thereof and that it could bear the risks of the investment and could hold the securities for an indefinite period of time, and appropriate legends were affixed to the instrument representing such securities issued in such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58" w:lineRule="exact"/>
        <w:rPr>
          <w:sz w:val="20"/>
          <w:szCs w:val="20"/>
          <w:color w:val="auto"/>
        </w:rPr>
      </w:pPr>
    </w:p>
    <w:p>
      <w:pPr>
        <w:ind w:left="540" w:hanging="532"/>
        <w:spacing w:after="0"/>
        <w:tabs>
          <w:tab w:leader="none" w:pos="540" w:val="left"/>
        </w:tabs>
        <w:numPr>
          <w:ilvl w:val="0"/>
          <w:numId w:val="1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exhibits to the registration statement are listed in the Exhibit Index attached hereto and are incorporated by reference herein.</w:t>
      </w:r>
    </w:p>
    <w:p>
      <w:pPr>
        <w:spacing w:after="0" w:line="239" w:lineRule="exact"/>
        <w:rPr>
          <w:sz w:val="20"/>
          <w:szCs w:val="20"/>
          <w:color w:val="auto"/>
        </w:rPr>
      </w:pPr>
    </w:p>
    <w:p>
      <w:pPr>
        <w:ind w:left="540" w:hanging="532"/>
        <w:spacing w:after="0"/>
        <w:tabs>
          <w:tab w:leader="none" w:pos="54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 notes.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2" w:name="page273"/>
    <w:bookmarkEnd w:id="2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court of appropriate jurisdiction the question whether such indemnification by it is against public policy as expressed in the Securities Act and will be governed by the final adjudication of such issue.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undersigned hereby undertakes that:</w:t>
      </w:r>
    </w:p>
    <w:p>
      <w:pPr>
        <w:spacing w:after="0" w:line="225" w:lineRule="exact"/>
        <w:rPr>
          <w:sz w:val="20"/>
          <w:szCs w:val="20"/>
          <w:color w:val="auto"/>
        </w:rPr>
      </w:pPr>
    </w:p>
    <w:p>
      <w:pPr>
        <w:ind w:right="80" w:firstLine="623"/>
        <w:spacing w:after="0" w:line="306" w:lineRule="auto"/>
        <w:tabs>
          <w:tab w:leader="none" w:pos="121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jc w:val="both"/>
        <w:ind w:firstLine="623"/>
        <w:spacing w:after="0" w:line="259" w:lineRule="auto"/>
        <w:tabs>
          <w:tab w:leader="none" w:pos="121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73" w:name="page274"/>
    <w:bookmarkEnd w:id="2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80" w:firstLine="615"/>
        <w:spacing w:after="0" w:line="333" w:lineRule="auto"/>
        <w:rPr>
          <w:sz w:val="20"/>
          <w:szCs w:val="20"/>
          <w:color w:val="auto"/>
        </w:rPr>
      </w:pPr>
      <w:r>
        <w:rPr>
          <w:rFonts w:ascii="Arial" w:cs="Arial" w:eastAsia="Arial" w:hAnsi="Arial"/>
          <w:sz w:val="16"/>
          <w:szCs w:val="16"/>
          <w:color w:val="auto"/>
        </w:rPr>
        <w:t>Pursuant to the requirements of the Securities Act, the registrant has duly caused this Amendment No. 1 to the Registration Statement to be signed on its behalf by the undersigned, thereunto duly authorized, in the City of Cambridge, Commonwealth of Massachusetts, on this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January, 2016.</w:t>
      </w:r>
    </w:p>
    <w:p>
      <w:pPr>
        <w:spacing w:after="0" w:line="1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EDITAS MEDICINE, INC.</w:t>
      </w:r>
    </w:p>
    <w:p>
      <w:pPr>
        <w:spacing w:after="0" w:line="258" w:lineRule="exact"/>
        <w:rPr>
          <w:sz w:val="20"/>
          <w:szCs w:val="20"/>
          <w:color w:val="auto"/>
        </w:rPr>
      </w:pPr>
    </w:p>
    <w:p>
      <w:pPr>
        <w:ind w:left="5680"/>
        <w:spacing w:after="0"/>
        <w:tabs>
          <w:tab w:leader="none" w:pos="6160" w:val="left"/>
        </w:tabs>
        <w:rPr>
          <w:sz w:val="20"/>
          <w:szCs w:val="20"/>
          <w:color w:val="auto"/>
        </w:rPr>
      </w:pPr>
      <w:r>
        <w:rPr>
          <w:rFonts w:ascii="Arial" w:cs="Arial" w:eastAsia="Arial" w:hAnsi="Arial"/>
          <w:sz w:val="18"/>
          <w:szCs w:val="18"/>
          <w:color w:val="auto"/>
        </w:rPr>
        <w:t>By:</w:t>
        <w:tab/>
        <w:t>/s/ 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26244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Katrine S. Bosley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has been signed by the following persons in the capacities held on the dates indicated.</w:t>
      </w:r>
    </w:p>
    <w:p>
      <w:pPr>
        <w:spacing w:after="0" w:line="180" w:lineRule="exact"/>
        <w:rPr>
          <w:sz w:val="20"/>
          <w:szCs w:val="20"/>
          <w:color w:val="auto"/>
        </w:rPr>
      </w:pPr>
    </w:p>
    <w:p>
      <w:pPr>
        <w:ind w:left="2740"/>
        <w:spacing w:after="0"/>
        <w:tabs>
          <w:tab w:leader="none" w:pos="6700" w:val="left"/>
          <w:tab w:leader="none" w:pos="93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5044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KATRINE S. BOSLEY</w:t>
      </w:r>
    </w:p>
    <w:p>
      <w:pPr>
        <w:spacing w:after="0" w:line="225"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ANDREW A. F. HACK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5044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6"/>
          <w:szCs w:val="16"/>
          <w:color w:val="auto"/>
        </w:rPr>
        <w:t>ANDREW A. F. HACK, M.D., Ph.D.</w:t>
      </w:r>
    </w:p>
    <w:p>
      <w:pPr>
        <w:spacing w:after="0" w:line="24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5044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KEVIN BITTERMAN, Ph.D.</w:t>
      </w:r>
    </w:p>
    <w:p>
      <w:pPr>
        <w:spacing w:after="0" w:line="225"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5044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ALEXIS BORISY</w:t>
      </w:r>
    </w:p>
    <w:p>
      <w:pPr>
        <w:spacing w:after="0" w:line="225"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5044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DOUGLAS G. COLE, M.D.</w:t>
      </w:r>
    </w:p>
    <w:p>
      <w:pPr>
        <w:spacing w:after="0" w:line="225"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JOHN D. MENDLEIN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50444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JOHN D. MENDLEIN, Ph.D.</w:t>
      </w:r>
    </w:p>
    <w:p>
      <w:pPr>
        <w:spacing w:after="0" w:line="225"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5044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8"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BORIS NIKOLIC, M.D.</w:t>
      </w:r>
    </w:p>
    <w:p>
      <w:pPr>
        <w:spacing w:after="0" w:line="252"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85725</wp:posOffset>
            </wp:positionV>
            <wp:extent cx="210121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1"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Katrine S. Bosley</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President and Chief Executive Officer,</w:t>
      </w:r>
      <w:r>
        <w:rPr>
          <w:sz w:val="20"/>
          <w:szCs w:val="20"/>
          <w:color w:val="auto"/>
        </w:rPr>
        <w:tab/>
      </w:r>
      <w:r>
        <w:rPr>
          <w:rFonts w:ascii="Arial" w:cs="Arial" w:eastAsia="Arial" w:hAnsi="Arial"/>
          <w:sz w:val="15"/>
          <w:szCs w:val="15"/>
          <w:color w:val="auto"/>
        </w:rPr>
        <w:t>January 25,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(principal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Chief Financial Officer (principal financial</w:t>
      </w:r>
      <w:r>
        <w:rPr>
          <w:sz w:val="20"/>
          <w:szCs w:val="20"/>
          <w:color w:val="auto"/>
        </w:rPr>
        <w:tab/>
      </w:r>
      <w:r>
        <w:rPr>
          <w:rFonts w:ascii="Arial" w:cs="Arial" w:eastAsia="Arial" w:hAnsi="Arial"/>
          <w:sz w:val="15"/>
          <w:szCs w:val="15"/>
          <w:color w:val="auto"/>
        </w:rPr>
        <w:t>January 25,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08" w:lineRule="exact"/>
        <w:rPr>
          <w:sz w:val="20"/>
          <w:szCs w:val="20"/>
          <w:color w:val="auto"/>
        </w:rPr>
      </w:pPr>
    </w:p>
    <w:p>
      <w:pPr>
        <w:spacing w:after="0"/>
        <w:tabs>
          <w:tab w:leader="none" w:pos="36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25, 2016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36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25, 2016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36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25, 2016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36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25, 2016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36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25,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540" w:space="720"/>
            <w:col w:w="6160"/>
          </w:cols>
          <w:pgMar w:left="240" w:top="131" w:right="239" w:bottom="1440" w:gutter="0" w:footer="0" w:header="0"/>
          <w:type w:val="continuous"/>
        </w:sectPr>
      </w:pPr>
    </w:p>
    <w:bookmarkStart w:id="274" w:name="page275"/>
    <w:bookmarkEnd w:id="2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140" w:type="dxa"/>
            <w:vAlign w:val="bottom"/>
            <w:gridSpan w:val="3"/>
          </w:tcPr>
          <w:p>
            <w:pPr>
              <w:ind w:left="2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4"/>
        </w:trPr>
        <w:tc>
          <w:tcPr>
            <w:tcW w:w="140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Exhibit</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Number</w:t>
            </w:r>
          </w:p>
        </w:tc>
        <w:tc>
          <w:tcPr>
            <w:tcW w:w="3380" w:type="dxa"/>
            <w:vAlign w:val="bottom"/>
            <w:vMerge w:val="restart"/>
          </w:tcPr>
          <w:p>
            <w:pPr>
              <w:ind w:left="160"/>
              <w:spacing w:after="0"/>
              <w:rPr>
                <w:sz w:val="20"/>
                <w:szCs w:val="20"/>
                <w:color w:val="auto"/>
              </w:rPr>
            </w:pPr>
            <w:r>
              <w:rPr>
                <w:rFonts w:ascii="Arial" w:cs="Arial" w:eastAsia="Arial" w:hAnsi="Arial"/>
                <w:sz w:val="18"/>
                <w:szCs w:val="18"/>
                <w:color w:val="auto"/>
              </w:rPr>
              <w:t>Underwriting Agreement</w:t>
            </w:r>
          </w:p>
        </w:tc>
        <w:tc>
          <w:tcPr>
            <w:tcW w:w="5760" w:type="dxa"/>
            <w:vAlign w:val="bottom"/>
            <w:gridSpan w:val="2"/>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3.1+</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Restated Certificate of Incorporation of the Registrant</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By-laws of the Registrant</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Form of Certificate of Incorporation of the Registrant (to be effective upon the closing of this offering)</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c>
          <w:tcPr>
            <w:tcW w:w="0" w:type="dxa"/>
            <w:vAlign w:val="bottom"/>
          </w:tcPr>
          <w:p>
            <w:pPr>
              <w:spacing w:after="0"/>
              <w:rPr>
                <w:sz w:val="1"/>
                <w:szCs w:val="1"/>
                <w:color w:val="auto"/>
              </w:rPr>
            </w:pPr>
          </w:p>
        </w:tc>
      </w:tr>
      <w:tr>
        <w:trPr>
          <w:trHeight w:val="432"/>
        </w:trPr>
        <w:tc>
          <w:tcPr>
            <w:tcW w:w="20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Certificate of Amendment to Restated Certificate of Incorporation of the Registrant</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Specimen Stock Certificate evidencing the shares of common stock</w:t>
            </w:r>
          </w:p>
        </w:tc>
        <w:tc>
          <w:tcPr>
            <w:tcW w:w="0" w:type="dxa"/>
            <w:vAlign w:val="bottom"/>
          </w:tcPr>
          <w:p>
            <w:pPr>
              <w:spacing w:after="0"/>
              <w:rPr>
                <w:sz w:val="1"/>
                <w:szCs w:val="1"/>
                <w:color w:val="auto"/>
              </w:rPr>
            </w:pPr>
          </w:p>
        </w:tc>
      </w:tr>
      <w:tr>
        <w:trPr>
          <w:trHeight w:val="432"/>
        </w:trPr>
        <w:tc>
          <w:tcPr>
            <w:tcW w:w="20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Opinion of Wilmer Cutler Pickering Hale and Dorr LLP</w:t>
            </w:r>
          </w:p>
        </w:tc>
        <w:tc>
          <w:tcPr>
            <w:tcW w:w="0" w:type="dxa"/>
            <w:vAlign w:val="bottom"/>
          </w:tcPr>
          <w:p>
            <w:pPr>
              <w:spacing w:after="0"/>
              <w:rPr>
                <w:sz w:val="1"/>
                <w:szCs w:val="1"/>
                <w:color w:val="auto"/>
              </w:rPr>
            </w:pPr>
          </w:p>
        </w:tc>
      </w:tr>
      <w:tr>
        <w:trPr>
          <w:trHeight w:val="426"/>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Amended and Restated Investors' Rights Agreement, dated August 4, 2015, among the Registrant and the other</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parties thereto</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10.2+</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Warrant to purchase shares of Series A-1 Preferred Stock issued by the registrant to Silicon Valley Bank</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10.3+</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Loan and Security Agreement, dated May 29, 2014, between the Registrant and Silicon Valley Bank</w:t>
            </w:r>
          </w:p>
        </w:tc>
        <w:tc>
          <w:tcPr>
            <w:tcW w:w="0" w:type="dxa"/>
            <w:vAlign w:val="bottom"/>
          </w:tcPr>
          <w:p>
            <w:pPr>
              <w:spacing w:after="0"/>
              <w:rPr>
                <w:sz w:val="1"/>
                <w:szCs w:val="1"/>
                <w:color w:val="auto"/>
              </w:rPr>
            </w:pPr>
          </w:p>
        </w:tc>
      </w:tr>
      <w:tr>
        <w:trPr>
          <w:trHeight w:val="426"/>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10.4+</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First Amendment to Loan and Security Agreement, dated July 27, 2015, by and between the Registrant and</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Silicon Valley Bank</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10.5+</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2013 Stock Incentive Plan, as amended</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10.6+</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Form of Incentive Stock Option Agreement under 2013 Stock Incentive Plan, as amended</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10.7+</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Form of Nonstatutory Stock Option Agreement under 2013 Stock Incentive Plan, as amended</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10.8+</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Form of Early Exercise Nonstatutory Stock Option Agreement under 2013 Stock Incentive Plan, as amended</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10.9+</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under 2013 Stock Incentive Plan, as amended</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10.10+</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2015 Stock Incentive Plan</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10.11+</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Form of Incentive Stock Option Agreement under 2015 Stock Incentive Plan</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10.12+</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Form of Nonstatutory Stock Option Agreement under 2015 Stock Incentive Plan</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10.13+</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Employment Offer Letter, dated June 12, 2014, between the Registrant and Katrine S. Bosley</w:t>
            </w:r>
          </w:p>
        </w:tc>
        <w:tc>
          <w:tcPr>
            <w:tcW w:w="0" w:type="dxa"/>
            <w:vAlign w:val="bottom"/>
          </w:tcPr>
          <w:p>
            <w:pPr>
              <w:spacing w:after="0"/>
              <w:rPr>
                <w:sz w:val="1"/>
                <w:szCs w:val="1"/>
                <w:color w:val="auto"/>
              </w:rPr>
            </w:pPr>
          </w:p>
        </w:tc>
      </w:tr>
      <w:tr>
        <w:trPr>
          <w:trHeight w:val="426"/>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10.14+</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Amended and Restated Offer of Employment, dated April 8, 2015, between the Registrant and Alexandra</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Glucksmann, Ph.D.</w:t>
            </w:r>
          </w:p>
        </w:tc>
        <w:tc>
          <w:tcPr>
            <w:tcW w:w="0" w:type="dxa"/>
            <w:vAlign w:val="bottom"/>
          </w:tcPr>
          <w:p>
            <w:pPr>
              <w:spacing w:after="0"/>
              <w:rPr>
                <w:sz w:val="1"/>
                <w:szCs w:val="1"/>
                <w:color w:val="auto"/>
              </w:rPr>
            </w:pPr>
          </w:p>
        </w:tc>
      </w:tr>
      <w:tr>
        <w:trPr>
          <w:trHeight w:val="432"/>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10.15+</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Employment Offer Letter, dated June 8, 2015, between the Registrant and Andrew A. F. Hack, M.D., Ph.D.</w:t>
            </w:r>
          </w:p>
        </w:tc>
        <w:tc>
          <w:tcPr>
            <w:tcW w:w="0" w:type="dxa"/>
            <w:vAlign w:val="bottom"/>
          </w:tcPr>
          <w:p>
            <w:pPr>
              <w:spacing w:after="0"/>
              <w:rPr>
                <w:sz w:val="1"/>
                <w:szCs w:val="1"/>
                <w:color w:val="auto"/>
              </w:rPr>
            </w:pPr>
          </w:p>
        </w:tc>
      </w:tr>
      <w:tr>
        <w:trPr>
          <w:trHeight w:val="426"/>
        </w:trPr>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10.16+</w:t>
            </w: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Form of Director Indemnification Agreement between the Registrant and each of Kevin Bitterman, Ph.D.,</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140" w:type="dxa"/>
            <w:vAlign w:val="bottom"/>
            <w:gridSpan w:val="3"/>
          </w:tcPr>
          <w:p>
            <w:pPr>
              <w:ind w:left="160"/>
              <w:spacing w:after="0"/>
              <w:rPr>
                <w:sz w:val="20"/>
                <w:szCs w:val="20"/>
                <w:color w:val="auto"/>
              </w:rPr>
            </w:pPr>
            <w:r>
              <w:rPr>
                <w:rFonts w:ascii="Arial" w:cs="Arial" w:eastAsia="Arial" w:hAnsi="Arial"/>
                <w:sz w:val="18"/>
                <w:szCs w:val="18"/>
                <w:color w:val="auto"/>
              </w:rPr>
              <w:t>Alexis Borisy, Douglas G. Cole, M.D., and Boris Nikolic, M.D.</w:t>
            </w:r>
          </w:p>
        </w:tc>
        <w:tc>
          <w:tcPr>
            <w:tcW w:w="0" w:type="dxa"/>
            <w:vAlign w:val="bottom"/>
          </w:tcPr>
          <w:p>
            <w:pPr>
              <w:spacing w:after="0"/>
              <w:rPr>
                <w:sz w:val="1"/>
                <w:szCs w:val="1"/>
                <w:color w:val="auto"/>
              </w:rPr>
            </w:pPr>
          </w:p>
        </w:tc>
      </w:tr>
      <w:tr>
        <w:trPr>
          <w:trHeight w:val="336"/>
        </w:trPr>
        <w:tc>
          <w:tcPr>
            <w:tcW w:w="14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5" w:name="page276"/>
    <w:bookmarkEnd w:id="2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Exhibit</w:t>
            </w:r>
          </w:p>
        </w:tc>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61"/>
        </w:trPr>
        <w:tc>
          <w:tcPr>
            <w:tcW w:w="24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280" w:type="dxa"/>
            <w:vAlign w:val="bottom"/>
            <w:gridSpan w:val="2"/>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1"/>
              </w:rPr>
              <w:t>Description of Exhibit</w:t>
            </w:r>
          </w:p>
        </w:tc>
        <w:tc>
          <w:tcPr>
            <w:tcW w:w="3220" w:type="dxa"/>
            <w:vAlign w:val="bottom"/>
          </w:tcPr>
          <w:p>
            <w:pPr>
              <w:spacing w:after="0"/>
              <w:rPr>
                <w:sz w:val="14"/>
                <w:szCs w:val="14"/>
                <w:color w:val="auto"/>
              </w:rPr>
            </w:pPr>
          </w:p>
        </w:tc>
      </w:tr>
      <w:tr>
        <w:trPr>
          <w:trHeight w:val="216"/>
        </w:trPr>
        <w:tc>
          <w:tcPr>
            <w:tcW w:w="24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7"/>
              </w:rPr>
              <w:t>10.17+</w:t>
            </w:r>
          </w:p>
        </w:tc>
        <w:tc>
          <w:tcPr>
            <w:tcW w:w="12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w w:val="86"/>
              </w:rPr>
              <w:t>Sublease, dated December 31, 2013, between</w:t>
            </w:r>
          </w:p>
        </w:tc>
        <w:tc>
          <w:tcPr>
            <w:tcW w:w="1400" w:type="dxa"/>
            <w:vAlign w:val="bottom"/>
          </w:tcPr>
          <w:p>
            <w:pPr>
              <w:spacing w:after="0"/>
              <w:rPr>
                <w:sz w:val="20"/>
                <w:szCs w:val="20"/>
                <w:color w:val="auto"/>
              </w:rPr>
            </w:pPr>
            <w:r>
              <w:rPr>
                <w:rFonts w:ascii="Arial" w:cs="Arial" w:eastAsia="Arial" w:hAnsi="Arial"/>
                <w:sz w:val="18"/>
                <w:szCs w:val="18"/>
                <w:color w:val="auto"/>
                <w:w w:val="93"/>
              </w:rPr>
              <w:t>the Registrant and</w:t>
            </w:r>
          </w:p>
        </w:tc>
        <w:tc>
          <w:tcPr>
            <w:tcW w:w="3220" w:type="dxa"/>
            <w:vAlign w:val="bottom"/>
          </w:tcPr>
          <w:p>
            <w:pPr>
              <w:spacing w:after="0"/>
              <w:rPr>
                <w:sz w:val="20"/>
                <w:szCs w:val="20"/>
                <w:color w:val="auto"/>
              </w:rPr>
            </w:pPr>
            <w:r>
              <w:rPr>
                <w:rFonts w:ascii="Arial" w:cs="Arial" w:eastAsia="Arial" w:hAnsi="Arial"/>
                <w:sz w:val="18"/>
                <w:szCs w:val="18"/>
                <w:color w:val="auto"/>
              </w:rPr>
              <w:t>Alnylam Pharmaceuticals, Inc.</w:t>
            </w:r>
          </w:p>
        </w:tc>
      </w:tr>
      <w:tr>
        <w:trPr>
          <w:trHeight w:val="417"/>
        </w:trPr>
        <w:tc>
          <w:tcPr>
            <w:tcW w:w="240" w:type="dxa"/>
            <w:vAlign w:val="bottom"/>
          </w:tcPr>
          <w:p>
            <w:pPr>
              <w:spacing w:after="0"/>
              <w:rPr>
                <w:sz w:val="24"/>
                <w:szCs w:val="24"/>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7"/>
              </w:rPr>
              <w:t>10.18+</w:t>
            </w: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w w:val="91"/>
              </w:rPr>
              <w:t>Consent to Sublease, dated December 31, 2013, among the Registrant, Alnylam Pharmaceuticals, Inc. and</w:t>
            </w:r>
          </w:p>
        </w:tc>
      </w:tr>
      <w:tr>
        <w:trPr>
          <w:trHeight w:val="222"/>
        </w:trPr>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ARE-MA Region No. 28, LLC</w:t>
            </w:r>
          </w:p>
        </w:tc>
      </w:tr>
      <w:tr>
        <w:trPr>
          <w:trHeight w:val="426"/>
        </w:trPr>
        <w:tc>
          <w:tcPr>
            <w:tcW w:w="240" w:type="dxa"/>
            <w:vAlign w:val="bottom"/>
          </w:tcPr>
          <w:p>
            <w:pPr>
              <w:spacing w:after="0"/>
              <w:rPr>
                <w:sz w:val="24"/>
                <w:szCs w:val="24"/>
                <w:color w:val="auto"/>
              </w:rPr>
            </w:pP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10.19†+</w:t>
            </w: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w w:val="91"/>
              </w:rPr>
              <w:t>License Agreement, dated August 29, 2014, between the Registrant and The General Hospital Corporation,</w:t>
            </w:r>
          </w:p>
        </w:tc>
      </w:tr>
      <w:tr>
        <w:trPr>
          <w:trHeight w:val="222"/>
        </w:trPr>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d/b/a Massachusetts General Hospital</w:t>
            </w:r>
          </w:p>
        </w:tc>
      </w:tr>
      <w:tr>
        <w:trPr>
          <w:trHeight w:val="432"/>
        </w:trPr>
        <w:tc>
          <w:tcPr>
            <w:tcW w:w="240" w:type="dxa"/>
            <w:vAlign w:val="bottom"/>
          </w:tcPr>
          <w:p>
            <w:pPr>
              <w:spacing w:after="0"/>
              <w:rPr>
                <w:sz w:val="24"/>
                <w:szCs w:val="24"/>
                <w:color w:val="auto"/>
              </w:rPr>
            </w:pP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10.20†+</w:t>
            </w: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License Agreement, dated October 10, 2014, between the Registrant and Duke University</w:t>
            </w:r>
          </w:p>
        </w:tc>
      </w:tr>
      <w:tr>
        <w:trPr>
          <w:trHeight w:val="432"/>
        </w:trPr>
        <w:tc>
          <w:tcPr>
            <w:tcW w:w="240" w:type="dxa"/>
            <w:vAlign w:val="bottom"/>
          </w:tcPr>
          <w:p>
            <w:pPr>
              <w:spacing w:after="0"/>
              <w:rPr>
                <w:sz w:val="24"/>
                <w:szCs w:val="24"/>
                <w:color w:val="auto"/>
              </w:rPr>
            </w:pP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10.21†+</w:t>
            </w: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Letter Agreement, dated October 9, 2015, between the Registrant and Duke University</w:t>
            </w:r>
          </w:p>
        </w:tc>
      </w:tr>
      <w:tr>
        <w:trPr>
          <w:trHeight w:val="426"/>
        </w:trPr>
        <w:tc>
          <w:tcPr>
            <w:tcW w:w="240" w:type="dxa"/>
            <w:vAlign w:val="bottom"/>
          </w:tcPr>
          <w:p>
            <w:pPr>
              <w:spacing w:after="0"/>
              <w:rPr>
                <w:sz w:val="24"/>
                <w:szCs w:val="24"/>
                <w:color w:val="auto"/>
              </w:rPr>
            </w:pP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10.22†</w:t>
            </w: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w w:val="92"/>
              </w:rPr>
              <w:t>License Agreement, dated October 29, 2014, among the Registrant, the President and Fellows of Harvard</w:t>
            </w:r>
          </w:p>
        </w:tc>
      </w:tr>
      <w:tr>
        <w:trPr>
          <w:trHeight w:val="222"/>
        </w:trPr>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College, and the Broad Institute, Inc.</w:t>
            </w:r>
          </w:p>
        </w:tc>
      </w:tr>
      <w:tr>
        <w:trPr>
          <w:trHeight w:val="432"/>
        </w:trPr>
        <w:tc>
          <w:tcPr>
            <w:tcW w:w="240" w:type="dxa"/>
            <w:vAlign w:val="bottom"/>
          </w:tcPr>
          <w:p>
            <w:pPr>
              <w:spacing w:after="0"/>
              <w:rPr>
                <w:sz w:val="24"/>
                <w:szCs w:val="24"/>
                <w:color w:val="auto"/>
              </w:rPr>
            </w:pP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10.23†+</w:t>
            </w: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w w:val="87"/>
              </w:rPr>
              <w:t>License and Collaboration Agreement, dated May 26, 2015, between the Registrant and Juno Therapeutics, Inc.</w:t>
            </w:r>
          </w:p>
        </w:tc>
      </w:tr>
      <w:tr>
        <w:trPr>
          <w:trHeight w:val="432"/>
        </w:trPr>
        <w:tc>
          <w:tcPr>
            <w:tcW w:w="240" w:type="dxa"/>
            <w:vAlign w:val="bottom"/>
          </w:tcPr>
          <w:p>
            <w:pPr>
              <w:spacing w:after="0"/>
              <w:rPr>
                <w:sz w:val="24"/>
                <w:szCs w:val="24"/>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7"/>
              </w:rPr>
              <w:t>10.24+</w:t>
            </w: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Summary of Director Compensation Program</w:t>
            </w:r>
          </w:p>
        </w:tc>
      </w:tr>
      <w:tr>
        <w:trPr>
          <w:trHeight w:val="432"/>
        </w:trPr>
        <w:tc>
          <w:tcPr>
            <w:tcW w:w="240" w:type="dxa"/>
            <w:vAlign w:val="bottom"/>
          </w:tcPr>
          <w:p>
            <w:pPr>
              <w:spacing w:after="0"/>
              <w:rPr>
                <w:sz w:val="24"/>
                <w:szCs w:val="24"/>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7"/>
              </w:rPr>
              <w:t>10.25+</w:t>
            </w: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2015 Employee Stock Purchase Plan</w:t>
            </w:r>
          </w:p>
        </w:tc>
      </w:tr>
      <w:tr>
        <w:trPr>
          <w:trHeight w:val="426"/>
        </w:trPr>
        <w:tc>
          <w:tcPr>
            <w:tcW w:w="240" w:type="dxa"/>
            <w:vAlign w:val="bottom"/>
          </w:tcPr>
          <w:p>
            <w:pPr>
              <w:spacing w:after="0"/>
              <w:rPr>
                <w:sz w:val="24"/>
                <w:szCs w:val="24"/>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7"/>
              </w:rPr>
              <w:t>10.26+</w:t>
            </w: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w w:val="88"/>
              </w:rPr>
              <w:t>Real Estate License Agreement, dated November 25, 2015, between the Registrant and Mass Innovation Labs,</w:t>
            </w:r>
          </w:p>
        </w:tc>
      </w:tr>
      <w:tr>
        <w:trPr>
          <w:trHeight w:val="222"/>
        </w:trPr>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LLC</w:t>
            </w:r>
          </w:p>
        </w:tc>
      </w:tr>
      <w:tr>
        <w:trPr>
          <w:trHeight w:val="432"/>
        </w:trPr>
        <w:tc>
          <w:tcPr>
            <w:tcW w:w="240" w:type="dxa"/>
            <w:vAlign w:val="bottom"/>
          </w:tcPr>
          <w:p>
            <w:pPr>
              <w:spacing w:after="0"/>
              <w:rPr>
                <w:sz w:val="24"/>
                <w:szCs w:val="24"/>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7"/>
              </w:rPr>
              <w:t>10.27+</w:t>
            </w: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Severance Benefits Plan</w:t>
            </w:r>
          </w:p>
        </w:tc>
      </w:tr>
      <w:tr>
        <w:trPr>
          <w:trHeight w:val="432"/>
        </w:trPr>
        <w:tc>
          <w:tcPr>
            <w:tcW w:w="240" w:type="dxa"/>
            <w:vAlign w:val="bottom"/>
          </w:tcPr>
          <w:p>
            <w:pPr>
              <w:spacing w:after="0"/>
              <w:rPr>
                <w:sz w:val="24"/>
                <w:szCs w:val="24"/>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w w:val="97"/>
              </w:rPr>
              <w:t>10.28+</w:t>
            </w: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w w:val="92"/>
              </w:rPr>
              <w:t>Form of Indemnification Agreement between the Registrant and each of its directors and executive officers</w:t>
            </w:r>
          </w:p>
        </w:tc>
      </w:tr>
      <w:tr>
        <w:trPr>
          <w:trHeight w:val="432"/>
        </w:trPr>
        <w:tc>
          <w:tcPr>
            <w:tcW w:w="240" w:type="dxa"/>
            <w:vAlign w:val="bottom"/>
          </w:tcPr>
          <w:p>
            <w:pPr>
              <w:spacing w:after="0"/>
              <w:rPr>
                <w:sz w:val="24"/>
                <w:szCs w:val="24"/>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24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w w:val="85"/>
              </w:rPr>
              <w:t>23.1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Consent of Ernst &amp; Young LLP, independent registered accounting firm</w:t>
            </w:r>
          </w:p>
        </w:tc>
      </w:tr>
      <w:tr>
        <w:trPr>
          <w:trHeight w:val="432"/>
        </w:trPr>
        <w:tc>
          <w:tcPr>
            <w:tcW w:w="24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w w:val="85"/>
              </w:rPr>
              <w:t>23.2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432"/>
        </w:trPr>
        <w:tc>
          <w:tcPr>
            <w:tcW w:w="240" w:type="dxa"/>
            <w:vAlign w:val="bottom"/>
          </w:tcPr>
          <w:p>
            <w:pPr>
              <w:spacing w:after="0"/>
              <w:rPr>
                <w:sz w:val="24"/>
                <w:szCs w:val="24"/>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7960" w:type="dxa"/>
            <w:vAlign w:val="bottom"/>
            <w:gridSpan w:val="3"/>
          </w:tcPr>
          <w:p>
            <w:pPr>
              <w:ind w:left="120"/>
              <w:spacing w:after="0"/>
              <w:rPr>
                <w:sz w:val="20"/>
                <w:szCs w:val="20"/>
                <w:color w:val="auto"/>
              </w:rPr>
            </w:pPr>
            <w:r>
              <w:rPr>
                <w:rFonts w:ascii="Arial" w:cs="Arial" w:eastAsia="Arial" w:hAnsi="Arial"/>
                <w:sz w:val="18"/>
                <w:szCs w:val="18"/>
                <w:color w:val="auto"/>
              </w:rPr>
              <w:t>Power of Attorney (included on signature page)</w:t>
            </w:r>
          </w:p>
        </w:tc>
      </w:tr>
      <w:tr>
        <w:trPr>
          <w:trHeight w:val="110"/>
        </w:trPr>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2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54" w:lineRule="auto"/>
        <w:tabs>
          <w:tab w:leader="none" w:pos="1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21" w:lineRule="exact"/>
        <w:rPr>
          <w:sz w:val="20"/>
          <w:szCs w:val="20"/>
          <w:color w:val="auto"/>
        </w:rPr>
      </w:pPr>
    </w:p>
    <w:p>
      <w:pPr>
        <w:ind w:left="1680" w:hanging="531"/>
        <w:spacing w:after="0"/>
        <w:tabs>
          <w:tab w:leader="none" w:pos="16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276" w:name="page277"/>
    <w:bookmarkEnd w:id="2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5740" w:hanging="682"/>
        <w:spacing w:after="0"/>
        <w:tabs>
          <w:tab w:leader="none" w:pos="57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Shares</w:t>
      </w:r>
    </w:p>
    <w:p>
      <w:pPr>
        <w:spacing w:after="0" w:line="225" w:lineRule="exact"/>
        <w:rPr>
          <w:rFonts w:ascii="Arial" w:cs="Arial" w:eastAsia="Arial" w:hAnsi="Arial"/>
          <w:sz w:val="18"/>
          <w:szCs w:val="18"/>
          <w:b w:val="1"/>
          <w:bCs w:val="1"/>
          <w:color w:val="auto"/>
        </w:rPr>
      </w:pPr>
    </w:p>
    <w:p>
      <w:pPr>
        <w:ind w:left="4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EDITAS MEDICINE,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560" w:hanging="552"/>
        <w:spacing w:after="0"/>
        <w:tabs>
          <w:tab w:leader="none" w:pos="5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360" w:type="dxa"/>
        <w:tblCellMar>
          <w:top w:w="0" w:type="dxa"/>
          <w:left w:w="0" w:type="dxa"/>
          <w:bottom w:w="0" w:type="dxa"/>
          <w:right w:w="0" w:type="dxa"/>
        </w:tblCellMar>
      </w:tblPr>
      <w:tr>
        <w:trPr>
          <w:trHeight w:val="230"/>
        </w:trPr>
        <w:tc>
          <w:tcPr>
            <w:tcW w:w="300" w:type="dxa"/>
            <w:vAlign w:val="bottom"/>
          </w:tcPr>
          <w:p>
            <w:pPr>
              <w:jc w:val="right"/>
              <w:ind w:right="150"/>
              <w:spacing w:after="0"/>
              <w:rPr>
                <w:sz w:val="20"/>
                <w:szCs w:val="20"/>
                <w:color w:val="auto"/>
              </w:rPr>
            </w:pPr>
            <w:r>
              <w:rPr>
                <w:rFonts w:ascii="Arial" w:cs="Arial" w:eastAsia="Arial" w:hAnsi="Arial"/>
                <w:sz w:val="18"/>
                <w:szCs w:val="18"/>
                <w:color w:val="auto"/>
                <w:w w:val="78"/>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Editas Medicine,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 Schedule I hereto</w:t>
      </w:r>
    </w:p>
    <w:p>
      <w:pPr>
        <w:spacing w:after="0" w:line="50" w:lineRule="exact"/>
        <w:rPr>
          <w:sz w:val="20"/>
          <w:szCs w:val="20"/>
          <w:color w:val="auto"/>
        </w:rPr>
      </w:pPr>
    </w:p>
    <w:p>
      <w:pPr>
        <w:spacing w:after="0"/>
        <w:tabs>
          <w:tab w:leader="none" w:pos="8360" w:val="left"/>
        </w:tabs>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you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an aggregate of [</w:t>
      </w:r>
      <w:r>
        <w:rPr>
          <w:sz w:val="20"/>
          <w:szCs w:val="20"/>
          <w:color w:val="auto"/>
        </w:rPr>
        <w:tab/>
      </w:r>
      <w:r>
        <w:rPr>
          <w:rFonts w:ascii="Arial" w:cs="Arial" w:eastAsia="Arial" w:hAnsi="Arial"/>
          <w:sz w:val="16"/>
          <w:szCs w:val="16"/>
          <w:color w:val="auto"/>
        </w:rPr>
        <w:t>] shares of its common stock, par value</w:t>
      </w:r>
    </w:p>
    <w:p>
      <w:pPr>
        <w:spacing w:after="0" w:line="9" w:lineRule="exact"/>
        <w:rPr>
          <w:sz w:val="20"/>
          <w:szCs w:val="20"/>
          <w:color w:val="auto"/>
        </w:rPr>
      </w:pPr>
    </w:p>
    <w:p>
      <w:pPr>
        <w:spacing w:after="0"/>
        <w:tabs>
          <w:tab w:leader="none" w:pos="10800" w:val="left"/>
        </w:tabs>
        <w:rPr>
          <w:sz w:val="20"/>
          <w:szCs w:val="20"/>
          <w:color w:val="auto"/>
        </w:rPr>
      </w:pPr>
      <w:r>
        <w:rPr>
          <w:rFonts w:ascii="Arial" w:cs="Arial" w:eastAsia="Arial" w:hAnsi="Arial"/>
          <w:sz w:val="18"/>
          <w:szCs w:val="18"/>
          <w:color w:val="auto"/>
        </w:rPr>
        <w:t>$0.0001 per share (the “</w:t>
      </w:r>
      <w:r>
        <w:rPr>
          <w:rFonts w:ascii="Arial" w:cs="Arial" w:eastAsia="Arial" w:hAnsi="Arial"/>
          <w:sz w:val="18"/>
          <w:szCs w:val="18"/>
          <w:b w:val="1"/>
          <w:bCs w:val="1"/>
          <w:color w:val="auto"/>
        </w:rPr>
        <w:t>Firm Shares</w:t>
      </w:r>
      <w:r>
        <w:rPr>
          <w:rFonts w:ascii="Arial" w:cs="Arial" w:eastAsia="Arial" w:hAnsi="Arial"/>
          <w:sz w:val="18"/>
          <w:szCs w:val="18"/>
          <w:color w:val="auto"/>
        </w:rPr>
        <w:t>”). The Company also proposes to issue and sell to the several Underwriters not more than an additional [</w:t>
      </w:r>
      <w:r>
        <w:rPr>
          <w:sz w:val="20"/>
          <w:szCs w:val="20"/>
          <w:color w:val="auto"/>
        </w:rPr>
        <w:tab/>
      </w:r>
      <w:r>
        <w:rPr>
          <w:rFonts w:ascii="Arial" w:cs="Arial" w:eastAsia="Arial" w:hAnsi="Arial"/>
          <w:sz w:val="15"/>
          <w:szCs w:val="15"/>
          <w:color w:val="auto"/>
        </w:rPr>
        <w:t>] shares</w:t>
      </w:r>
    </w:p>
    <w:p>
      <w:pPr>
        <w:spacing w:after="0" w:line="9"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of its common stock, par value $0.0001 per share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 that the Representatives, as the managers of the offering,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 stock, par value $0.0001 per share, of the Company to be outstanding after giving effect to the sales contemplated hereby are hereinafter referred to as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(File No. 333-</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208856), including a prospectus, relating to the Shares. The registration statement as amended at the time it becomes effective, including the information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deemed to be part of the registration statement at the time of effectiveness pursuant to Rule 430A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made available to the Underwriters by the Company to meet requests of purchasers pursuant to Rule 173 under the Securities Act) is hereinafter 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as the “</w:t>
      </w:r>
      <w:r>
        <w:rPr>
          <w:rFonts w:ascii="Arial" w:cs="Arial" w:eastAsia="Arial" w:hAnsi="Arial"/>
          <w:sz w:val="17"/>
          <w:szCs w:val="17"/>
          <w:b w:val="1"/>
          <w:bCs w:val="1"/>
          <w:color w:val="auto"/>
        </w:rPr>
        <w:t>Prospectus</w:t>
      </w:r>
      <w:r>
        <w:rPr>
          <w:rFonts w:ascii="Arial" w:cs="Arial" w:eastAsia="Arial" w:hAnsi="Arial"/>
          <w:sz w:val="17"/>
          <w:szCs w:val="17"/>
          <w:color w:val="auto"/>
        </w:rPr>
        <w:t>.” If the Company has filed an abbreviated registration statement to register additional shares of Common Stock pursuant to</w:t>
      </w:r>
    </w:p>
    <w:p>
      <w:pPr>
        <w:spacing w:after="0" w:line="2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Rule 462(b) under the Securities Act (the “</w:t>
      </w:r>
      <w:r>
        <w:rPr>
          <w:rFonts w:ascii="Arial" w:cs="Arial" w:eastAsia="Arial" w:hAnsi="Arial"/>
          <w:sz w:val="18"/>
          <w:szCs w:val="18"/>
          <w:b w:val="1"/>
          <w:bCs w:val="1"/>
          <w:color w:val="auto"/>
        </w:rPr>
        <w:t>Rule 462 Registration Statement</w:t>
      </w:r>
      <w:r>
        <w:rPr>
          <w:rFonts w:ascii="Arial" w:cs="Arial" w:eastAsia="Arial" w:hAnsi="Arial"/>
          <w:sz w:val="18"/>
          <w:szCs w:val="18"/>
          <w:color w:val="auto"/>
        </w:rPr>
        <w:t>”), then any reference herein to the term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be deemed to include such Rule 462 Registration Statement.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free writing prospectus</w:t>
      </w:r>
      <w:r>
        <w:rPr>
          <w:rFonts w:ascii="Arial" w:cs="Arial" w:eastAsia="Arial" w:hAnsi="Arial"/>
          <w:sz w:val="18"/>
          <w:szCs w:val="18"/>
          <w:color w:val="auto"/>
        </w:rPr>
        <w:t>” has the meaning set forth in Rule 405 under the Securities Act, “</w:t>
      </w:r>
      <w:r>
        <w:rPr>
          <w:rFonts w:ascii="Arial" w:cs="Arial" w:eastAsia="Arial" w:hAnsi="Arial"/>
          <w:sz w:val="18"/>
          <w:szCs w:val="18"/>
          <w:b w:val="1"/>
          <w:bCs w:val="1"/>
          <w:color w:val="auto"/>
        </w:rPr>
        <w:t>Time of Sale</w:t>
      </w:r>
    </w:p>
    <w:p>
      <w:pPr>
        <w:spacing w:after="0" w:line="27"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b w:val="1"/>
          <w:bCs w:val="1"/>
          <w:color w:val="auto"/>
        </w:rPr>
        <w:t>Prospectus</w:t>
      </w:r>
      <w:r>
        <w:rPr>
          <w:rFonts w:ascii="Arial" w:cs="Arial" w:eastAsia="Arial" w:hAnsi="Arial"/>
          <w:sz w:val="18"/>
          <w:szCs w:val="18"/>
          <w:color w:val="auto"/>
        </w:rPr>
        <w:t>” means the preliminary prospectus dated [ ], 2016 together with the documents and pricing information set forth in Schedule II 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broadly available road show</w:t>
      </w:r>
      <w:r>
        <w:rPr>
          <w:rFonts w:ascii="Arial" w:cs="Arial" w:eastAsia="Arial" w:hAnsi="Arial"/>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90" w:lineRule="exact"/>
        <w:rPr>
          <w:sz w:val="20"/>
          <w:szCs w:val="20"/>
          <w:color w:val="auto"/>
        </w:rPr>
      </w:pPr>
    </w:p>
    <w:p>
      <w:pPr>
        <w:ind w:left="1380" w:hanging="724"/>
        <w:spacing w:after="0"/>
        <w:tabs>
          <w:tab w:leader="none" w:pos="1380"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pacing w:after="0" w:line="248" w:lineRule="exact"/>
        <w:rPr>
          <w:sz w:val="20"/>
          <w:szCs w:val="20"/>
          <w:color w:val="auto"/>
        </w:rPr>
      </w:pPr>
    </w:p>
    <w:p>
      <w:pPr>
        <w:ind w:right="100" w:firstLine="656"/>
        <w:spacing w:after="0" w:line="277" w:lineRule="auto"/>
        <w:tabs>
          <w:tab w:leader="none" w:pos="134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to the knowledge of the Company, threatened by the Commission.</w:t>
      </w:r>
    </w:p>
    <w:p>
      <w:pPr>
        <w:spacing w:after="0" w:line="170" w:lineRule="exact"/>
        <w:rPr>
          <w:rFonts w:ascii="Arial" w:cs="Arial" w:eastAsia="Arial" w:hAnsi="Arial"/>
          <w:sz w:val="18"/>
          <w:szCs w:val="18"/>
          <w:color w:val="auto"/>
        </w:rPr>
      </w:pPr>
    </w:p>
    <w:p>
      <w:pPr>
        <w:ind w:right="60" w:firstLine="656"/>
        <w:spacing w:after="0" w:line="291" w:lineRule="auto"/>
        <w:tabs>
          <w:tab w:leader="none" w:pos="135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w:t>
      </w:r>
    </w:p>
    <w:p>
      <w:pPr>
        <w:ind w:right="80" w:firstLine="8"/>
        <w:spacing w:after="0" w:line="281" w:lineRule="auto"/>
        <w:tabs>
          <w:tab w:leader="none" w:pos="26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w:t>
      </w:r>
    </w:p>
    <w:p>
      <w:pPr>
        <w:spacing w:after="0" w:line="3" w:lineRule="exact"/>
        <w:rPr>
          <w:rFonts w:ascii="Arial" w:cs="Arial" w:eastAsia="Arial" w:hAnsi="Arial"/>
          <w:sz w:val="16"/>
          <w:szCs w:val="16"/>
          <w:color w:val="auto"/>
        </w:rPr>
      </w:pPr>
    </w:p>
    <w:p>
      <w:pPr>
        <w:ind w:right="80" w:firstLine="8"/>
        <w:spacing w:after="0" w:line="292" w:lineRule="auto"/>
        <w:tabs>
          <w:tab w:leader="none" w:pos="30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as of its date and the Closing Date,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w:t>
      </w:r>
    </w:p>
    <w:p>
      <w:pPr>
        <w:sectPr>
          <w:pgSz w:w="11900" w:h="16838" w:orient="portrait"/>
          <w:cols w:equalWidth="0" w:num="1">
            <w:col w:w="11420"/>
          </w:cols>
          <w:pgMar w:left="240" w:top="365" w:right="239" w:bottom="0" w:gutter="0" w:footer="0" w:header="0"/>
        </w:sectPr>
      </w:pPr>
    </w:p>
    <w:bookmarkStart w:id="278" w:name="page279"/>
    <w:bookmarkEnd w:id="278"/>
    <w:p>
      <w:pPr>
        <w:ind w:right="260"/>
        <w:spacing w:after="0" w:line="277" w:lineRule="auto"/>
        <w:rPr>
          <w:sz w:val="20"/>
          <w:szCs w:val="20"/>
          <w:color w:val="auto"/>
        </w:rPr>
      </w:pPr>
      <w:r>
        <w:rPr>
          <w:rFonts w:ascii="Arial" w:cs="Arial" w:eastAsia="Arial" w:hAnsi="Arial"/>
          <w:sz w:val="18"/>
          <w:szCs w:val="18"/>
          <w:color w:val="auto"/>
        </w:rPr>
        <w:t>Statement, the Time of Sale Prospectus or the Prospectus based upon information relating to any Underwriter furnished to the Company in writing by such Underwriter through the Representatives expressly for use therein.</w:t>
      </w:r>
    </w:p>
    <w:p>
      <w:pPr>
        <w:spacing w:after="0" w:line="170" w:lineRule="exact"/>
        <w:rPr>
          <w:sz w:val="20"/>
          <w:szCs w:val="20"/>
          <w:color w:val="auto"/>
        </w:rPr>
      </w:pPr>
    </w:p>
    <w:p>
      <w:pPr>
        <w:ind w:right="320" w:firstLine="656"/>
        <w:spacing w:after="0" w:line="277" w:lineRule="auto"/>
        <w:tabs>
          <w:tab w:leader="none" w:pos="134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prior consent of the Representatives, prepare, use or refer to, any free writing prospectus.</w:t>
      </w:r>
    </w:p>
    <w:p>
      <w:pPr>
        <w:spacing w:after="0" w:line="165" w:lineRule="exact"/>
        <w:rPr>
          <w:sz w:val="20"/>
          <w:szCs w:val="20"/>
          <w:color w:val="auto"/>
        </w:rPr>
      </w:pPr>
    </w:p>
    <w:p>
      <w:pPr>
        <w:ind w:firstLine="656"/>
        <w:spacing w:after="0" w:line="257" w:lineRule="auto"/>
        <w:tabs>
          <w:tab w:leader="none" w:pos="135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8" w:lineRule="exact"/>
        <w:rPr>
          <w:rFonts w:ascii="Arial" w:cs="Arial" w:eastAsia="Arial" w:hAnsi="Arial"/>
          <w:sz w:val="18"/>
          <w:szCs w:val="18"/>
          <w:color w:val="auto"/>
        </w:rPr>
      </w:pPr>
    </w:p>
    <w:p>
      <w:pPr>
        <w:ind w:right="40" w:firstLine="656"/>
        <w:spacing w:after="0" w:line="255" w:lineRule="auto"/>
        <w:tabs>
          <w:tab w:leader="none" w:pos="134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subsidiary of 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capital stock of each subsidiary of the Company have been duly and validly authorized and issued, are fully paid and non-assessable and are owned directly by the Company, free and clear of all liens, encumbrances, equities or claims.</w:t>
      </w:r>
    </w:p>
    <w:p>
      <w:pPr>
        <w:spacing w:after="0" w:line="189" w:lineRule="exact"/>
        <w:rPr>
          <w:rFonts w:ascii="Arial" w:cs="Arial" w:eastAsia="Arial" w:hAnsi="Arial"/>
          <w:sz w:val="18"/>
          <w:szCs w:val="18"/>
          <w:color w:val="auto"/>
        </w:rPr>
      </w:pPr>
    </w:p>
    <w:p>
      <w:pPr>
        <w:ind w:left="1380" w:hanging="724"/>
        <w:spacing w:after="0"/>
        <w:tabs>
          <w:tab w:leader="none" w:pos="1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20" w:firstLine="656"/>
        <w:spacing w:after="0" w:line="277" w:lineRule="auto"/>
        <w:tabs>
          <w:tab w:leader="none" w:pos="135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in all material respects as to legal matters to the description thereof contained in the Time of Sale Prospectus.</w:t>
      </w:r>
    </w:p>
    <w:p>
      <w:pPr>
        <w:spacing w:after="0" w:line="170" w:lineRule="exact"/>
        <w:rPr>
          <w:rFonts w:ascii="Arial" w:cs="Arial" w:eastAsia="Arial" w:hAnsi="Arial"/>
          <w:sz w:val="18"/>
          <w:szCs w:val="18"/>
          <w:color w:val="auto"/>
        </w:rPr>
      </w:pPr>
    </w:p>
    <w:p>
      <w:pPr>
        <w:ind w:right="200" w:firstLine="656"/>
        <w:spacing w:after="0" w:line="277" w:lineRule="auto"/>
        <w:tabs>
          <w:tab w:leader="none" w:pos="135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170" w:lineRule="exact"/>
        <w:rPr>
          <w:rFonts w:ascii="Arial" w:cs="Arial" w:eastAsia="Arial" w:hAnsi="Arial"/>
          <w:sz w:val="18"/>
          <w:szCs w:val="18"/>
          <w:color w:val="auto"/>
        </w:rPr>
      </w:pPr>
    </w:p>
    <w:p>
      <w:pPr>
        <w:ind w:right="400" w:firstLine="656"/>
        <w:spacing w:after="0" w:line="277" w:lineRule="auto"/>
        <w:tabs>
          <w:tab w:leader="none" w:pos="135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in accordance with the terms of this Agreement, will be validly issued, fully paid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non-assessable, and the issuance of such Shares will not be subject to any preemptive or similar rights that have not been validly waived.</w:t>
      </w:r>
    </w:p>
    <w:p>
      <w:pPr>
        <w:spacing w:after="0" w:line="225" w:lineRule="exact"/>
        <w:rPr>
          <w:sz w:val="20"/>
          <w:szCs w:val="20"/>
          <w:color w:val="auto"/>
        </w:rPr>
      </w:pPr>
    </w:p>
    <w:p>
      <w:pPr>
        <w:ind w:firstLine="656"/>
        <w:spacing w:after="0" w:line="255" w:lineRule="auto"/>
        <w:tabs>
          <w:tab w:leader="none" w:pos="13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any provision of its own certificate of incorporation or by-laws, (ii) in default, and, to the knowledge of the Company, no event has occurred that, with notice or lapse of time or both, would constitute such a default, in the due performance or observance of any term, covenant or condition contained in any agreement or other instrument binding upon the Company or any of its subsidiaries, in either case to the extent that such default has had or would reasonably be expected to have a material adverse effect on the Company and its subsidiaries, taken as a whole, or (iii) in violation of any applicable law or statute or any judgment, order or decree of any governmental body, agency or court having jurisdiction over the Company or any subsidiary.</w:t>
      </w:r>
    </w:p>
    <w:p>
      <w:pPr>
        <w:spacing w:after="0" w:line="193" w:lineRule="exact"/>
        <w:rPr>
          <w:rFonts w:ascii="Arial" w:cs="Arial" w:eastAsia="Arial" w:hAnsi="Arial"/>
          <w:sz w:val="18"/>
          <w:szCs w:val="18"/>
          <w:color w:val="auto"/>
        </w:rPr>
      </w:pPr>
    </w:p>
    <w:p>
      <w:pPr>
        <w:ind w:right="80" w:firstLine="656"/>
        <w:spacing w:after="0" w:line="255" w:lineRule="auto"/>
        <w:tabs>
          <w:tab w:leader="none" w:pos="135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will not contravene any provision of the certificate of incorporation or by-laws of the Company or any agreement or other instrument binding upon the Company or any of its subsidiaries that is material to the Company and its subsidiaries, taken as a whole, or any applicable law or statute or any judgment, order or decree of any governmental body, agency or court having jurisdiction over the Company or any subsidiary, and no consent, approval, authorization or order of, or qualification with, any governmental body or agency is required for the performance by the Company of its obligations under this Agreement, except such as have already been obtained or made or as may be required by the securities or Blue Sky laws of the various states in connection with the offer and sale of the Shares.</w:t>
      </w:r>
    </w:p>
    <w:p>
      <w:pPr>
        <w:spacing w:after="0" w:line="189" w:lineRule="exact"/>
        <w:rPr>
          <w:rFonts w:ascii="Arial" w:cs="Arial" w:eastAsia="Arial" w:hAnsi="Arial"/>
          <w:sz w:val="18"/>
          <w:szCs w:val="18"/>
          <w:color w:val="auto"/>
        </w:rPr>
      </w:pPr>
    </w:p>
    <w:p>
      <w:pPr>
        <w:jc w:val="both"/>
        <w:ind w:right="60" w:firstLine="656"/>
        <w:spacing w:after="0" w:line="264" w:lineRule="auto"/>
        <w:tabs>
          <w:tab w:leader="none" w:pos="13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would reasonably be expected to result in a material adverse change, in the condition, financial or otherwise, or in the earnings, business or operations of the Company and its subsidiaries, taken as a whole, from that set forth in the Time of Sale Prospectus.</w:t>
      </w:r>
    </w:p>
    <w:p>
      <w:pPr>
        <w:spacing w:after="0" w:line="181" w:lineRule="exact"/>
        <w:rPr>
          <w:rFonts w:ascii="Arial" w:cs="Arial" w:eastAsia="Arial" w:hAnsi="Arial"/>
          <w:sz w:val="18"/>
          <w:szCs w:val="18"/>
          <w:color w:val="auto"/>
        </w:rPr>
      </w:pPr>
    </w:p>
    <w:p>
      <w:pPr>
        <w:ind w:firstLine="656"/>
        <w:spacing w:after="0" w:line="272" w:lineRule="auto"/>
        <w:tabs>
          <w:tab w:leader="none" w:pos="135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ectPr>
          <w:pgSz w:w="11900" w:h="16838" w:orient="portrait"/>
          <w:cols w:equalWidth="0" w:num="1">
            <w:col w:w="11400"/>
          </w:cols>
          <w:pgMar w:left="240" w:top="125" w:right="259" w:bottom="0" w:gutter="0" w:footer="0" w:header="0"/>
        </w:sectPr>
      </w:pPr>
    </w:p>
    <w:bookmarkStart w:id="279" w:name="page280"/>
    <w:bookmarkEnd w:id="279"/>
    <w:p>
      <w:pPr>
        <w:ind w:right="480" w:firstLine="656"/>
        <w:spacing w:after="0" w:line="277" w:lineRule="auto"/>
        <w:tabs>
          <w:tab w:leader="none" w:pos="135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Securities Act, complied when so filed in all material respects with the Securities Act and the applicable rules and regulations of the Commission thereunder.</w:t>
      </w:r>
    </w:p>
    <w:p>
      <w:pPr>
        <w:spacing w:after="0" w:line="170" w:lineRule="exact"/>
        <w:rPr>
          <w:sz w:val="20"/>
          <w:szCs w:val="20"/>
          <w:color w:val="auto"/>
        </w:rPr>
      </w:pPr>
    </w:p>
    <w:p>
      <w:pPr>
        <w:jc w:val="both"/>
        <w:ind w:right="180" w:firstLine="656"/>
        <w:spacing w:after="0" w:line="342" w:lineRule="auto"/>
        <w:tabs>
          <w:tab w:leader="none" w:pos="135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23" w:lineRule="exact"/>
        <w:rPr>
          <w:rFonts w:ascii="Arial" w:cs="Arial" w:eastAsia="Arial" w:hAnsi="Arial"/>
          <w:sz w:val="16"/>
          <w:szCs w:val="16"/>
          <w:color w:val="auto"/>
        </w:rPr>
      </w:pPr>
    </w:p>
    <w:p>
      <w:pPr>
        <w:ind w:right="20" w:firstLine="656"/>
        <w:spacing w:after="0" w:line="293" w:lineRule="auto"/>
        <w:tabs>
          <w:tab w:leader="none" w:pos="135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on the Company and its subsidiaries, taken as a whole.</w:t>
      </w:r>
    </w:p>
    <w:p>
      <w:pPr>
        <w:spacing w:after="0" w:line="164" w:lineRule="exact"/>
        <w:rPr>
          <w:rFonts w:ascii="Arial" w:cs="Arial" w:eastAsia="Arial" w:hAnsi="Arial"/>
          <w:sz w:val="16"/>
          <w:szCs w:val="16"/>
          <w:color w:val="auto"/>
        </w:rPr>
      </w:pPr>
    </w:p>
    <w:p>
      <w:pPr>
        <w:jc w:val="both"/>
        <w:ind w:right="200" w:firstLine="656"/>
        <w:spacing w:after="0" w:line="259" w:lineRule="auto"/>
        <w:tabs>
          <w:tab w:leader="none" w:pos="135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 on the Company and its subsidiaries, taken as a whole.</w:t>
      </w:r>
    </w:p>
    <w:p>
      <w:pPr>
        <w:spacing w:after="0" w:line="186" w:lineRule="exact"/>
        <w:rPr>
          <w:rFonts w:ascii="Arial" w:cs="Arial" w:eastAsia="Arial" w:hAnsi="Arial"/>
          <w:sz w:val="18"/>
          <w:szCs w:val="18"/>
          <w:color w:val="auto"/>
        </w:rPr>
      </w:pPr>
    </w:p>
    <w:p>
      <w:pPr>
        <w:ind w:right="20" w:firstLine="656"/>
        <w:spacing w:after="0" w:line="287" w:lineRule="auto"/>
        <w:tabs>
          <w:tab w:leader="none" w:pos="136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 The feasibility, pre-clinical or clinical trials and other studies or tests (x) conducted by or on behalf of or sponsored by the Company or any of its subsidiaries, or (y) in which the Company or any of its subsidiaries has participated, that are described in the Time of Sale Prospectus, or the results of which are referred to in the Time of Sale Prospectus, as applicable, were, and if still pending, are being conducted in all material respects in accordance with standard medical and scientific research standards and procedures for products or product candidates comparable to those being developed by the Company or any of its subsidiaries and all applicable statutes and all applicable rules, regulations and guidance documents of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and comparable regulatory agencies outside of the United States to which they are subject, including the European Commission and the European Medicines Agency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and current Good Clinical Practices and Good Laboratory Practices; (ii) the descriptions in the Time of Sale Prospectus of the results of such trials, studies and tests are, in all material respects, accurate and complete descriptions and fairly present the material data derived therefrom; (iii) the Company has no knowledge of any other trials, studies or tests (x) conducted by or on behalf of or sponsored by the Company or any of its subsidiaries, or (y) in which the Company or any of its subsidiaries has participated, not described in the Time of Sale Prospectus, the results of which are materially inconsistent with or raise questions concerning the validity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of the results described or referred to in the Time of Sale Prospectus; (iv) the Company and its subsidiaries have operated at all times and are currently in compliance in all material respects with all applicable statutes, rules, regulations, standards, guidelines and orders administered or issued by any Regulatory Authority; and (v) neither the Company nor any of its subsidiaries has received any written notices, correspondence or other communications from the Regulatory Authorities or any court or arbitrator or other governmental or regulatory body, agency or authority requiring or threatening the termination, modification or suspension of any feasibility, clinical or pre-clinical trials or other studies or tests that are described in the Time of Sale Prospectus or the results of which are referred to in the Time of Sale Prospectus, other than ordinary course communications with respect to modifications in connection with the design and implementation of such trials and tests, and there are no reasonable grounds for the same.</w:t>
      </w:r>
    </w:p>
    <w:p>
      <w:pPr>
        <w:spacing w:after="0" w:line="178" w:lineRule="exact"/>
        <w:rPr>
          <w:sz w:val="20"/>
          <w:szCs w:val="20"/>
          <w:color w:val="auto"/>
        </w:rPr>
      </w:pPr>
    </w:p>
    <w:p>
      <w:pPr>
        <w:ind w:right="40" w:firstLine="656"/>
        <w:spacing w:after="0" w:line="297" w:lineRule="auto"/>
        <w:tabs>
          <w:tab w:leader="none" w:pos="137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failed to file with the Regulatory Authorities any required filing, declaration, listing, registration, report or submission with respect to the Company’s or any subsidiary’s product candidates or feasibility, pre-clinical or clinical trials or other studies or tests that are described or referred to in the Time of Sale Prospectus; all such filings, declarations, listings, registrations, reports or submissions were in compliance in all material respects with applicable laws when filed; and no deficiencies regarding material compliance with applicable law have been asserted by any applicable Regulatory Authority with respect to any such filings, declarations, listings, registrations, reports or submissions.</w:t>
      </w:r>
    </w:p>
    <w:p>
      <w:pPr>
        <w:spacing w:after="0" w:line="158" w:lineRule="exact"/>
        <w:rPr>
          <w:rFonts w:ascii="Arial" w:cs="Arial" w:eastAsia="Arial" w:hAnsi="Arial"/>
          <w:sz w:val="16"/>
          <w:szCs w:val="16"/>
          <w:color w:val="auto"/>
        </w:rPr>
      </w:pPr>
    </w:p>
    <w:p>
      <w:pPr>
        <w:ind w:right="40" w:firstLine="656"/>
        <w:spacing w:after="0" w:line="268" w:lineRule="auto"/>
        <w:tabs>
          <w:tab w:leader="none" w:pos="135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Company and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Time of Sale Prospectus, and neither the Company nor any of its subsidiaries has received notice of any revocation or modification of any such license, certificate, permit or authorization or has any reason to believe that any such license, certificate, permit or authorization will not be renewed in the ordinary course. The Company and its subsidiaries (i) are, and at all times have been, in compliance in all material respects with all statutes, rules, regulations, standards, guidelines and orders administered or issued by any Regulatory Authority or applicable to the ownership, testing, development, manufacture, packaging, processing, use, distribution, storage, import, export or disposal of any product manufactured or distributed by the Company or any of its subsidiaries (collectively, “</w:t>
      </w:r>
      <w:r>
        <w:rPr>
          <w:rFonts w:ascii="Arial" w:cs="Arial" w:eastAsia="Arial" w:hAnsi="Arial"/>
          <w:sz w:val="17"/>
          <w:szCs w:val="17"/>
          <w:b w:val="1"/>
          <w:bCs w:val="1"/>
          <w:color w:val="auto"/>
        </w:rPr>
        <w:t>Applicable Laws</w:t>
      </w:r>
      <w:r>
        <w:rPr>
          <w:rFonts w:ascii="Arial" w:cs="Arial" w:eastAsia="Arial" w:hAnsi="Arial"/>
          <w:sz w:val="17"/>
          <w:szCs w:val="17"/>
          <w:color w:val="auto"/>
        </w:rPr>
        <w:t>”), and (ii) have not received any FDA Form 483, written notice of adverse finding, warning letter, untitled letter or other correspondence or written notice from any court or arbitrator or governmental or regulatory body, agency or authority alleging or asserting non-compliance with (x) any Applicable Laws or (y) any licenses, exemptions, certificates, approvals, clearances, authorizations, permits and supplements or amendments thereto required by any such Applicable Laws. Neither the Company nor any of its subsidiaries has received written notice of any claim, action, suit, proceeding, hearing, enforcement, investigation, arbitration or other action from any court or arbitrator or governmental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regulatory body, agency or authority or third party alleging that any operation or activity is in material violation of any Applicable Laws, and, to the knowledge of the Company, no such notice of any claim, action, suit, proceeding, hearing, enforcement, investigation, arbitration or other action is threatened.</w:t>
      </w:r>
    </w:p>
    <w:p>
      <w:pPr>
        <w:sectPr>
          <w:pgSz w:w="11900" w:h="16838" w:orient="portrait"/>
          <w:cols w:equalWidth="0" w:num="1">
            <w:col w:w="11420"/>
          </w:cols>
          <w:pgMar w:left="240" w:top="125" w:right="239" w:bottom="0" w:gutter="0" w:footer="0" w:header="0"/>
        </w:sectPr>
      </w:pPr>
    </w:p>
    <w:bookmarkStart w:id="280" w:name="page281"/>
    <w:bookmarkEnd w:id="280"/>
    <w:p>
      <w:pPr>
        <w:ind w:right="100"/>
        <w:spacing w:after="0" w:line="276" w:lineRule="auto"/>
        <w:rPr>
          <w:sz w:val="20"/>
          <w:szCs w:val="20"/>
          <w:color w:val="auto"/>
        </w:rPr>
      </w:pPr>
      <w:r>
        <w:rPr>
          <w:rFonts w:ascii="Arial" w:cs="Arial" w:eastAsia="Arial" w:hAnsi="Arial"/>
          <w:sz w:val="17"/>
          <w:szCs w:val="17"/>
          <w:color w:val="auto"/>
        </w:rPr>
        <w:t>Neither the Company nor any of its subsidiaries is a party to any corporate integrity agreements, monitoring agreements, consent decrees, settlement orders, or similar agreements with or imposed by any governmental or regulatory body, agency or authority. Additionally, to the Company’s knowledge, none of the employees, officers or directors of the Company or any of its subsidiaries has been excluded, suspended or debarred from participation in any U.S. federal health care program, clinical or pre-clinical research or comparable foreign program or is subject to a governmental inquiry, investigation, proceeding, or other similar action that could reasonably be expected to result in debarment, suspension, or exclusion.</w:t>
      </w:r>
    </w:p>
    <w:p>
      <w:pPr>
        <w:spacing w:after="0" w:line="173" w:lineRule="exact"/>
        <w:rPr>
          <w:sz w:val="20"/>
          <w:szCs w:val="20"/>
          <w:color w:val="auto"/>
        </w:rPr>
      </w:pPr>
    </w:p>
    <w:p>
      <w:pPr>
        <w:ind w:right="160" w:firstLine="656"/>
        <w:spacing w:after="0" w:line="279" w:lineRule="auto"/>
        <w:tabs>
          <w:tab w:leader="none" w:pos="135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sent or received any communication regarding termination of, or intent not to renew, any of the contracts or agreements referred to or described in the Time of Sale Prospectus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71" w:lineRule="exact"/>
        <w:rPr>
          <w:rFonts w:ascii="Arial" w:cs="Arial" w:eastAsia="Arial" w:hAnsi="Arial"/>
          <w:sz w:val="17"/>
          <w:szCs w:val="17"/>
          <w:color w:val="auto"/>
        </w:rPr>
      </w:pPr>
    </w:p>
    <w:p>
      <w:pPr>
        <w:ind w:right="160" w:firstLine="656"/>
        <w:spacing w:after="0" w:line="279" w:lineRule="auto"/>
        <w:tabs>
          <w:tab w:leader="none" w:pos="135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other than any such rights that are described in the Time of Sale Prospectus and have been validly waived in connection with the filing of the Registration Statement and the sale of the Shares.</w:t>
      </w:r>
    </w:p>
    <w:p>
      <w:pPr>
        <w:spacing w:after="0" w:line="171" w:lineRule="exact"/>
        <w:rPr>
          <w:rFonts w:ascii="Arial" w:cs="Arial" w:eastAsia="Arial" w:hAnsi="Arial"/>
          <w:sz w:val="17"/>
          <w:szCs w:val="17"/>
          <w:color w:val="auto"/>
        </w:rPr>
      </w:pPr>
    </w:p>
    <w:p>
      <w:pPr>
        <w:ind w:right="40" w:firstLine="656"/>
        <w:spacing w:after="0" w:line="270" w:lineRule="auto"/>
        <w:tabs>
          <w:tab w:leader="none" w:pos="134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nor any director or officer thereof, nor, to the Company’s knowledge, any employee or affiliate of the Company or any of its subsidiaries or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or to any person in violation of any applicable anti-corruption laws; (ii) the Company and its subsidiaries and, to the Company’s knowledge, their respective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furtherance of an offer, payment, promise to pay, or authorization of the payment or giving of money, or anything else of value, to any person in violation of any applicable anti-corruption laws.</w:t>
      </w:r>
    </w:p>
    <w:p>
      <w:pPr>
        <w:spacing w:after="0" w:line="170" w:lineRule="exact"/>
        <w:rPr>
          <w:sz w:val="20"/>
          <w:szCs w:val="20"/>
          <w:color w:val="auto"/>
        </w:rPr>
      </w:pPr>
    </w:p>
    <w:p>
      <w:pPr>
        <w:ind w:right="20" w:firstLine="656"/>
        <w:spacing w:after="0" w:line="291" w:lineRule="auto"/>
        <w:tabs>
          <w:tab w:leader="none" w:pos="135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67" w:lineRule="exact"/>
        <w:rPr>
          <w:rFonts w:ascii="Arial" w:cs="Arial" w:eastAsia="Arial" w:hAnsi="Arial"/>
          <w:sz w:val="16"/>
          <w:szCs w:val="16"/>
          <w:color w:val="auto"/>
        </w:rPr>
      </w:pPr>
    </w:p>
    <w:p>
      <w:pPr>
        <w:ind w:right="40" w:firstLine="656"/>
        <w:spacing w:after="0" w:line="264" w:lineRule="auto"/>
        <w:tabs>
          <w:tab w:leader="none" w:pos="135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nor any director or officer thereof, nor, to the Company’s knowledge, any employee or affiliate of the Company or any of its subsidiaries or any agent or representative of the Company or of any of its subsidiaries or affiliates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181" w:lineRule="exact"/>
        <w:rPr>
          <w:rFonts w:ascii="Arial" w:cs="Arial" w:eastAsia="Arial" w:hAnsi="Arial"/>
          <w:sz w:val="18"/>
          <w:szCs w:val="18"/>
          <w:color w:val="auto"/>
        </w:rPr>
      </w:pPr>
    </w:p>
    <w:p>
      <w:pPr>
        <w:ind w:left="1300" w:right="240" w:firstLine="653"/>
        <w:spacing w:after="0" w:line="264" w:lineRule="auto"/>
        <w:tabs>
          <w:tab w:leader="none" w:pos="2648"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1300" w:right="160" w:firstLine="653"/>
        <w:spacing w:after="0" w:line="277" w:lineRule="auto"/>
        <w:tabs>
          <w:tab w:leader="none" w:pos="2638" w:val="left"/>
        </w:tabs>
        <w:numPr>
          <w:ilvl w:val="2"/>
          <w:numId w:val="168"/>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the Crimea region of Ukraine, Cuba, Iran, North Korea, Sudan and Syria).</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202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648"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300" w:right="180" w:firstLine="653"/>
        <w:spacing w:after="0" w:line="277" w:lineRule="auto"/>
        <w:tabs>
          <w:tab w:leader="none" w:pos="2638"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45"/>
        <w:spacing w:after="0" w:line="264" w:lineRule="auto"/>
        <w:tabs>
          <w:tab w:leader="none" w:pos="202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Since the Company’s inception, the Company (including its predecessors) and its subsidiaries have not knowingly engaged in, are not now knowingly engaged in, and will not engage in, any dealings or transactions with any Person, or in any country or territory, that at the time of the dealing or transaction is or was the subject of Sanctions, except as otherwise authorized by law.</w:t>
      </w:r>
    </w:p>
    <w:p>
      <w:pPr>
        <w:spacing w:after="0" w:line="181" w:lineRule="exact"/>
        <w:rPr>
          <w:rFonts w:ascii="Arial" w:cs="Arial" w:eastAsia="Arial" w:hAnsi="Arial"/>
          <w:sz w:val="18"/>
          <w:szCs w:val="18"/>
          <w:color w:val="auto"/>
        </w:rPr>
      </w:pPr>
    </w:p>
    <w:p>
      <w:pPr>
        <w:ind w:right="60" w:firstLine="656"/>
        <w:spacing w:after="0" w:line="297" w:lineRule="auto"/>
        <w:tabs>
          <w:tab w:leader="none" w:pos="134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Subsequent to the date as of which information is given in the Time of Sale Prospectus, (i) the Company and its subsidiaries have not incurred any material liability or obligation, direct or contingent, nor entered into any material transaction; (ii) the Company has not purchased any of its outstanding capital stock other than purchases of restricted common stock of the Company, which are individually and in the aggregate immaterial to the Company, pursuant to contractual rights of the Company in connection with the termination of the employment with the Company of the holders thereof, nor declared, paid or otherwise made any dividend or distribution of any kind on its capital stock other than ordinary and customary dividends; and (iii) there has</w:t>
      </w:r>
    </w:p>
    <w:p>
      <w:pPr>
        <w:sectPr>
          <w:pgSz w:w="11900" w:h="16838" w:orient="portrait"/>
          <w:cols w:equalWidth="0" w:num="1">
            <w:col w:w="11380"/>
          </w:cols>
          <w:pgMar w:left="240" w:top="125" w:right="279" w:bottom="0" w:gutter="0" w:footer="0" w:header="0"/>
        </w:sectPr>
      </w:pPr>
    </w:p>
    <w:bookmarkStart w:id="281" w:name="page282"/>
    <w:bookmarkEnd w:id="281"/>
    <w:p>
      <w:pPr>
        <w:ind w:right="200"/>
        <w:spacing w:after="0" w:line="277" w:lineRule="auto"/>
        <w:rPr>
          <w:sz w:val="20"/>
          <w:szCs w:val="20"/>
          <w:color w:val="auto"/>
        </w:rPr>
      </w:pPr>
      <w:r>
        <w:rPr>
          <w:rFonts w:ascii="Arial" w:cs="Arial" w:eastAsia="Arial" w:hAnsi="Arial"/>
          <w:sz w:val="18"/>
          <w:szCs w:val="18"/>
          <w:color w:val="auto"/>
        </w:rPr>
        <w:t>not been any material change in the capital stock, short-term debt or long-term debt of the Company and its subsidiaries, except in each case as described in the Time of Sale Prospectus.</w:t>
      </w:r>
    </w:p>
    <w:p>
      <w:pPr>
        <w:spacing w:after="0" w:line="170" w:lineRule="exact"/>
        <w:rPr>
          <w:sz w:val="20"/>
          <w:szCs w:val="20"/>
          <w:color w:val="auto"/>
        </w:rPr>
      </w:pPr>
    </w:p>
    <w:p>
      <w:pPr>
        <w:ind w:firstLine="656"/>
        <w:spacing w:after="0" w:line="272" w:lineRule="auto"/>
        <w:tabs>
          <w:tab w:leader="none" w:pos="133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Company and its subsidiaries do not own any real property. The Company and its subsidiaries have good and marketable title to all personal property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177" w:lineRule="exact"/>
        <w:rPr>
          <w:rFonts w:ascii="Arial" w:cs="Arial" w:eastAsia="Arial" w:hAnsi="Arial"/>
          <w:sz w:val="17"/>
          <w:szCs w:val="17"/>
          <w:color w:val="auto"/>
        </w:rPr>
      </w:pPr>
    </w:p>
    <w:p>
      <w:pPr>
        <w:ind w:right="80" w:firstLine="656"/>
        <w:spacing w:after="0" w:line="290" w:lineRule="auto"/>
        <w:tabs>
          <w:tab w:leader="none" w:pos="135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Except as described in the Time of Sale Prospectus, the Company and its subsidiaries own or possess, or believe they can acquire on commercially reasonable terms, adequate rights to use all patents, patent rights, licenses, copyrights, know-how (including trade secrets and other unpatented and/or unpatentable proprietary or confidential information, systems or procedures), trademarks, service marks, trade names, domain names and other similar intellectual property or proprietary rights (including all registrations and applications for registration of, and all goodwill associated with, the foregoing)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in each case necessary for the conduct of the business of the Company and its subsidiaries in all material respects as currently conducted and as proposed to be conducted as described in the Time of Sale Prospectus. To the knowledge of the Company, neither the Company nor any of its subsidiaries has infringed, misappropriated or otherwise violated any Intellectual Property of any third party in any material respect. Except as described in the Time of Sale Prospectus, neither the Company nor any of its subsidiaries has received any written notice of infringement,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misappropriation or other violation of, or conflict with, any Intellectual Property of any third party, or any written notice challenging the validity, enforceability or scope of any Intellectual Property owned by the Company or any of its subsidiaries, in each case, which, individually or in the aggregate, if the subject of an unfavorable decision, ruling or finding, would have a material adverse effect on the Company and its subsidiaries, taken as a whole. To the knowledge of the Company, all material Intellectual Property owned by the Company and its subsidiaries is valid and enforceable.</w:t>
      </w:r>
    </w:p>
    <w:p>
      <w:pPr>
        <w:spacing w:after="0" w:line="171" w:lineRule="exact"/>
        <w:rPr>
          <w:sz w:val="20"/>
          <w:szCs w:val="20"/>
          <w:color w:val="auto"/>
        </w:rPr>
      </w:pPr>
    </w:p>
    <w:p>
      <w:pPr>
        <w:ind w:right="20" w:firstLine="656"/>
        <w:spacing w:after="0" w:line="259" w:lineRule="auto"/>
        <w:tabs>
          <w:tab w:leader="none" w:pos="133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would reasonably be likely to have a material adverse effect on the Company and its subsidiaries, taken as a whole.</w:t>
      </w:r>
    </w:p>
    <w:p>
      <w:pPr>
        <w:spacing w:after="0" w:line="186" w:lineRule="exact"/>
        <w:rPr>
          <w:rFonts w:ascii="Arial" w:cs="Arial" w:eastAsia="Arial" w:hAnsi="Arial"/>
          <w:sz w:val="18"/>
          <w:szCs w:val="18"/>
          <w:color w:val="auto"/>
        </w:rPr>
      </w:pPr>
    </w:p>
    <w:p>
      <w:pPr>
        <w:ind w:right="40" w:firstLine="656"/>
        <w:spacing w:after="0" w:line="255" w:lineRule="auto"/>
        <w:tabs>
          <w:tab w:leader="none" w:pos="135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and each of its subsidiaries is insured by insurers of recognized financial responsibility against such losses and risks and in such amounts as are prudent and customary in the business in which it is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spacing w:after="0" w:line="193" w:lineRule="exact"/>
        <w:rPr>
          <w:rFonts w:ascii="Arial" w:cs="Arial" w:eastAsia="Arial" w:hAnsi="Arial"/>
          <w:sz w:val="18"/>
          <w:szCs w:val="18"/>
          <w:color w:val="auto"/>
        </w:rPr>
      </w:pPr>
    </w:p>
    <w:p>
      <w:pPr>
        <w:ind w:left="1340" w:hanging="684"/>
        <w:spacing w:after="0"/>
        <w:tabs>
          <w:tab w:leader="none" w:pos="134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Company and each of its subsidiaries maintains a system of internal accounting controls sufficient to provide reasonable assurance that</w:t>
      </w:r>
    </w:p>
    <w:p>
      <w:pPr>
        <w:spacing w:after="0" w:line="46" w:lineRule="exact"/>
        <w:rPr>
          <w:rFonts w:ascii="Arial" w:cs="Arial" w:eastAsia="Arial" w:hAnsi="Arial"/>
          <w:sz w:val="16"/>
          <w:szCs w:val="16"/>
          <w:color w:val="auto"/>
        </w:rPr>
      </w:pPr>
    </w:p>
    <w:p>
      <w:pPr>
        <w:ind w:right="80" w:firstLine="8"/>
        <w:spacing w:after="0" w:line="269" w:lineRule="auto"/>
        <w:tabs>
          <w:tab w:leader="none" w:pos="21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authorizations; (ii) transactions are recorded as necessary to permit preparation of financial statements in conformity with United States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80" w:lineRule="exact"/>
        <w:rPr>
          <w:rFonts w:ascii="Arial" w:cs="Arial" w:eastAsia="Arial" w:hAnsi="Arial"/>
          <w:sz w:val="17"/>
          <w:szCs w:val="17"/>
          <w:color w:val="auto"/>
        </w:rPr>
      </w:pPr>
    </w:p>
    <w:p>
      <w:pPr>
        <w:ind w:right="220" w:firstLine="656"/>
        <w:spacing w:after="0" w:line="259" w:lineRule="auto"/>
        <w:tabs>
          <w:tab w:leader="none" w:pos="133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90" w:lineRule="auto"/>
        <w:tabs>
          <w:tab w:leader="none" w:pos="135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Company and each of its subsidiaries has filed all federal, state, local and foreign tax returns required to be filed through the date of this Agreement or has requested extensions thereof (except where the failure to file would not, individually or in the aggregate, have a material adverse effect on the Company and its subsidiaries, taken as a whole) and has paid all taxes required to be paid thereon (except for cases in which the failure to file or pay would not, individually or in the aggregate,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or any of its subsidiaries have any notice or knowledge of any tax deficiency which could reasonably be expected to be determined adversely to the Company or its subsidiaries and which would reasonably be expected to have), individually or in the aggregate, a material adverse effect on the Company and its subsidiaries, taken as a whole.</w:t>
      </w:r>
    </w:p>
    <w:p>
      <w:pPr>
        <w:spacing w:after="0" w:line="166" w:lineRule="exact"/>
        <w:rPr>
          <w:rFonts w:ascii="Arial" w:cs="Arial" w:eastAsia="Arial" w:hAnsi="Arial"/>
          <w:sz w:val="16"/>
          <w:szCs w:val="16"/>
          <w:color w:val="auto"/>
        </w:rPr>
      </w:pPr>
    </w:p>
    <w:p>
      <w:pPr>
        <w:ind w:right="40" w:firstLine="656"/>
        <w:spacing w:after="0" w:line="264" w:lineRule="auto"/>
        <w:tabs>
          <w:tab w:leader="none" w:pos="135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81" w:lineRule="exact"/>
        <w:rPr>
          <w:rFonts w:ascii="Arial" w:cs="Arial" w:eastAsia="Arial" w:hAnsi="Arial"/>
          <w:sz w:val="18"/>
          <w:szCs w:val="18"/>
          <w:color w:val="auto"/>
        </w:rPr>
      </w:pPr>
    </w:p>
    <w:p>
      <w:pPr>
        <w:ind w:right="20" w:firstLine="656"/>
        <w:spacing w:after="0" w:line="302" w:lineRule="auto"/>
        <w:tabs>
          <w:tab w:leader="none" w:pos="136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From the time of initial confidential submission of the draft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oral or written communication with potential investors undertaken in reliance on Section 5(d) of the Securities Act.</w:t>
      </w:r>
    </w:p>
    <w:p>
      <w:pPr>
        <w:sectPr>
          <w:pgSz w:w="11900" w:h="16838" w:orient="portrait"/>
          <w:cols w:equalWidth="0" w:num="1">
            <w:col w:w="11420"/>
          </w:cols>
          <w:pgMar w:left="240" w:top="125" w:right="239" w:bottom="0" w:gutter="0" w:footer="0" w:header="0"/>
        </w:sectPr>
      </w:pPr>
    </w:p>
    <w:bookmarkStart w:id="282" w:name="page283"/>
    <w:bookmarkEnd w:id="282"/>
    <w:p>
      <w:pPr>
        <w:ind w:right="20" w:firstLine="656"/>
        <w:spacing w:after="0" w:line="272" w:lineRule="auto"/>
        <w:tabs>
          <w:tab w:leader="none" w:pos="1363"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III hereto. “</w:t>
      </w:r>
      <w:r>
        <w:rPr>
          <w:rFonts w:ascii="Arial" w:cs="Arial" w:eastAsia="Arial" w:hAnsi="Arial"/>
          <w:sz w:val="17"/>
          <w:szCs w:val="17"/>
          <w:b w:val="1"/>
          <w:bCs w:val="1"/>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 under the Securities Act.</w:t>
      </w:r>
    </w:p>
    <w:p>
      <w:pPr>
        <w:spacing w:after="0" w:line="177" w:lineRule="exact"/>
        <w:rPr>
          <w:rFonts w:ascii="Arial" w:cs="Arial" w:eastAsia="Arial" w:hAnsi="Arial"/>
          <w:sz w:val="17"/>
          <w:szCs w:val="17"/>
          <w:color w:val="auto"/>
        </w:rPr>
      </w:pPr>
    </w:p>
    <w:p>
      <w:pPr>
        <w:ind w:right="20" w:firstLine="656"/>
        <w:spacing w:after="0" w:line="277" w:lineRule="auto"/>
        <w:tabs>
          <w:tab w:leader="none" w:pos="135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As of the time of each sale of the Shares in connection with the offering when the Prospectus is not yet available to prospective purchasers, no issuer free writing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prospectus, when considered together with the Time of Sale Prospectus, nor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no representation and warranty with respect to any statements or omissions made in any such issuer free writing prospectus or Written Testing-the-Waters Communication in reliance upon and in conformity with written information furnished to the Company in writing by the Representatives expressly for use therein.</w:t>
      </w:r>
    </w:p>
    <w:p>
      <w:pPr>
        <w:spacing w:after="0" w:line="193" w:lineRule="exact"/>
        <w:rPr>
          <w:sz w:val="20"/>
          <w:szCs w:val="20"/>
          <w:color w:val="auto"/>
        </w:rPr>
      </w:pPr>
    </w:p>
    <w:p>
      <w:pPr>
        <w:ind w:right="20" w:firstLine="656"/>
        <w:spacing w:after="0" w:line="291" w:lineRule="auto"/>
        <w:tabs>
          <w:tab w:leader="none" w:pos="1368"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 basis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representations and warranties herein contained, but subject to the conditions hereinafter stated, agrees, severally and not jointly, to purchase from the</w:t>
      </w:r>
    </w:p>
    <w:p>
      <w:pPr>
        <w:spacing w:after="0"/>
        <w:tabs>
          <w:tab w:leader="none" w:pos="7720" w:val="left"/>
        </w:tabs>
        <w:rPr>
          <w:sz w:val="20"/>
          <w:szCs w:val="20"/>
          <w:color w:val="auto"/>
        </w:rPr>
      </w:pPr>
      <w:r>
        <w:rPr>
          <w:rFonts w:ascii="Arial" w:cs="Arial" w:eastAsia="Arial" w:hAnsi="Arial"/>
          <w:sz w:val="18"/>
          <w:szCs w:val="18"/>
          <w:color w:val="auto"/>
        </w:rPr>
        <w:t>Company the respective numbers of Firm Shares set forth in Schedule I hereto opposite its name at $[</w:t>
      </w:r>
      <w:r>
        <w:rPr>
          <w:sz w:val="20"/>
          <w:szCs w:val="20"/>
          <w:color w:val="auto"/>
        </w:rPr>
        <w:tab/>
      </w:r>
      <w:r>
        <w:rPr>
          <w:rFonts w:ascii="Arial" w:cs="Arial" w:eastAsia="Arial" w:hAnsi="Arial"/>
          <w:sz w:val="16"/>
          <w:szCs w:val="16"/>
          <w:color w:val="auto"/>
        </w:rPr>
        <w:t>] a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w:t>
      </w:r>
    </w:p>
    <w:p>
      <w:pPr>
        <w:spacing w:after="0" w:line="4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the Underwriters the Additional Shares, and the Underwriters shall have the right to purchase, severally and not jointly, up to [ ] Additional Shares at the Purchase Price,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7"/>
          <w:szCs w:val="17"/>
          <w:b w:val="1"/>
          <w:bCs w:val="1"/>
          <w:color w:val="auto"/>
        </w:rPr>
        <w:t>Option</w:t>
      </w:r>
      <w:r>
        <w:rPr>
          <w:rFonts w:ascii="Arial" w:cs="Arial" w:eastAsia="Arial" w:hAnsi="Arial"/>
          <w:sz w:val="17"/>
          <w:szCs w:val="17"/>
          <w:color w:val="auto"/>
        </w:rPr>
        <w:t xml:space="preserve"> </w:t>
      </w:r>
      <w:r>
        <w:rPr>
          <w:rFonts w:ascii="Arial" w:cs="Arial" w:eastAsia="Arial" w:hAnsi="Arial"/>
          <w:sz w:val="17"/>
          <w:szCs w:val="17"/>
          <w:b w:val="1"/>
          <w:bCs w:val="1"/>
          <w:color w:val="auto"/>
        </w:rPr>
        <w:t>Closing Date</w:t>
      </w:r>
      <w:r>
        <w:rPr>
          <w:rFonts w:ascii="Arial" w:cs="Arial" w:eastAsia="Arial" w:hAnsi="Arial"/>
          <w:sz w:val="17"/>
          <w:szCs w:val="17"/>
          <w:color w:val="auto"/>
        </w:rPr>
        <w:t>”), each Underwriter agrees, severally and not jointly, to purchase the number of Additional Shares (subject to such adjustments to eliminate</w:t>
      </w:r>
      <w:r>
        <w:rPr>
          <w:rFonts w:ascii="Arial" w:cs="Arial" w:eastAsia="Arial" w:hAnsi="Arial"/>
          <w:sz w:val="17"/>
          <w:szCs w:val="17"/>
          <w:b w:val="1"/>
          <w:bCs w:val="1"/>
          <w:color w:val="auto"/>
        </w:rPr>
        <w:t xml:space="preserve"> </w:t>
      </w:r>
      <w:r>
        <w:rPr>
          <w:rFonts w:ascii="Arial" w:cs="Arial" w:eastAsia="Arial" w:hAnsi="Arial"/>
          <w:sz w:val="17"/>
          <w:szCs w:val="17"/>
          <w:color w:val="auto"/>
        </w:rPr>
        <w:t>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5" w:lineRule="exact"/>
        <w:rPr>
          <w:sz w:val="20"/>
          <w:szCs w:val="20"/>
          <w:color w:val="auto"/>
        </w:rPr>
      </w:pPr>
    </w:p>
    <w:p>
      <w:pPr>
        <w:jc w:val="both"/>
        <w:ind w:firstLine="656"/>
        <w:spacing w:after="0" w:line="286" w:lineRule="auto"/>
        <w:tabs>
          <w:tab w:leader="none" w:pos="1368" w:val="left"/>
        </w:tabs>
        <w:numPr>
          <w:ilvl w:val="0"/>
          <w:numId w:val="177"/>
        </w:numPr>
        <w:rPr>
          <w:rFonts w:ascii="Arial" w:cs="Arial" w:eastAsia="Arial" w:hAnsi="Arial"/>
          <w:sz w:val="17"/>
          <w:szCs w:val="17"/>
          <w:color w:val="auto"/>
        </w:rPr>
      </w:pPr>
      <w:r>
        <w:rPr>
          <w:rFonts w:ascii="Arial" w:cs="Arial" w:eastAsia="Arial" w:hAnsi="Arial"/>
          <w:sz w:val="17"/>
          <w:szCs w:val="17"/>
          <w:i w:val="1"/>
          <w:iCs w:val="1"/>
          <w:color w:val="auto"/>
        </w:rPr>
        <w:t>Terms of Public Offering</w:t>
      </w:r>
      <w:r>
        <w:rPr>
          <w:rFonts w:ascii="Arial" w:cs="Arial" w:eastAsia="Arial" w:hAnsi="Arial"/>
          <w:sz w:val="17"/>
          <w:szCs w:val="17"/>
          <w:color w:val="auto"/>
        </w:rPr>
        <w:t>. The Company is advised by the Representatives that the Underwriters propose to make a public offering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portions of the Shares as soon after the Registration Statement and this Agreement have become effective as in the judgment of the Representatives is advisable. The Company is further advised by the Representatives that the Shares are to be offered to the public initially at $[</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a share (the “</w:t>
      </w:r>
      <w:r>
        <w:rPr>
          <w:rFonts w:ascii="Arial" w:cs="Arial" w:eastAsia="Arial" w:hAnsi="Arial"/>
          <w:sz w:val="18"/>
          <w:szCs w:val="18"/>
          <w:b w:val="1"/>
          <w:bCs w:val="1"/>
          <w:color w:val="auto"/>
        </w:rPr>
        <w:t>Public Offering Price</w:t>
      </w:r>
      <w:r>
        <w:rPr>
          <w:rFonts w:ascii="Arial" w:cs="Arial" w:eastAsia="Arial" w:hAnsi="Arial"/>
          <w:sz w:val="18"/>
          <w:szCs w:val="18"/>
          <w:color w:val="auto"/>
        </w:rPr>
        <w:t>”) and to certain dealers selected by the Representatives at a price that represents a concession not in excess of $[ ] a share under the Public Offering Price, and that any Underwriter may allow, and such dealers may reallow, a concession, not in excess of $[ ] a share, to any Underwriter or to certain other dealers.</w:t>
      </w:r>
    </w:p>
    <w:p>
      <w:pPr>
        <w:spacing w:after="0" w:line="12" w:lineRule="exact"/>
        <w:rPr>
          <w:sz w:val="20"/>
          <w:szCs w:val="20"/>
          <w:color w:val="auto"/>
        </w:rPr>
      </w:pPr>
    </w:p>
    <w:p>
      <w:pPr>
        <w:ind w:left="1380" w:hanging="724"/>
        <w:spacing w:after="0"/>
        <w:tabs>
          <w:tab w:leader="none" w:pos="1380"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Payment and Delivery. </w:t>
      </w:r>
      <w:r>
        <w:rPr>
          <w:rFonts w:ascii="Arial" w:cs="Arial" w:eastAsia="Arial" w:hAnsi="Arial"/>
          <w:sz w:val="16"/>
          <w:szCs w:val="16"/>
          <w:color w:val="auto"/>
        </w:rPr>
        <w:t>Payment for the Firm Shares shall be made to the Company in Federal or other funds immediately available in</w:t>
      </w:r>
    </w:p>
    <w:p>
      <w:pPr>
        <w:spacing w:after="0" w:line="20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New York City against delivery of such Firm Shares for the respective accounts of the several Underwriters at 10:00 a.m., New York City time, on [ ], 2016, or at such other time on the same or such other date, not later than [ ], 2016,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w:t>
      </w:r>
    </w:p>
    <w:p>
      <w:pPr>
        <w:ind w:right="340"/>
        <w:spacing w:after="0" w:line="261" w:lineRule="auto"/>
        <w:rPr>
          <w:sz w:val="20"/>
          <w:szCs w:val="20"/>
          <w:color w:val="auto"/>
        </w:rPr>
      </w:pPr>
      <w:r>
        <w:rPr>
          <w:rFonts w:ascii="Arial" w:cs="Arial" w:eastAsia="Arial" w:hAnsi="Arial"/>
          <w:sz w:val="18"/>
          <w:szCs w:val="18"/>
          <w:color w:val="auto"/>
        </w:rPr>
        <w:t>corresponding notice described in Section 2 or at such other time on the same or on such other date, in any event not later than [ ], 2016, as shall be designated in writing by the Representatives.</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88" w:lineRule="exact"/>
        <w:rPr>
          <w:sz w:val="20"/>
          <w:szCs w:val="20"/>
          <w:color w:val="auto"/>
        </w:rPr>
      </w:pPr>
    </w:p>
    <w:p>
      <w:pPr>
        <w:ind w:right="100" w:firstLine="656"/>
        <w:spacing w:after="0" w:line="291" w:lineRule="auto"/>
        <w:tabs>
          <w:tab w:leader="none" w:pos="1368"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Conditions to the Underwriters’ Obligations</w:t>
      </w:r>
      <w:r>
        <w:rPr>
          <w:rFonts w:ascii="Arial" w:cs="Arial" w:eastAsia="Arial" w:hAnsi="Arial"/>
          <w:sz w:val="16"/>
          <w:szCs w:val="16"/>
          <w:color w:val="auto"/>
        </w:rPr>
        <w:t>. The obligations of the Company to sell the Shares to the Underwriters and the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of the Underwriters to purchase and pay for the Shares on the Closing Date are subject to the condition that the Registration Statement shall have</w:t>
      </w:r>
    </w:p>
    <w:p>
      <w:pPr>
        <w:spacing w:after="0"/>
        <w:tabs>
          <w:tab w:leader="none" w:pos="2900" w:val="left"/>
        </w:tabs>
        <w:rPr>
          <w:sz w:val="20"/>
          <w:szCs w:val="20"/>
          <w:color w:val="auto"/>
        </w:rPr>
      </w:pPr>
      <w:r>
        <w:rPr>
          <w:rFonts w:ascii="Arial" w:cs="Arial" w:eastAsia="Arial" w:hAnsi="Arial"/>
          <w:sz w:val="18"/>
          <w:szCs w:val="18"/>
          <w:color w:val="auto"/>
        </w:rPr>
        <w:t>become effective not later than [</w:t>
      </w:r>
      <w:r>
        <w:rPr>
          <w:sz w:val="20"/>
          <w:szCs w:val="20"/>
          <w:color w:val="auto"/>
        </w:rPr>
        <w:tab/>
      </w:r>
      <w:r>
        <w:rPr>
          <w:rFonts w:ascii="Arial" w:cs="Arial" w:eastAsia="Arial" w:hAnsi="Arial"/>
          <w:sz w:val="16"/>
          <w:szCs w:val="16"/>
          <w:color w:val="auto"/>
        </w:rPr>
        <w:t>] (New York City time) on the date 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225" w:lineRule="exact"/>
        <w:rPr>
          <w:sz w:val="20"/>
          <w:szCs w:val="20"/>
          <w:color w:val="auto"/>
        </w:rPr>
      </w:pPr>
    </w:p>
    <w:p>
      <w:pPr>
        <w:ind w:left="1360" w:hanging="704"/>
        <w:spacing w:after="0"/>
        <w:tabs>
          <w:tab w:leader="none" w:pos="13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ectPr>
          <w:pgSz w:w="11900" w:h="16838" w:orient="portrait"/>
          <w:cols w:equalWidth="0" w:num="1">
            <w:col w:w="11400"/>
          </w:cols>
          <w:pgMar w:left="240" w:top="125" w:right="259" w:bottom="0" w:gutter="0" w:footer="0" w:header="0"/>
        </w:sectPr>
      </w:pPr>
    </w:p>
    <w:bookmarkStart w:id="283" w:name="page284"/>
    <w:bookmarkEnd w:id="283"/>
    <w:p>
      <w:pPr>
        <w:ind w:left="660" w:right="80" w:firstLine="645"/>
        <w:spacing w:after="0" w:line="264" w:lineRule="auto"/>
        <w:tabs>
          <w:tab w:leader="none" w:pos="201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by any “nationally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recognized statistical rating organization,” as such term is defined in Section 3(a)(62)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and</w:t>
      </w:r>
    </w:p>
    <w:p>
      <w:pPr>
        <w:spacing w:after="0" w:line="170" w:lineRule="exact"/>
        <w:rPr>
          <w:sz w:val="20"/>
          <w:szCs w:val="20"/>
          <w:color w:val="auto"/>
        </w:rPr>
      </w:pPr>
    </w:p>
    <w:p>
      <w:pPr>
        <w:ind w:left="660" w:right="320" w:firstLine="645"/>
        <w:spacing w:after="0" w:line="279" w:lineRule="auto"/>
        <w:tabs>
          <w:tab w:leader="none" w:pos="2023"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judgment of the Representatives, is material and adverse and that makes it, in the judgment of the Representatives, impracticable to market the Shares on the terms and in the manner contemplated in the Time of Sale Prospectus.</w:t>
      </w:r>
    </w:p>
    <w:p>
      <w:pPr>
        <w:spacing w:after="0" w:line="171" w:lineRule="exact"/>
        <w:rPr>
          <w:rFonts w:ascii="Arial" w:cs="Arial" w:eastAsia="Arial" w:hAnsi="Arial"/>
          <w:sz w:val="17"/>
          <w:szCs w:val="17"/>
          <w:color w:val="auto"/>
        </w:rPr>
      </w:pPr>
    </w:p>
    <w:p>
      <w:pPr>
        <w:jc w:val="both"/>
        <w:ind w:right="120" w:firstLine="656"/>
        <w:spacing w:after="0" w:line="259" w:lineRule="auto"/>
        <w:tabs>
          <w:tab w:leader="none" w:pos="135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an executive officer of the Company on behalf of the Company, to the effect set forth in Section 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225" w:lineRule="exact"/>
        <w:rPr>
          <w:sz w:val="20"/>
          <w:szCs w:val="20"/>
          <w:color w:val="auto"/>
        </w:rPr>
      </w:pPr>
    </w:p>
    <w:p>
      <w:pPr>
        <w:ind w:right="180" w:firstLine="656"/>
        <w:spacing w:after="0" w:line="264" w:lineRule="auto"/>
        <w:tabs>
          <w:tab w:leader="none" w:pos="134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Wilmer Cutler Pickering Hale and Dorr LLP, outside counsel for the Company, dated the Closing Date, substantially in the form of Exhibit D hereto. The opinion of Wilmer Cutler Pickering Hale and Dorr LLP shall be rendered to the Underwriters at the request of the Company and shall so state therein.</w:t>
      </w:r>
    </w:p>
    <w:p>
      <w:pPr>
        <w:spacing w:after="0" w:line="181" w:lineRule="exact"/>
        <w:rPr>
          <w:rFonts w:ascii="Arial" w:cs="Arial" w:eastAsia="Arial" w:hAnsi="Arial"/>
          <w:sz w:val="18"/>
          <w:szCs w:val="18"/>
          <w:color w:val="auto"/>
        </w:rPr>
      </w:pPr>
    </w:p>
    <w:p>
      <w:pPr>
        <w:ind w:right="140" w:firstLine="656"/>
        <w:spacing w:after="0" w:line="264" w:lineRule="auto"/>
        <w:tabs>
          <w:tab w:leader="none" w:pos="135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Choate Hall &amp; Stewart LLP, outside intellectual property counsel for the Company, dated the Closing Date, substantially in the form of Exhibit E hereto. The opinion of Choate Hall &amp; Stewart LLP shall be rendered to the Underwriters at the request of the Company and shall so state therein.</w:t>
      </w:r>
    </w:p>
    <w:p>
      <w:pPr>
        <w:spacing w:after="0" w:line="181" w:lineRule="exact"/>
        <w:rPr>
          <w:rFonts w:ascii="Arial" w:cs="Arial" w:eastAsia="Arial" w:hAnsi="Arial"/>
          <w:sz w:val="18"/>
          <w:szCs w:val="18"/>
          <w:color w:val="auto"/>
        </w:rPr>
      </w:pPr>
    </w:p>
    <w:p>
      <w:pPr>
        <w:ind w:right="80" w:firstLine="656"/>
        <w:spacing w:after="0" w:line="264" w:lineRule="auto"/>
        <w:tabs>
          <w:tab w:leader="none" w:pos="134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Perkins Coie LLP, outside intellectual property counsel for the Company, dated the Closing Date, substantially in the form of Exhibit F hereto. The opinion of Perkins Coie LLP shall be rendered to the Underwriters at the request of the Company and shall so state therein.</w:t>
      </w:r>
    </w:p>
    <w:p>
      <w:pPr>
        <w:spacing w:after="0" w:line="181" w:lineRule="exact"/>
        <w:rPr>
          <w:rFonts w:ascii="Arial" w:cs="Arial" w:eastAsia="Arial" w:hAnsi="Arial"/>
          <w:sz w:val="18"/>
          <w:szCs w:val="18"/>
          <w:color w:val="auto"/>
        </w:rPr>
      </w:pPr>
    </w:p>
    <w:p>
      <w:pPr>
        <w:ind w:right="240" w:firstLine="656"/>
        <w:spacing w:after="0" w:line="264" w:lineRule="auto"/>
        <w:tabs>
          <w:tab w:leader="none" w:pos="136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Rothwell, Figg, Ernst &amp; Manbeck, P.C., outside intellectual property counsel for the Company, dated the Closing Date, substantially in the form of Exhibit G hereto. The opinion of Rothwell, Figg, Ernst &amp; Manbeck, P.C. shall be rendered to the Underwriters at the request of the Company and shall so state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7" w:lineRule="auto"/>
        <w:tabs>
          <w:tab w:leader="none" w:pos="135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Davis Polk &amp; Wardwell LLP, counsel for the Underwriters, dated the Closing Date, in form and substance satisfactory to the Underwriters.</w:t>
      </w:r>
    </w:p>
    <w:p>
      <w:pPr>
        <w:spacing w:after="0" w:line="170" w:lineRule="exact"/>
        <w:rPr>
          <w:rFonts w:ascii="Arial" w:cs="Arial" w:eastAsia="Arial" w:hAnsi="Arial"/>
          <w:sz w:val="18"/>
          <w:szCs w:val="18"/>
          <w:color w:val="auto"/>
        </w:rPr>
      </w:pPr>
    </w:p>
    <w:p>
      <w:pPr>
        <w:ind w:right="20" w:firstLine="656"/>
        <w:spacing w:after="0" w:line="257" w:lineRule="auto"/>
        <w:tabs>
          <w:tab w:leader="none" w:pos="135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provided that the letter delivered on the Closing Date shall use a “cut-off date” not earlier than the date hereof.</w:t>
      </w:r>
    </w:p>
    <w:p>
      <w:pPr>
        <w:spacing w:after="0" w:line="188" w:lineRule="exact"/>
        <w:rPr>
          <w:rFonts w:ascii="Arial" w:cs="Arial" w:eastAsia="Arial" w:hAnsi="Arial"/>
          <w:sz w:val="18"/>
          <w:szCs w:val="18"/>
          <w:color w:val="auto"/>
        </w:rPr>
      </w:pPr>
    </w:p>
    <w:p>
      <w:pPr>
        <w:ind w:right="40" w:firstLine="656"/>
        <w:spacing w:after="0" w:line="286" w:lineRule="auto"/>
        <w:tabs>
          <w:tab w:leader="none" w:pos="135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“lock-up” agreements, each substantially in the form of Exhibit A hereto, between the Representatives and each of the shareholders, officers and directors of the Company listed in Schedule IV hereto, relating to sales and certain other dispositions of shares of Common Stock or certain other securities, delivered to the Representatives on or before the date hereof, shall be in full force and effect on the Closing Date.</w:t>
      </w:r>
    </w:p>
    <w:p>
      <w:pPr>
        <w:spacing w:after="0" w:line="165" w:lineRule="exact"/>
        <w:rPr>
          <w:rFonts w:ascii="Arial" w:cs="Arial" w:eastAsia="Arial" w:hAnsi="Arial"/>
          <w:sz w:val="17"/>
          <w:szCs w:val="17"/>
          <w:color w:val="auto"/>
        </w:rPr>
      </w:pPr>
    </w:p>
    <w:p>
      <w:pPr>
        <w:ind w:right="180" w:firstLine="656"/>
        <w:spacing w:after="0" w:line="277" w:lineRule="auto"/>
        <w:tabs>
          <w:tab w:leader="none" w:pos="135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Representatives on the applicable Option Closing Date of the following:</w:t>
      </w:r>
    </w:p>
    <w:p>
      <w:pPr>
        <w:spacing w:after="0" w:line="170" w:lineRule="exact"/>
        <w:rPr>
          <w:rFonts w:ascii="Arial" w:cs="Arial" w:eastAsia="Arial" w:hAnsi="Arial"/>
          <w:sz w:val="18"/>
          <w:szCs w:val="18"/>
          <w:color w:val="auto"/>
        </w:rPr>
      </w:pPr>
    </w:p>
    <w:p>
      <w:pPr>
        <w:ind w:left="660" w:firstLine="645"/>
        <w:spacing w:after="0" w:line="342" w:lineRule="auto"/>
        <w:tabs>
          <w:tab w:leader="none" w:pos="2018"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on behalf of the Company, confirming that the certificate delivered on the Closing Date pursuant to Section 5(b) hereof remains true and correct as of such Option Closing Date;</w:t>
      </w:r>
    </w:p>
    <w:p>
      <w:pPr>
        <w:spacing w:after="0" w:line="123" w:lineRule="exact"/>
        <w:rPr>
          <w:rFonts w:ascii="Arial" w:cs="Arial" w:eastAsia="Arial" w:hAnsi="Arial"/>
          <w:sz w:val="16"/>
          <w:szCs w:val="16"/>
          <w:color w:val="auto"/>
        </w:rPr>
      </w:pPr>
    </w:p>
    <w:p>
      <w:pPr>
        <w:ind w:left="660" w:right="420" w:firstLine="645"/>
        <w:spacing w:after="0" w:line="264" w:lineRule="auto"/>
        <w:tabs>
          <w:tab w:leader="none" w:pos="202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 opinion of Wilmer Cutler Pickering Hale and Dorr LLP, outside counsel for the Company, dated the Option Closing Date, relating to the Additional Shares to be purchased on such Option Closing Date and otherwise to the same effect as the opinion required by Section 5(c) hereof;</w:t>
      </w:r>
    </w:p>
    <w:p>
      <w:pPr>
        <w:spacing w:after="0" w:line="181" w:lineRule="exact"/>
        <w:rPr>
          <w:rFonts w:ascii="Arial" w:cs="Arial" w:eastAsia="Arial" w:hAnsi="Arial"/>
          <w:sz w:val="18"/>
          <w:szCs w:val="18"/>
          <w:color w:val="auto"/>
        </w:rPr>
      </w:pPr>
    </w:p>
    <w:p>
      <w:pPr>
        <w:ind w:left="660" w:right="120" w:firstLine="645"/>
        <w:spacing w:after="0" w:line="264" w:lineRule="auto"/>
        <w:tabs>
          <w:tab w:leader="none" w:pos="202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 opinion of Choate Hall &amp; Stewart LLP, outside intellectual property counsel for the Company, dated the Option Closing Date, relating to the Additional Shares to be purchased on such Option Closing Date and otherwise to the same effect as the opinion required by Section 5(d) hereof;</w:t>
      </w:r>
    </w:p>
    <w:p>
      <w:pPr>
        <w:spacing w:after="0" w:line="181" w:lineRule="exact"/>
        <w:rPr>
          <w:rFonts w:ascii="Arial" w:cs="Arial" w:eastAsia="Arial" w:hAnsi="Arial"/>
          <w:sz w:val="18"/>
          <w:szCs w:val="18"/>
          <w:color w:val="auto"/>
        </w:rPr>
      </w:pPr>
    </w:p>
    <w:p>
      <w:pPr>
        <w:ind w:left="660" w:right="60" w:firstLine="645"/>
        <w:spacing w:after="0" w:line="342" w:lineRule="auto"/>
        <w:tabs>
          <w:tab w:leader="none" w:pos="2018"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an opinion of Perkins Coie LLP, outside intellectual property counsel for the Company, dated the Option Closing Date, relating to the Additional Shares to be purchased on such Option Closing Date and otherwise to the same effect as the opinion required by Section 5(e) hereof;</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an opinion of Rothwell, Figg, Ernst &amp; Manbeck, P.C., outside intellectual property counsel for the Company, dated the Option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Closing Date,</w:t>
      </w:r>
    </w:p>
    <w:p>
      <w:pPr>
        <w:sectPr>
          <w:pgSz w:w="11900" w:h="16838" w:orient="portrait"/>
          <w:cols w:equalWidth="0" w:num="1">
            <w:col w:w="11420"/>
          </w:cols>
          <w:pgMar w:left="240" w:top="125" w:right="239" w:bottom="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800"/>
        <w:spacing w:after="0" w:line="277" w:lineRule="auto"/>
        <w:rPr>
          <w:sz w:val="20"/>
          <w:szCs w:val="20"/>
          <w:color w:val="auto"/>
        </w:rPr>
      </w:pPr>
      <w:r>
        <w:rPr>
          <w:rFonts w:ascii="Arial" w:cs="Arial" w:eastAsia="Arial" w:hAnsi="Arial"/>
          <w:sz w:val="18"/>
          <w:szCs w:val="18"/>
          <w:color w:val="auto"/>
        </w:rPr>
        <w:t>relating to the Additional Shares to be purchased on such Option Closing Date and otherwise to the same effect as the opinion required by Section 5(f) hereof;</w:t>
      </w:r>
    </w:p>
    <w:p>
      <w:pPr>
        <w:spacing w:after="0" w:line="170" w:lineRule="exact"/>
        <w:rPr>
          <w:sz w:val="20"/>
          <w:szCs w:val="20"/>
          <w:color w:val="auto"/>
        </w:rPr>
      </w:pPr>
    </w:p>
    <w:p>
      <w:pPr>
        <w:ind w:left="640" w:right="140" w:firstLine="645"/>
        <w:spacing w:after="0" w:line="264" w:lineRule="auto"/>
        <w:tabs>
          <w:tab w:leader="none" w:pos="199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 opinion and negative assurance letter of Davis Polk &amp; Wardwell LLP, counsel for the Underwriters, dated the Option Closing Date, relating to the Additional Shares to be purchased on such Option Closing Date and otherwise to the same effect as the opinion and negative assurance letter required by Section 5(g) hereof;</w:t>
      </w:r>
    </w:p>
    <w:p>
      <w:pPr>
        <w:spacing w:after="0" w:line="181" w:lineRule="exact"/>
        <w:rPr>
          <w:rFonts w:ascii="Arial" w:cs="Arial" w:eastAsia="Arial" w:hAnsi="Arial"/>
          <w:sz w:val="18"/>
          <w:szCs w:val="18"/>
          <w:color w:val="auto"/>
        </w:rPr>
      </w:pPr>
    </w:p>
    <w:p>
      <w:pPr>
        <w:ind w:left="640" w:right="700" w:firstLine="645"/>
        <w:spacing w:after="0" w:line="291" w:lineRule="auto"/>
        <w:tabs>
          <w:tab w:leader="none" w:pos="200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 letter dated the Option Closing Date, in form and substance satisfactory to the Underwriters, from Ernst &amp; Young LLP, independent public accountants, substantially in the same form and substance as the letter furnished to the Underwriters pursuant to</w:t>
      </w:r>
    </w:p>
    <w:p>
      <w:pPr>
        <w:ind w:left="640" w:right="10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Section 5(h)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three business days prior to such Option Closing Date; and</w:t>
      </w:r>
    </w:p>
    <w:p>
      <w:pPr>
        <w:spacing w:after="0" w:line="183" w:lineRule="exact"/>
        <w:rPr>
          <w:rFonts w:ascii="Arial" w:cs="Arial" w:eastAsia="Arial" w:hAnsi="Arial"/>
          <w:sz w:val="16"/>
          <w:szCs w:val="16"/>
          <w:color w:val="auto"/>
        </w:rPr>
      </w:pPr>
    </w:p>
    <w:p>
      <w:pPr>
        <w:ind w:left="640" w:right="180" w:firstLine="645"/>
        <w:spacing w:after="0" w:line="264" w:lineRule="auto"/>
        <w:tabs>
          <w:tab w:leader="none" w:pos="200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1" w:lineRule="exact"/>
        <w:rPr>
          <w:rFonts w:ascii="Arial" w:cs="Arial" w:eastAsia="Arial" w:hAnsi="Arial"/>
          <w:sz w:val="18"/>
          <w:szCs w:val="18"/>
          <w:color w:val="auto"/>
        </w:rPr>
      </w:pPr>
    </w:p>
    <w:p>
      <w:pPr>
        <w:ind w:left="1360" w:hanging="724"/>
        <w:spacing w:after="0"/>
        <w:tabs>
          <w:tab w:leader="none" w:pos="136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sz w:val="20"/>
          <w:szCs w:val="20"/>
          <w:color w:val="auto"/>
        </w:rPr>
      </w:pPr>
    </w:p>
    <w:p>
      <w:pPr>
        <w:ind w:left="-20" w:right="220" w:firstLine="656"/>
        <w:spacing w:after="0" w:line="276" w:lineRule="auto"/>
        <w:tabs>
          <w:tab w:leader="none" w:pos="132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furnish to the Representatives, without charge, five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second business day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172" w:lineRule="exact"/>
        <w:rPr>
          <w:rFonts w:ascii="Arial" w:cs="Arial" w:eastAsia="Arial" w:hAnsi="Arial"/>
          <w:sz w:val="17"/>
          <w:szCs w:val="17"/>
          <w:color w:val="auto"/>
        </w:rPr>
      </w:pPr>
    </w:p>
    <w:p>
      <w:pPr>
        <w:ind w:left="-20" w:right="600" w:firstLine="656"/>
        <w:spacing w:after="0" w:line="259" w:lineRule="auto"/>
        <w:tabs>
          <w:tab w:leader="none" w:pos="133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186" w:lineRule="exact"/>
        <w:rPr>
          <w:rFonts w:ascii="Arial" w:cs="Arial" w:eastAsia="Arial" w:hAnsi="Arial"/>
          <w:sz w:val="18"/>
          <w:szCs w:val="18"/>
          <w:color w:val="auto"/>
        </w:rPr>
      </w:pPr>
    </w:p>
    <w:p>
      <w:pPr>
        <w:ind w:left="-20" w:right="100" w:firstLine="656"/>
        <w:spacing w:after="0" w:line="308" w:lineRule="auto"/>
        <w:tabs>
          <w:tab w:leader="none" w:pos="132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320" w:firstLine="656"/>
        <w:spacing w:after="0" w:line="264" w:lineRule="auto"/>
        <w:tabs>
          <w:tab w:leader="none" w:pos="133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1" w:lineRule="exact"/>
        <w:rPr>
          <w:rFonts w:ascii="Arial" w:cs="Arial" w:eastAsia="Arial" w:hAnsi="Arial"/>
          <w:sz w:val="18"/>
          <w:szCs w:val="18"/>
          <w:color w:val="auto"/>
        </w:rPr>
      </w:pPr>
    </w:p>
    <w:p>
      <w:pPr>
        <w:ind w:left="-20" w:right="40" w:firstLine="656"/>
        <w:spacing w:after="0" w:line="289" w:lineRule="auto"/>
        <w:tabs>
          <w:tab w:leader="none" w:pos="132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66" w:lineRule="exact"/>
        <w:rPr>
          <w:rFonts w:ascii="Arial" w:cs="Arial" w:eastAsia="Arial" w:hAnsi="Arial"/>
          <w:sz w:val="16"/>
          <w:szCs w:val="16"/>
          <w:color w:val="auto"/>
        </w:rPr>
      </w:pPr>
    </w:p>
    <w:p>
      <w:pPr>
        <w:ind w:left="-20" w:firstLine="656"/>
        <w:spacing w:after="0" w:line="288" w:lineRule="auto"/>
        <w:tabs>
          <w:tab w:leader="none" w:pos="134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69" w:lineRule="exact"/>
        <w:rPr>
          <w:rFonts w:ascii="Arial" w:cs="Arial" w:eastAsia="Arial" w:hAnsi="Arial"/>
          <w:sz w:val="16"/>
          <w:szCs w:val="16"/>
          <w:color w:val="auto"/>
        </w:rPr>
      </w:pPr>
    </w:p>
    <w:p>
      <w:pPr>
        <w:jc w:val="both"/>
        <w:ind w:left="-20" w:right="80" w:firstLine="656"/>
        <w:spacing w:after="0" w:line="264" w:lineRule="auto"/>
        <w:tabs>
          <w:tab w:leader="none" w:pos="133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To endeavor to qualify the Shares for offer and sale under the securities or Blue Sky laws of such jurisdictions as the Representatives shall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the Company shall not be required to qualify as a foreign corporation or to file a general consent to service of process in any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340" w:firstLine="656"/>
        <w:spacing w:after="0" w:line="342" w:lineRule="auto"/>
        <w:tabs>
          <w:tab w:leader="none" w:pos="133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w:t>
      </w:r>
    </w:p>
    <w:p>
      <w:pPr>
        <w:sectPr>
          <w:pgSz w:w="11900" w:h="16838" w:orient="portrait"/>
          <w:cols w:equalWidth="0" w:num="1">
            <w:col w:w="11380"/>
          </w:cols>
          <w:pgMar w:left="260" w:top="125" w:right="259" w:bottom="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satisfy the provisions of Section 11(a) of the Securities Act and the rules and regulations of the Commission thereunder.</w:t>
      </w:r>
    </w:p>
    <w:p>
      <w:pPr>
        <w:spacing w:after="0" w:line="225" w:lineRule="exact"/>
        <w:rPr>
          <w:sz w:val="20"/>
          <w:szCs w:val="20"/>
          <w:color w:val="auto"/>
        </w:rPr>
      </w:pPr>
    </w:p>
    <w:p>
      <w:pPr>
        <w:ind w:firstLine="656"/>
        <w:spacing w:after="0" w:line="284" w:lineRule="auto"/>
        <w:tabs>
          <w:tab w:leader="none" w:pos="135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reasonable expenses in connection with the qualification of the Shares for offer and sale under state securities laws as provided in Section 6(g) hereof, including filing fees and the reasonably incurred fees and disbursements of counsel for the Underwriters in connection with such qualification and in connection with the Blue Sky or Legal Investment memorandum, (iv) all filing fees and the reasonably incurred fees and disbursements of counsel to the Underwriters incurred in connection with the review and qualification of the offering of the Shares by the Financial Industry Regulatory Authority, Inc. in an amount not to exceed $65,000,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one-half the cost of any aircraft chartered in connection with the road show, provided that the prior approval of each of the Company and the Representatives was obtained prior to the chartering of such aircraft, (ix) the document production charges and expenses associated with printing this Agreement and (x) all other costs and expenses incident to the performance of the obligations of the Company hereunder for which provision is not otherwise made in this Section. It 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81" w:lineRule="exact"/>
        <w:rPr>
          <w:sz w:val="20"/>
          <w:szCs w:val="20"/>
          <w:color w:val="auto"/>
        </w:rPr>
      </w:pPr>
    </w:p>
    <w:p>
      <w:pPr>
        <w:jc w:val="both"/>
        <w:ind w:firstLine="656"/>
        <w:spacing w:after="0" w:line="264" w:lineRule="auto"/>
        <w:tabs>
          <w:tab w:leader="none" w:pos="135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181" w:lineRule="exact"/>
        <w:rPr>
          <w:rFonts w:ascii="Arial" w:cs="Arial" w:eastAsia="Arial" w:hAnsi="Arial"/>
          <w:sz w:val="18"/>
          <w:szCs w:val="18"/>
          <w:color w:val="auto"/>
        </w:rPr>
      </w:pPr>
    </w:p>
    <w:p>
      <w:pPr>
        <w:ind w:right="20" w:firstLine="656"/>
        <w:spacing w:after="0" w:line="257" w:lineRule="auto"/>
        <w:tabs>
          <w:tab w:leader="none" w:pos="135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88" w:lineRule="exact"/>
        <w:rPr>
          <w:rFonts w:ascii="Arial" w:cs="Arial" w:eastAsia="Arial" w:hAnsi="Arial"/>
          <w:sz w:val="18"/>
          <w:szCs w:val="18"/>
          <w:color w:val="auto"/>
        </w:rPr>
      </w:pPr>
    </w:p>
    <w:p>
      <w:pPr>
        <w:ind w:right="120" w:firstLine="656"/>
        <w:spacing w:after="0" w:line="286" w:lineRule="auto"/>
        <w:tabs>
          <w:tab w:leader="none" w:pos="135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Company also covenants with each Underwriter that, without the prior written consent of the Representatives on behalf of the Underwriters, it will not, during the period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spacing w:after="0" w:line="1" w:lineRule="exact"/>
        <w:rPr>
          <w:rFonts w:ascii="Arial" w:cs="Arial" w:eastAsia="Arial" w:hAnsi="Arial"/>
          <w:sz w:val="16"/>
          <w:szCs w:val="16"/>
          <w:color w:val="auto"/>
        </w:rPr>
      </w:pPr>
    </w:p>
    <w:p>
      <w:pPr>
        <w:ind w:right="20" w:firstLine="8"/>
        <w:spacing w:after="0" w:line="271" w:lineRule="auto"/>
        <w:tabs>
          <w:tab w:leader="none" w:pos="25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(3) file any registration statement with the Commission relating to the offering of any shares of Common Stock or any securities convertible into or exercisable or exchangeable for Common Stock or (4) publicly disclose the intention to make any such offer, pledge, sale, contract, purchase, grant, loan, transfer or disposition, enter into any such swap or other arrangement, or make any such filing.</w:t>
      </w:r>
    </w:p>
    <w:p>
      <w:pPr>
        <w:spacing w:after="0" w:line="17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The restrictions contained in the preceding paragraph shall not apply to (a) the Shares to be sold hereunder, (b) the issuance by the Company of shares of Common Stock upon the exercise of an option or warrant or the conversion of a security outstanding on the date hereof and described in the Time of Sale Prospectus and the Prospectus or of which the Underwriters have been advised in writing,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cause each recipient of any such shares to execute and deliver to the Representatives an agreement substantially in the form of Exhibit A hereto if such recipient has not already executed and delivered one, (c) any options and other awards granted under a stock incentive plan or stock purchase plan described in the Time of Sale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 xml:space="preserve">Prospectus and the Prospectus (and the issuance by the Company of shares of Common Stock upon the exercise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cause each recipient of any such grant to execute and deliver to the Representatives an agreement substantially in the form of Exhibit A hereto if such recipient has not already executed and delivered one, (d) the filing by the Company of any registration statement on Form S-8 or a successor form thereto relating to the shares of Common Stock granted pursuant to or reserved for issuance under a stock incentive plan or stock purchase plan described in the Prospectus, (e) shares of Common Stock or other securities issued in connection with any (i) mergers, (ii) acquisition of securities, businesses, property or other assets, (iii) joint ventures, (iv) strategic alliances, (v) partnerships with experts or other talent to develop or provide content, (vi) equipment leasing arrangements or (vii) debt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aggregate number of shares of Common Stock or other securities issued pursuant to this clause</w:t>
      </w:r>
    </w:p>
    <w:p>
      <w:pPr>
        <w:spacing w:after="0" w:line="3" w:lineRule="exact"/>
        <w:rPr>
          <w:sz w:val="20"/>
          <w:szCs w:val="20"/>
          <w:color w:val="auto"/>
        </w:rPr>
      </w:pPr>
    </w:p>
    <w:p>
      <w:pPr>
        <w:ind w:right="20" w:firstLine="8"/>
        <w:spacing w:after="0" w:line="281" w:lineRule="auto"/>
        <w:tabs>
          <w:tab w:leader="none" w:pos="24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shall not exceed 15.0% of the total number of shares of Common Stock then outstanding (determined, in the case of any such other securities, based on the maximum number of shares of Common Stock issuable upon conversion, exercise or exchange of such other securities, whether or not such other securities are then convertible into or exercisable or exchangeable for shares of Common Stock) and (y) each recipient of any such shares of Common Stock or other securities issued pursuant to this clause (e) shall execute and deliver to the Representatives an agreement substantially in the form of Exhibit A hereto, or</w:t>
      </w:r>
    </w:p>
    <w:p>
      <w:pPr>
        <w:spacing w:after="0" w:line="2" w:lineRule="exact"/>
        <w:rPr>
          <w:rFonts w:ascii="Arial" w:cs="Arial" w:eastAsia="Arial" w:hAnsi="Arial"/>
          <w:sz w:val="16"/>
          <w:szCs w:val="16"/>
          <w:color w:val="auto"/>
        </w:rPr>
      </w:pPr>
    </w:p>
    <w:p>
      <w:pPr>
        <w:ind w:right="340" w:firstLine="8"/>
        <w:spacing w:after="0" w:line="323" w:lineRule="auto"/>
        <w:tabs>
          <w:tab w:leader="none" w:pos="22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the establishment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Common Stock during the Restricted Period and (ii) to the extent a public announcement or filing under the</w:t>
      </w:r>
    </w:p>
    <w:p>
      <w:pPr>
        <w:sectPr>
          <w:pgSz w:w="11900" w:h="16838" w:orient="portrait"/>
          <w:cols w:equalWidth="0" w:num="1">
            <w:col w:w="11420"/>
          </w:cols>
          <w:pgMar w:left="240" w:top="125" w:right="239" w:bottom="0" w:gutter="0" w:footer="0" w:header="0"/>
        </w:sectPr>
      </w:pPr>
    </w:p>
    <w:bookmarkStart w:id="286" w:name="page287"/>
    <w:bookmarkEnd w:id="286"/>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Representatives, in their sole discretion, agree to release or waive the restrictions set forth in a lock-up agreement described in</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Section 5(i)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173" w:lineRule="exact"/>
        <w:rPr>
          <w:sz w:val="20"/>
          <w:szCs w:val="20"/>
          <w:color w:val="auto"/>
        </w:rPr>
      </w:pPr>
    </w:p>
    <w:p>
      <w:pPr>
        <w:ind w:firstLine="656"/>
        <w:spacing w:after="0" w:line="264" w:lineRule="auto"/>
        <w:tabs>
          <w:tab w:leader="none" w:pos="1368"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1" w:lineRule="exact"/>
        <w:rPr>
          <w:rFonts w:ascii="Arial" w:cs="Arial" w:eastAsia="Arial" w:hAnsi="Arial"/>
          <w:sz w:val="18"/>
          <w:szCs w:val="18"/>
          <w:color w:val="auto"/>
        </w:rPr>
      </w:pPr>
    </w:p>
    <w:p>
      <w:pPr>
        <w:jc w:val="both"/>
        <w:ind w:right="40" w:firstLine="656"/>
        <w:spacing w:after="0" w:line="264" w:lineRule="auto"/>
        <w:tabs>
          <w:tab w:leader="none" w:pos="1368"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Indemnity and Contribution. </w:t>
      </w:r>
      <w:r>
        <w:rPr>
          <w:rFonts w:ascii="Arial" w:cs="Arial" w:eastAsia="Arial" w:hAnsi="Arial"/>
          <w:sz w:val="18"/>
          <w:szCs w:val="18"/>
          <w:color w:val="auto"/>
        </w:rPr>
        <w:t>(a) The Company agrees to indemnify and hold harmless each Underwriter, each person, if any, who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any Underwriter within the meaning of either Section 15 of the Securities Act or Section 20 of the Exchange Act and each affiliate of any Underwriter within the meaning of Rule 405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6"/>
          <w:szCs w:val="16"/>
          <w:b w:val="1"/>
          <w:bCs w:val="1"/>
          <w:color w:val="auto"/>
        </w:rPr>
        <w:t>road</w:t>
      </w:r>
      <w:r>
        <w:rPr>
          <w:rFonts w:ascii="Arial" w:cs="Arial" w:eastAsia="Arial" w:hAnsi="Arial"/>
          <w:sz w:val="16"/>
          <w:szCs w:val="16"/>
          <w:color w:val="auto"/>
        </w:rPr>
        <w:t xml:space="preserve"> </w:t>
      </w:r>
      <w:r>
        <w:rPr>
          <w:rFonts w:ascii="Arial" w:cs="Arial" w:eastAsia="Arial" w:hAnsi="Arial"/>
          <w:sz w:val="16"/>
          <w:szCs w:val="16"/>
          <w:b w:val="1"/>
          <w:bCs w:val="1"/>
          <w:color w:val="auto"/>
        </w:rPr>
        <w:t>show</w:t>
      </w:r>
      <w:r>
        <w:rPr>
          <w:rFonts w:ascii="Arial" w:cs="Arial" w:eastAsia="Arial" w:hAnsi="Arial"/>
          <w:sz w:val="16"/>
          <w:szCs w:val="16"/>
          <w:color w:val="auto"/>
        </w:rPr>
        <w:t>”), or the Prospectus or any amendment or supplement thereto, or any Written Testing-the-Waters Communication caused by any omission or alleged</w:t>
      </w:r>
      <w:r>
        <w:rPr>
          <w:rFonts w:ascii="Arial" w:cs="Arial" w:eastAsia="Arial" w:hAnsi="Arial"/>
          <w:sz w:val="16"/>
          <w:szCs w:val="16"/>
          <w:b w:val="1"/>
          <w:bCs w:val="1"/>
          <w:color w:val="auto"/>
        </w:rPr>
        <w:t xml:space="preserve"> </w:t>
      </w:r>
      <w:r>
        <w:rPr>
          <w:rFonts w:ascii="Arial" w:cs="Arial" w:eastAsia="Arial" w:hAnsi="Arial"/>
          <w:sz w:val="16"/>
          <w:szCs w:val="16"/>
          <w:color w:val="auto"/>
        </w:rPr>
        <w:t>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pacing w:after="0" w:line="167" w:lineRule="exact"/>
        <w:rPr>
          <w:sz w:val="20"/>
          <w:szCs w:val="20"/>
          <w:color w:val="auto"/>
        </w:rPr>
      </w:pPr>
    </w:p>
    <w:p>
      <w:pPr>
        <w:ind w:right="160" w:firstLine="656"/>
        <w:spacing w:after="0" w:line="255" w:lineRule="auto"/>
        <w:tabs>
          <w:tab w:leader="none" w:pos="13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w:t>
      </w:r>
    </w:p>
    <w:p>
      <w:pPr>
        <w:spacing w:after="0" w:line="193" w:lineRule="exact"/>
        <w:rPr>
          <w:rFonts w:ascii="Arial" w:cs="Arial" w:eastAsia="Arial" w:hAnsi="Arial"/>
          <w:sz w:val="18"/>
          <w:szCs w:val="18"/>
          <w:color w:val="auto"/>
        </w:rPr>
      </w:pPr>
    </w:p>
    <w:p>
      <w:pPr>
        <w:ind w:firstLine="656"/>
        <w:spacing w:after="0" w:line="269" w:lineRule="auto"/>
        <w:tabs>
          <w:tab w:leader="none" w:pos="134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reasonably incurred fees and expenses of more than one separate firm (in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(A) more than 60 days after receipt by the indemnifying party of such request and (B) more than 30 days after receipt by such indemnifying party of the proposed terms of such settlement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8" w:lineRule="exact"/>
        <w:rPr>
          <w:sz w:val="20"/>
          <w:szCs w:val="20"/>
          <w:color w:val="auto"/>
        </w:rPr>
      </w:pPr>
    </w:p>
    <w:p>
      <w:pPr>
        <w:ind w:firstLine="656"/>
        <w:spacing w:after="0" w:line="289" w:lineRule="auto"/>
        <w:tabs>
          <w:tab w:leader="none" w:pos="135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w:t>
      </w:r>
    </w:p>
    <w:p>
      <w:pPr>
        <w:sectPr>
          <w:pgSz w:w="11900" w:h="16933" w:orient="portrait"/>
          <w:cols w:equalWidth="0" w:num="1">
            <w:col w:w="11420"/>
          </w:cols>
          <w:pgMar w:left="240" w:top="126" w:right="239" w:bottom="0" w:gutter="0" w:footer="0" w:header="0"/>
        </w:sectPr>
      </w:pPr>
    </w:p>
    <w:bookmarkStart w:id="287" w:name="page288"/>
    <w:bookmarkEnd w:id="287"/>
    <w:p>
      <w:pPr>
        <w:ind w:right="140"/>
        <w:spacing w:after="0" w:line="264" w:lineRule="auto"/>
        <w:rPr>
          <w:sz w:val="20"/>
          <w:szCs w:val="20"/>
          <w:color w:val="auto"/>
        </w:rPr>
      </w:pPr>
      <w:r>
        <w:rPr>
          <w:rFonts w:ascii="Arial" w:cs="Arial" w:eastAsia="Arial" w:hAnsi="Arial"/>
          <w:sz w:val="18"/>
          <w:szCs w:val="18"/>
          <w:color w:val="auto"/>
        </w:rPr>
        <w:t>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87" w:lineRule="exact"/>
        <w:rPr>
          <w:sz w:val="20"/>
          <w:szCs w:val="20"/>
          <w:color w:val="auto"/>
        </w:rPr>
      </w:pPr>
    </w:p>
    <w:p>
      <w:pPr>
        <w:ind w:right="20" w:firstLine="656"/>
        <w:spacing w:after="0" w:line="288" w:lineRule="auto"/>
        <w:tabs>
          <w:tab w:leader="none" w:pos="134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69" w:lineRule="exact"/>
        <w:rPr>
          <w:rFonts w:ascii="Arial" w:cs="Arial" w:eastAsia="Arial" w:hAnsi="Arial"/>
          <w:sz w:val="16"/>
          <w:szCs w:val="16"/>
          <w:color w:val="auto"/>
        </w:rPr>
      </w:pPr>
    </w:p>
    <w:p>
      <w:pPr>
        <w:ind w:right="240" w:firstLine="656"/>
        <w:spacing w:after="0" w:line="279" w:lineRule="auto"/>
        <w:tabs>
          <w:tab w:leader="none" w:pos="136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71" w:lineRule="exact"/>
        <w:rPr>
          <w:sz w:val="20"/>
          <w:szCs w:val="20"/>
          <w:color w:val="auto"/>
        </w:rPr>
      </w:pPr>
    </w:p>
    <w:p>
      <w:pPr>
        <w:ind w:right="40" w:firstLine="656"/>
        <w:spacing w:after="0" w:line="272" w:lineRule="auto"/>
        <w:tabs>
          <w:tab w:leader="none" w:pos="1368"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Underwriters may terminate this Agreement by notice given by the Representatives to the Company, if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and delivery of this Agreement and prior to the Closing Date (i) trading generally shall have been suspended or materially limited on, or by, as the case may be, any of the New York Stock Exchange, the NYSE MKT,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Representatives, is material and adverse and which, singly or together with any other event specified in this clause (v), makes it, in the judgment of the Representatives, impracticable or inadvisable to proceed with the offer, sale or delivery of the Shares on the terms and in the manner contemplated in the Time of Sale Prospectus or the Prospectus.</w:t>
      </w:r>
    </w:p>
    <w:p>
      <w:pPr>
        <w:spacing w:after="0" w:line="181" w:lineRule="exact"/>
        <w:rPr>
          <w:sz w:val="20"/>
          <w:szCs w:val="20"/>
          <w:color w:val="auto"/>
        </w:rPr>
      </w:pPr>
    </w:p>
    <w:p>
      <w:pPr>
        <w:ind w:left="1340" w:hanging="684"/>
        <w:spacing w:after="0"/>
        <w:tabs>
          <w:tab w:leader="none" w:pos="1340"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288" w:name="page289"/>
    <w:bookmarkEnd w:id="288"/>
    <w:p>
      <w:pPr>
        <w:ind w:right="20"/>
        <w:spacing w:after="0" w:line="259" w:lineRule="auto"/>
        <w:rPr>
          <w:sz w:val="20"/>
          <w:szCs w:val="20"/>
          <w:color w:val="auto"/>
        </w:rPr>
      </w:pPr>
      <w:r>
        <w:rPr>
          <w:rFonts w:ascii="Arial" w:cs="Arial" w:eastAsia="Arial" w:hAnsi="Arial"/>
          <w:sz w:val="18"/>
          <w:szCs w:val="18"/>
          <w:color w:val="auto"/>
        </w:rPr>
        <w:t>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187" w:lineRule="exact"/>
        <w:rPr>
          <w:sz w:val="20"/>
          <w:szCs w:val="20"/>
          <w:color w:val="auto"/>
        </w:rPr>
      </w:pPr>
    </w:p>
    <w:p>
      <w:pPr>
        <w:ind w:right="40" w:firstLine="656"/>
        <w:spacing w:after="0" w:line="259" w:lineRule="auto"/>
        <w:tabs>
          <w:tab w:leader="none" w:pos="1317"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87" w:lineRule="exact"/>
        <w:rPr>
          <w:sz w:val="20"/>
          <w:szCs w:val="20"/>
          <w:color w:val="auto"/>
        </w:rPr>
      </w:pPr>
    </w:p>
    <w:p>
      <w:pPr>
        <w:ind w:firstLine="656"/>
        <w:spacing w:after="0" w:line="257" w:lineRule="auto"/>
        <w:tabs>
          <w:tab w:leader="none" w:pos="135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88" w:lineRule="exact"/>
        <w:rPr>
          <w:sz w:val="20"/>
          <w:szCs w:val="20"/>
          <w:color w:val="auto"/>
        </w:rPr>
      </w:pPr>
    </w:p>
    <w:p>
      <w:pPr>
        <w:ind w:right="20" w:firstLine="656"/>
        <w:spacing w:after="0" w:line="277" w:lineRule="auto"/>
        <w:tabs>
          <w:tab w:leader="none" w:pos="1323"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100" w:firstLine="656"/>
        <w:spacing w:after="0" w:line="277" w:lineRule="auto"/>
        <w:tabs>
          <w:tab w:leader="none" w:pos="1323"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40" w:firstLine="656"/>
        <w:spacing w:after="0" w:line="257" w:lineRule="auto"/>
        <w:tabs>
          <w:tab w:leader="none" w:pos="1323"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and if to the Underwriters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sent to the Representatives in care of Morgan Stanley &amp; Co. LLC, 1585 Broadway, New York, New York 10036, Attention: Equity Syndicate Desk, with a copy to the Legal Department, or J.P. Morgan Securities LLC, 383 Madison Avenue, New York, New York 10179, Attention: Equity Syndicate Desk; and if to the Company, shall be delivered, mailed or sent to Editas Medicine, Inc., 300 Third Street, Cambridge, MA 02142, Attention: Chief Executive Officer.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EDITAS MEDICINE, INC.</w:t>
      </w:r>
    </w:p>
    <w:p>
      <w:pPr>
        <w:spacing w:after="0" w:line="200" w:lineRule="exact"/>
        <w:rPr>
          <w:sz w:val="20"/>
          <w:szCs w:val="20"/>
          <w:color w:val="auto"/>
        </w:rPr>
      </w:pPr>
    </w:p>
    <w:p>
      <w:pPr>
        <w:spacing w:after="0" w:line="24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 Underwriters named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Schedule I hereto</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Morgan Stanley &amp; Co.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J.P. Morgan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560" w:type="dxa"/>
            <w:vAlign w:val="bottom"/>
          </w:tcPr>
          <w:p>
            <w:pPr>
              <w:jc w:val="center"/>
              <w:ind w:left="3828"/>
              <w:spacing w:after="0"/>
              <w:rPr>
                <w:sz w:val="20"/>
                <w:szCs w:val="20"/>
                <w:color w:val="auto"/>
              </w:rPr>
            </w:pPr>
            <w:r>
              <w:rPr>
                <w:rFonts w:ascii="Arial" w:cs="Arial" w:eastAsia="Arial" w:hAnsi="Arial"/>
                <w:sz w:val="14"/>
                <w:szCs w:val="14"/>
                <w:b w:val="1"/>
                <w:bCs w:val="1"/>
                <w:color w:val="auto"/>
                <w:w w:val="94"/>
              </w:rPr>
              <w:t>Number of Firm Shares To</w:t>
            </w:r>
          </w:p>
        </w:tc>
        <w:tc>
          <w:tcPr>
            <w:tcW w:w="0" w:type="dxa"/>
            <w:vAlign w:val="bottom"/>
          </w:tcPr>
          <w:p>
            <w:pPr>
              <w:spacing w:after="0"/>
              <w:rPr>
                <w:sz w:val="1"/>
                <w:szCs w:val="1"/>
                <w:color w:val="auto"/>
              </w:rPr>
            </w:pPr>
          </w:p>
        </w:tc>
      </w:tr>
      <w:tr>
        <w:trPr>
          <w:trHeight w:val="186"/>
        </w:trPr>
        <w:tc>
          <w:tcPr>
            <w:tcW w:w="4700" w:type="dxa"/>
            <w:vAlign w:val="bottom"/>
            <w:vMerge w:val="continue"/>
          </w:tcPr>
          <w:p>
            <w:pPr>
              <w:spacing w:after="0"/>
              <w:rPr>
                <w:sz w:val="16"/>
                <w:szCs w:val="16"/>
                <w:color w:val="auto"/>
              </w:rPr>
            </w:pPr>
          </w:p>
        </w:tc>
        <w:tc>
          <w:tcPr>
            <w:tcW w:w="5560" w:type="dxa"/>
            <w:vAlign w:val="bottom"/>
          </w:tcPr>
          <w:p>
            <w:pPr>
              <w:jc w:val="center"/>
              <w:ind w:left="3808"/>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6350</wp:posOffset>
            </wp:positionV>
            <wp:extent cx="252984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-121920</wp:posOffset>
            </wp:positionV>
            <wp:extent cx="252984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29" w:lineRule="exact"/>
        <w:rPr>
          <w:sz w:val="20"/>
          <w:szCs w:val="20"/>
          <w:color w:val="auto"/>
        </w:rPr>
      </w:pPr>
    </w:p>
    <w:p>
      <w:pPr>
        <w:spacing w:after="0"/>
        <w:tabs>
          <w:tab w:leader="none" w:pos="700" w:val="left"/>
          <w:tab w:leader="none" w:pos="3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Preliminary Prospectus issued [</w:t>
      </w:r>
      <w:r>
        <w:rPr>
          <w:sz w:val="20"/>
          <w:szCs w:val="20"/>
          <w:color w:val="auto"/>
        </w:rPr>
        <w:tab/>
      </w:r>
      <w:r>
        <w:rPr>
          <w:rFonts w:ascii="Arial" w:cs="Arial" w:eastAsia="Arial" w:hAnsi="Arial"/>
          <w:sz w:val="16"/>
          <w:szCs w:val="16"/>
          <w:color w:val="auto"/>
        </w:rPr>
        <w:t>], 2016</w:t>
      </w:r>
    </w:p>
    <w:p>
      <w:pPr>
        <w:spacing w:after="0" w:line="225" w:lineRule="exact"/>
        <w:rPr>
          <w:sz w:val="20"/>
          <w:szCs w:val="20"/>
          <w:color w:val="auto"/>
        </w:rPr>
      </w:pPr>
    </w:p>
    <w:p>
      <w:pPr>
        <w:ind w:left="720" w:hanging="712"/>
        <w:spacing w:after="0"/>
        <w:tabs>
          <w:tab w:leader="none" w:pos="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Testing-the-Waters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&amp; Officers</w:t>
      </w:r>
    </w:p>
    <w:p>
      <w:pPr>
        <w:spacing w:after="0" w:line="221" w:lineRule="exact"/>
        <w:rPr>
          <w:sz w:val="20"/>
          <w:szCs w:val="20"/>
          <w:color w:val="auto"/>
        </w:rPr>
      </w:pPr>
    </w:p>
    <w:p>
      <w:pPr>
        <w:spacing w:after="0"/>
        <w:tabs>
          <w:tab w:leader="none" w:pos="84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946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028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ectPr>
          <w:pgSz w:w="11900" w:h="16838" w:orient="portrait"/>
          <w:cols w:equalWidth="0" w:num="1">
            <w:col w:w="11420"/>
          </w:cols>
          <w:pgMar w:left="240" w:top="580" w:right="239" w:bottom="0" w:gutter="0" w:footer="0" w:header="0"/>
        </w:sectPr>
      </w:pPr>
    </w:p>
    <w:bookmarkStart w:id="290" w:name="page291"/>
    <w:bookmarkEnd w:id="290"/>
    <w:p>
      <w:pPr>
        <w:ind w:left="438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FORM OF OPINION OF</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OPINION OF CHOATE HALL &amp; STEWART LLP</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OPINION OF PERKINS COIE LLP</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OPINION OF ROTHWELL, FIGG, ERNST &amp; MANBECK, P.C.</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154940</wp:posOffset>
            </wp:positionV>
            <wp:extent cx="2478405" cy="797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47840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b w:val="1"/>
          <w:bCs w:val="1"/>
          <w:i w:val="1"/>
          <w:iCs w:val="1"/>
          <w:color w:val="auto"/>
        </w:rPr>
        <w:t>I, JEFFREY W. BULLOCK, SECRETARY OF STATE OF THE STATE OF DELAWARE, DO HEREBY CERTIFY THE ATTACHED IS A TRUE AND CORRECT COPY OF THE CERTIFICATE OF AMENDMENT OF “EDITAS MEDICINE, INC.”, FILED IN THIS OFFICE ON THE FIFTEENTH DAY OF JANUARY, A.D. 2016, AT 9:52 O`CLOCK A.M.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FILED COPY OF THIS CERTIFICATE HAS BEEN FORWARDED TO THE NEW CASTLE COUNTY RECORDER OF DEEDS.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289560</wp:posOffset>
            </wp:positionV>
            <wp:extent cx="1080770" cy="10293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8077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4820" w:type="dxa"/>
            <w:vAlign w:val="bottom"/>
            <w:gridSpan w:val="2"/>
          </w:tcPr>
          <w:p>
            <w:pPr>
              <w:jc w:val="right"/>
              <w:ind w:right="1640"/>
              <w:spacing w:after="0"/>
              <w:rPr>
                <w:sz w:val="20"/>
                <w:szCs w:val="20"/>
                <w:color w:val="auto"/>
              </w:rPr>
            </w:pPr>
            <w:r>
              <w:rPr>
                <w:rFonts w:ascii="Arial" w:cs="Arial" w:eastAsia="Arial" w:hAnsi="Arial"/>
                <w:sz w:val="18"/>
                <w:szCs w:val="18"/>
                <w:color w:val="auto"/>
              </w:rPr>
              <w:t>/s/ Jeffrey W. Bullock</w:t>
            </w:r>
          </w:p>
        </w:tc>
      </w:tr>
      <w:tr>
        <w:trPr>
          <w:trHeight w:val="224"/>
        </w:trPr>
        <w:tc>
          <w:tcPr>
            <w:tcW w:w="6620" w:type="dxa"/>
            <w:vAlign w:val="bottom"/>
          </w:tcPr>
          <w:p>
            <w:pPr>
              <w:spacing w:after="0"/>
              <w:rPr>
                <w:sz w:val="19"/>
                <w:szCs w:val="19"/>
                <w:color w:val="auto"/>
              </w:rPr>
            </w:pPr>
          </w:p>
        </w:tc>
        <w:tc>
          <w:tcPr>
            <w:tcW w:w="480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Jeffrey W. Bullock, Secretary of State</w:t>
            </w:r>
          </w:p>
        </w:tc>
        <w:tc>
          <w:tcPr>
            <w:tcW w:w="20" w:type="dxa"/>
            <w:vAlign w:val="bottom"/>
          </w:tcPr>
          <w:p>
            <w:pPr>
              <w:spacing w:after="0"/>
              <w:rPr>
                <w:sz w:val="19"/>
                <w:szCs w:val="19"/>
                <w:color w:val="auto"/>
              </w:rPr>
            </w:pPr>
          </w:p>
        </w:tc>
      </w:tr>
      <w:tr>
        <w:trPr>
          <w:trHeight w:val="634"/>
        </w:trPr>
        <w:tc>
          <w:tcPr>
            <w:tcW w:w="6620" w:type="dxa"/>
            <w:vAlign w:val="bottom"/>
          </w:tcPr>
          <w:p>
            <w:pPr>
              <w:spacing w:after="0"/>
              <w:rPr>
                <w:sz w:val="20"/>
                <w:szCs w:val="20"/>
                <w:color w:val="auto"/>
              </w:rPr>
            </w:pPr>
            <w:r>
              <w:rPr>
                <w:rFonts w:ascii="Arial" w:cs="Arial" w:eastAsia="Arial" w:hAnsi="Arial"/>
                <w:sz w:val="18"/>
                <w:szCs w:val="18"/>
                <w:color w:val="auto"/>
              </w:rPr>
              <w:t>5392754 8100</w:t>
            </w:r>
          </w:p>
        </w:tc>
        <w:tc>
          <w:tcPr>
            <w:tcW w:w="4820" w:type="dxa"/>
            <w:vAlign w:val="bottom"/>
            <w:gridSpan w:val="2"/>
          </w:tcPr>
          <w:p>
            <w:pPr>
              <w:jc w:val="right"/>
              <w:ind w:right="20"/>
              <w:spacing w:after="0"/>
              <w:rPr>
                <w:sz w:val="20"/>
                <w:szCs w:val="20"/>
                <w:color w:val="auto"/>
              </w:rPr>
            </w:pPr>
            <w:r>
              <w:rPr>
                <w:rFonts w:ascii="Arial" w:cs="Arial" w:eastAsia="Arial" w:hAnsi="Arial"/>
                <w:sz w:val="18"/>
                <w:szCs w:val="18"/>
                <w:color w:val="auto"/>
              </w:rPr>
              <w:t>Authentication: 201679991</w:t>
            </w:r>
          </w:p>
        </w:tc>
      </w:tr>
      <w:tr>
        <w:trPr>
          <w:trHeight w:val="257"/>
        </w:trPr>
        <w:tc>
          <w:tcPr>
            <w:tcW w:w="6620" w:type="dxa"/>
            <w:vAlign w:val="bottom"/>
          </w:tcPr>
          <w:p>
            <w:pPr>
              <w:spacing w:after="0"/>
              <w:rPr>
                <w:sz w:val="20"/>
                <w:szCs w:val="20"/>
                <w:color w:val="auto"/>
              </w:rPr>
            </w:pPr>
            <w:r>
              <w:rPr>
                <w:rFonts w:ascii="Arial" w:cs="Arial" w:eastAsia="Arial" w:hAnsi="Arial"/>
                <w:sz w:val="18"/>
                <w:szCs w:val="18"/>
                <w:color w:val="auto"/>
              </w:rPr>
              <w:t>SR# 20160238363</w:t>
            </w:r>
          </w:p>
        </w:tc>
        <w:tc>
          <w:tcPr>
            <w:tcW w:w="4820" w:type="dxa"/>
            <w:vAlign w:val="bottom"/>
            <w:gridSpan w:val="2"/>
          </w:tcPr>
          <w:p>
            <w:pPr>
              <w:jc w:val="right"/>
              <w:ind w:right="20"/>
              <w:spacing w:after="0"/>
              <w:rPr>
                <w:sz w:val="20"/>
                <w:szCs w:val="20"/>
                <w:color w:val="auto"/>
              </w:rPr>
            </w:pPr>
            <w:r>
              <w:rPr>
                <w:rFonts w:ascii="Arial" w:cs="Arial" w:eastAsia="Arial" w:hAnsi="Arial"/>
                <w:sz w:val="18"/>
                <w:szCs w:val="18"/>
                <w:color w:val="auto"/>
              </w:rPr>
              <w:t>Date: 01-15-16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You may verify this certificate online at corp.delaware.gov/authver.shtml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Division of Corporations</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Delivered 09:52 AM 01/15/2016</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FILED 09:52 AM 01/15/2016</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SR 20160238363 - File Number 5392754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Pursuant to Section 228 and 242 of the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General Corporation Law of the State of Delaware</w:t>
      </w:r>
    </w:p>
    <w:p>
      <w:pPr>
        <w:spacing w:after="0" w:line="207" w:lineRule="exact"/>
        <w:rPr>
          <w:sz w:val="20"/>
          <w:szCs w:val="20"/>
          <w:color w:val="auto"/>
        </w:rPr>
      </w:pPr>
    </w:p>
    <w:p>
      <w:pPr>
        <w:ind w:left="20" w:right="220" w:firstLine="642"/>
        <w:spacing w:after="0" w:line="282" w:lineRule="auto"/>
        <w:rPr>
          <w:sz w:val="20"/>
          <w:szCs w:val="20"/>
          <w:color w:val="auto"/>
        </w:rPr>
      </w:pPr>
      <w:r>
        <w:rPr>
          <w:rFonts w:ascii="Arial" w:cs="Arial" w:eastAsia="Arial" w:hAnsi="Arial"/>
          <w:sz w:val="18"/>
          <w:szCs w:val="18"/>
          <w:b w:val="1"/>
          <w:bCs w:val="1"/>
          <w:color w:val="auto"/>
        </w:rPr>
        <w:t xml:space="preserve">Editas Medicine, Inc. </w:t>
      </w:r>
      <w:r>
        <w:rPr>
          <w:rFonts w:ascii="Arial" w:cs="Arial" w:eastAsia="Arial" w:hAnsi="Arial"/>
          <w:sz w:val="18"/>
          <w:szCs w:val="18"/>
          <w:color w:val="auto"/>
        </w:rPr>
        <w:t>(hereinafter called the “Corporation”), a corporation organized and existing under and by virtue of the General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Law of the State of Delaware, does hereby certify as follows:</w:t>
      </w:r>
    </w:p>
    <w:p>
      <w:pPr>
        <w:spacing w:after="0" w:line="166" w:lineRule="exact"/>
        <w:rPr>
          <w:sz w:val="20"/>
          <w:szCs w:val="20"/>
          <w:color w:val="auto"/>
        </w:rPr>
      </w:pPr>
    </w:p>
    <w:p>
      <w:pPr>
        <w:ind w:left="660" w:right="340" w:hanging="322"/>
        <w:spacing w:after="0" w:line="277" w:lineRule="auto"/>
        <w:tabs>
          <w:tab w:leader="none" w:pos="66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name of the Corporation is Editas Medicine, Inc. The original Certificate of Incorporation of the Corporation was filed with the Secretary of State of the State of Delaware on September 3, 2013 under the name Gengine, Inc.</w:t>
      </w:r>
    </w:p>
    <w:p>
      <w:pPr>
        <w:spacing w:after="0" w:line="170" w:lineRule="exact"/>
        <w:rPr>
          <w:rFonts w:ascii="Arial" w:cs="Arial" w:eastAsia="Arial" w:hAnsi="Arial"/>
          <w:sz w:val="18"/>
          <w:szCs w:val="18"/>
          <w:color w:val="auto"/>
        </w:rPr>
      </w:pPr>
    </w:p>
    <w:p>
      <w:pPr>
        <w:ind w:left="660" w:right="140" w:hanging="322"/>
        <w:spacing w:after="0" w:line="279" w:lineRule="auto"/>
        <w:tabs>
          <w:tab w:leader="none" w:pos="66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 resolution was duly adopted by the Board of Directors of the Corporation pursuant to Section 242 of the General Corporation Law of the State of Delaware setting forth an amendment to the Restated Certificate of Incorporation of the Corporation and declaring said amendment to be advisable. The stockholders of the Corporation duly approved said proposed amendment by written consent in accordance with Sections 228 and 242 of the General Corporation Law of the State of Delaware. The resolutions setting forth the amendment are as follows:</w:t>
      </w:r>
    </w:p>
    <w:p>
      <w:pPr>
        <w:spacing w:after="0" w:line="171" w:lineRule="exact"/>
        <w:rPr>
          <w:sz w:val="20"/>
          <w:szCs w:val="20"/>
          <w:color w:val="auto"/>
        </w:rPr>
      </w:pPr>
    </w:p>
    <w:p>
      <w:pPr>
        <w:ind w:left="1960" w:right="60" w:hanging="1944"/>
        <w:spacing w:after="0" w:line="277" w:lineRule="auto"/>
        <w:tabs>
          <w:tab w:leader="none" w:pos="1940" w:val="left"/>
        </w:tabs>
        <w:rPr>
          <w:sz w:val="20"/>
          <w:szCs w:val="20"/>
          <w:color w:val="auto"/>
        </w:rPr>
      </w:pPr>
      <w:r>
        <w:rPr>
          <w:rFonts w:ascii="Arial" w:cs="Arial" w:eastAsia="Arial" w:hAnsi="Arial"/>
          <w:sz w:val="18"/>
          <w:szCs w:val="18"/>
          <w:u w:val="single" w:color="auto"/>
          <w:color w:val="auto"/>
        </w:rPr>
        <w:t>RESOLVED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That the first sentence of Article FOURTH of the Restated Certificate of Incorporation of the Corporation be and hereby is deleted in its entirety and the following three paragraphs are inserted in lieu thereof:</w:t>
      </w:r>
    </w:p>
    <w:p>
      <w:pPr>
        <w:spacing w:after="0" w:line="166" w:lineRule="exact"/>
        <w:rPr>
          <w:sz w:val="20"/>
          <w:szCs w:val="20"/>
          <w:color w:val="auto"/>
        </w:rPr>
      </w:pPr>
    </w:p>
    <w:p>
      <w:pPr>
        <w:ind w:left="1960" w:right="80"/>
        <w:spacing w:after="0" w:line="290" w:lineRule="auto"/>
        <w:rPr>
          <w:sz w:val="20"/>
          <w:szCs w:val="20"/>
          <w:color w:val="auto"/>
        </w:rPr>
      </w:pPr>
      <w:r>
        <w:rPr>
          <w:rFonts w:ascii="Arial" w:cs="Arial" w:eastAsia="Arial" w:hAnsi="Arial"/>
          <w:sz w:val="16"/>
          <w:szCs w:val="16"/>
          <w:b w:val="1"/>
          <w:bCs w:val="1"/>
          <w:color w:val="auto"/>
        </w:rPr>
        <w:t xml:space="preserve">“FOURTH: </w:t>
      </w:r>
      <w:r>
        <w:rPr>
          <w:rFonts w:ascii="Arial" w:cs="Arial" w:eastAsia="Arial" w:hAnsi="Arial"/>
          <w:sz w:val="16"/>
          <w:szCs w:val="16"/>
          <w:color w:val="auto"/>
        </w:rPr>
        <w:t>That, effective on the filing of this Certificate of Amendment to the Restated Certificate of Incorporation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xml:space="preserve"> a one-for-2.6 reverse stock split of the Corporation’s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xml:space="preserve"> shall become effective, pursuant to which each 2.6 shares of Common Stock outstanding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Arial" w:cs="Arial" w:eastAsia="Arial" w:hAnsi="Arial"/>
          <w:sz w:val="16"/>
          <w:szCs w:val="16"/>
          <w:b w:val="1"/>
          <w:bCs w:val="1"/>
          <w:color w:val="auto"/>
        </w:rPr>
        <w:t>“Reverse Stock Split”).</w:t>
      </w:r>
      <w:r>
        <w:rPr>
          <w:rFonts w:ascii="Arial" w:cs="Arial" w:eastAsia="Arial" w:hAnsi="Arial"/>
          <w:sz w:val="16"/>
          <w:szCs w:val="16"/>
          <w:color w:val="auto"/>
        </w:rPr>
        <w:t xml:space="preserve"> The par value of the Common Stock following the Reverse Stock Split shall remain at $0.0001 per share. No fractional shares of Common Stock shall be issued as a result of the Reverse Stock Split and, in lieu thereof, upon surrender after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376" w:gutter="0" w:footer="0" w:header="0"/>
        </w:sectPr>
      </w:pPr>
    </w:p>
    <w:bookmarkStart w:id="292" w:name="page293"/>
    <w:bookmarkEnd w:id="292"/>
    <w:p>
      <w:pPr>
        <w:jc w:val="both"/>
        <w:ind w:left="1960" w:right="180"/>
        <w:spacing w:after="0" w:line="276" w:lineRule="auto"/>
        <w:rPr>
          <w:sz w:val="20"/>
          <w:szCs w:val="20"/>
          <w:color w:val="auto"/>
        </w:rPr>
      </w:pPr>
      <w:r>
        <w:rPr>
          <w:rFonts w:ascii="Arial" w:cs="Arial" w:eastAsia="Arial" w:hAnsi="Arial"/>
          <w:sz w:val="17"/>
          <w:szCs w:val="17"/>
          <w:color w:val="auto"/>
        </w:rPr>
        <w:t>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 of the Corporation.</w:t>
      </w:r>
    </w:p>
    <w:p>
      <w:pPr>
        <w:spacing w:after="0" w:line="173" w:lineRule="exact"/>
        <w:rPr>
          <w:sz w:val="20"/>
          <w:szCs w:val="20"/>
          <w:color w:val="auto"/>
        </w:rPr>
      </w:pPr>
    </w:p>
    <w:p>
      <w:pPr>
        <w:ind w:left="1940" w:right="20" w:firstLine="648"/>
        <w:spacing w:after="0" w:line="253" w:lineRule="auto"/>
        <w:rPr>
          <w:sz w:val="20"/>
          <w:szCs w:val="20"/>
          <w:color w:val="auto"/>
        </w:rPr>
      </w:pPr>
      <w:r>
        <w:rPr>
          <w:rFonts w:ascii="Arial" w:cs="Arial" w:eastAsia="Arial" w:hAnsi="Arial"/>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have been reclassified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w:t>
      </w:r>
    </w:p>
    <w:p>
      <w:pPr>
        <w:spacing w:after="0" w:line="197" w:lineRule="exact"/>
        <w:rPr>
          <w:sz w:val="20"/>
          <w:szCs w:val="20"/>
          <w:color w:val="auto"/>
        </w:rPr>
      </w:pPr>
    </w:p>
    <w:p>
      <w:pPr>
        <w:ind w:left="1960" w:right="120" w:firstLine="642"/>
        <w:spacing w:after="0" w:line="264" w:lineRule="auto"/>
        <w:rPr>
          <w:sz w:val="20"/>
          <w:szCs w:val="20"/>
          <w:color w:val="auto"/>
        </w:rPr>
      </w:pPr>
      <w:r>
        <w:rPr>
          <w:rFonts w:ascii="Arial" w:cs="Arial" w:eastAsia="Arial" w:hAnsi="Arial"/>
          <w:sz w:val="18"/>
          <w:szCs w:val="18"/>
          <w:color w:val="auto"/>
        </w:rPr>
        <w:t>The total number of shares of all classes of stock that the Corporation shall have the authority to issue is 174,877,359 shares consisting of 110,000,000 shares of Common Stock; and 64,877,359 shares of preferred stock, $0.0001 par value per share (</w:t>
      </w:r>
      <w:r>
        <w:rPr>
          <w:rFonts w:ascii="Arial" w:cs="Arial" w:eastAsia="Arial" w:hAnsi="Arial"/>
          <w:sz w:val="18"/>
          <w:szCs w:val="18"/>
          <w:b w:val="1"/>
          <w:bCs w:val="1"/>
          <w:color w:val="auto"/>
        </w:rPr>
        <w:t>“Preferred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FURTHER</w:t>
      </w:r>
    </w:p>
    <w:p>
      <w:pPr>
        <w:spacing w:after="0" w:line="23" w:lineRule="exact"/>
        <w:rPr>
          <w:sz w:val="20"/>
          <w:szCs w:val="20"/>
          <w:color w:val="auto"/>
        </w:rPr>
      </w:pPr>
    </w:p>
    <w:p>
      <w:pPr>
        <w:ind w:left="1960" w:hanging="1944"/>
        <w:spacing w:after="0" w:line="261" w:lineRule="auto"/>
        <w:tabs>
          <w:tab w:leader="none" w:pos="1940" w:val="left"/>
        </w:tabs>
        <w:rPr>
          <w:sz w:val="20"/>
          <w:szCs w:val="20"/>
          <w:color w:val="auto"/>
        </w:rPr>
      </w:pPr>
      <w:r>
        <w:rPr>
          <w:rFonts w:ascii="Arial" w:cs="Arial" w:eastAsia="Arial" w:hAnsi="Arial"/>
          <w:sz w:val="18"/>
          <w:szCs w:val="18"/>
          <w:u w:val="single" w:color="auto"/>
          <w:color w:val="auto"/>
        </w:rPr>
        <w:t>RESOLVED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That Subsection 5.1 of Section B </w:t>
      </w:r>
      <w:r>
        <w:rPr>
          <w:rFonts w:ascii="Arial" w:cs="Arial" w:eastAsia="Arial" w:hAnsi="Arial"/>
          <w:sz w:val="18"/>
          <w:szCs w:val="18"/>
          <w:b w:val="1"/>
          <w:bCs w:val="1"/>
          <w:color w:val="auto"/>
        </w:rPr>
        <w:t>of</w:t>
      </w:r>
      <w:r>
        <w:rPr>
          <w:rFonts w:ascii="Arial" w:cs="Arial" w:eastAsia="Arial" w:hAnsi="Arial"/>
          <w:sz w:val="18"/>
          <w:szCs w:val="18"/>
          <w:color w:val="auto"/>
        </w:rPr>
        <w:t xml:space="preserve"> Article FOURTH of the Restated Certificate of Incorporation of the Corporation be and hereby is deleted in its entirety and the following is inserted in lieu thereof:</w:t>
      </w:r>
    </w:p>
    <w:p>
      <w:pPr>
        <w:spacing w:after="0" w:line="184" w:lineRule="exact"/>
        <w:rPr>
          <w:sz w:val="20"/>
          <w:szCs w:val="20"/>
          <w:color w:val="auto"/>
        </w:rPr>
      </w:pPr>
    </w:p>
    <w:p>
      <w:pPr>
        <w:ind w:left="1960"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Trigger Events</w:t>
      </w:r>
      <w:r>
        <w:rPr>
          <w:rFonts w:ascii="Arial" w:cs="Arial" w:eastAsia="Arial" w:hAnsi="Arial"/>
          <w:sz w:val="17"/>
          <w:szCs w:val="17"/>
          <w:color w:val="auto"/>
        </w:rPr>
        <w:t xml:space="preserve">. Upon either (a) the closing of the sale of shares of Common Stock to the public resulting in at least $50,000,000 of gross proceeds to the Corporation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xml:space="preserve"> then (i) all outstanding shares of Preferred Stock shall automatically be converted into shares of Common Stock, at the then effective conversion rate as calculated pursuant to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and (ii) such shares may not be reissued by the Corporation.”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4"/>
        <w:spacing w:after="0" w:line="277" w:lineRule="auto"/>
        <w:rPr>
          <w:sz w:val="20"/>
          <w:szCs w:val="20"/>
          <w:color w:val="auto"/>
        </w:rPr>
      </w:pPr>
      <w:r>
        <w:rPr>
          <w:rFonts w:ascii="Arial" w:cs="Arial" w:eastAsia="Arial" w:hAnsi="Arial"/>
          <w:sz w:val="18"/>
          <w:szCs w:val="18"/>
          <w:color w:val="auto"/>
        </w:rPr>
        <w:t>IN WITNESS WHEREOF, the Corporation has caused its corporate seal to be affixed hereto and this Certificate of Amendment to be signed by its President and Chief Executive Officer this 15th day of January, 2016.</w:t>
      </w:r>
    </w:p>
    <w:p>
      <w:pPr>
        <w:spacing w:after="0" w:line="166"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EDITAS MEDICINE, INC.</w:t>
      </w:r>
    </w:p>
    <w:p>
      <w:pPr>
        <w:spacing w:after="0" w:line="200" w:lineRule="exact"/>
        <w:rPr>
          <w:sz w:val="20"/>
          <w:szCs w:val="20"/>
          <w:color w:val="auto"/>
        </w:rPr>
      </w:pPr>
    </w:p>
    <w:p>
      <w:pPr>
        <w:spacing w:after="0" w:line="245" w:lineRule="exact"/>
        <w:rPr>
          <w:sz w:val="20"/>
          <w:szCs w:val="20"/>
          <w:color w:val="auto"/>
        </w:rPr>
      </w:pPr>
    </w:p>
    <w:p>
      <w:pPr>
        <w:ind w:left="5900"/>
        <w:spacing w:after="0"/>
        <w:tabs>
          <w:tab w:leader="none" w:pos="6380" w:val="left"/>
        </w:tabs>
        <w:rPr>
          <w:sz w:val="20"/>
          <w:szCs w:val="20"/>
          <w:color w:val="auto"/>
        </w:rPr>
      </w:pPr>
      <w:r>
        <w:rPr>
          <w:rFonts w:ascii="Arial" w:cs="Arial" w:eastAsia="Arial" w:hAnsi="Arial"/>
          <w:sz w:val="18"/>
          <w:szCs w:val="18"/>
          <w:color w:val="auto"/>
        </w:rPr>
        <w:t>By:</w:t>
        <w:tab/>
        <w:t>/s/ Katrine S. Bosley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154940</wp:posOffset>
            </wp:positionV>
            <wp:extent cx="1054735"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5473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+1 617 526 6000 (t)</w:t>
      </w:r>
    </w:p>
    <w:p>
      <w:pPr>
        <w:spacing w:after="0" w:line="2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+1 617 526 5000 (f)</w:t>
      </w:r>
    </w:p>
    <w:p>
      <w:pPr>
        <w:spacing w:after="0" w:line="32" w:lineRule="exact"/>
        <w:rPr>
          <w:sz w:val="20"/>
          <w:szCs w:val="20"/>
          <w:color w:val="auto"/>
        </w:rPr>
      </w:pPr>
    </w:p>
    <w:p>
      <w:pPr>
        <w:ind w:left="9840"/>
        <w:spacing w:after="0"/>
        <w:rPr>
          <w:sz w:val="20"/>
          <w:szCs w:val="20"/>
          <w:color w:val="auto"/>
        </w:rPr>
      </w:pPr>
      <w:r>
        <w:rPr>
          <w:rFonts w:ascii="Arial" w:cs="Arial" w:eastAsia="Arial" w:hAnsi="Arial"/>
          <w:sz w:val="16"/>
          <w:szCs w:val="16"/>
          <w:color w:val="auto"/>
        </w:rPr>
        <w:t>www.wilmerhale.com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January 25,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Editas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Third Street, First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This opinion is furnished to you in connection with a Registration Statement on Form S-1 (File No. 333-208856) (the “Registration Statement”) filed with the Securities and Exchange Commission (the “Commission”) under the Securities Act of 1933, as amended (the “Securities Act”), for the registration of 6,785,000 shares of Common Stock, $0.0001 par value per share (the “Shares”), of Editas Medicine, Inc., a Delaware corporation (the “Company”), including 885,000 Shares issuable upon exercise of an over-allotment option granted by the Company.</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Shares are to be sold by the Company pursuant to an underwriting agreement (the “Underwriting Agreement”) to be entered into by and among the Company and Morgan Stanley &amp; Co. LLC and J.P. Morgan Securities LLC, as representatives of the several underwriters named in the Underwriting Agreement, the form of which has been filed as Exhibit 1.1 to the Registration Statement.</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are acting as counsel for the Company in connection with the issue and sale by the Company of the Shares. We have examined signed copies of the Registration Statement as filed with the Commission. We have also examined and relied upon the Underwriting Agreement, minutes of meetings of the stockholders and the Board of Directors of the Company as provided to us by the Company, stock record books of the Company as provided to us by the Company, the Certificate of Incorporation and By-Laws of the Company, each as restated and/or amended to date, and such other documents as we have deemed necessary for purposes of rendering the opinions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118745</wp:posOffset>
            </wp:positionV>
            <wp:extent cx="5334000" cy="2228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34000" cy="22288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933450</wp:posOffset>
            </wp:positionV>
            <wp:extent cx="1054735" cy="1371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5473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January 25,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for issuance and, when the Shares are issued and paid for in accordance with the terms and conditions of the Underwriting Agreement, the Shares will be validly issued, fully paid and nonassessable.</w:t>
      </w:r>
    </w:p>
    <w:p>
      <w:pPr>
        <w:spacing w:after="0" w:line="18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Rosemary G. Reilly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Rosemary G. Reilly,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355" w:gutter="0" w:footer="0" w:header="0"/>
        </w:sectPr>
      </w:pPr>
    </w:p>
    <w:bookmarkStart w:id="294" w:name="page295"/>
    <w:bookmarkEnd w:id="294"/>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PRESIDENT AND FELLOWS OF HARVARD COLLEGE,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BROAD INSTITUTE,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EDITAS MEDICINE,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October 29</w:t>
      </w:r>
      <w:r>
        <w:rPr>
          <w:rFonts w:ascii="Arial" w:cs="Arial" w:eastAsia="Arial" w:hAnsi="Arial"/>
          <w:sz w:val="18"/>
          <w:szCs w:val="18"/>
          <w:color w:val="auto"/>
        </w:rPr>
        <w:t>,</w:t>
      </w:r>
      <w:r>
        <w:rPr>
          <w:rFonts w:ascii="Arial" w:cs="Arial" w:eastAsia="Arial" w:hAnsi="Arial"/>
          <w:sz w:val="18"/>
          <w:szCs w:val="18"/>
          <w:b w:val="1"/>
          <w:bCs w:val="1"/>
          <w:color w:val="auto"/>
        </w:rPr>
        <w:t xml:space="preserv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1.</w:t>
            </w:r>
          </w:p>
        </w:tc>
        <w:tc>
          <w:tcPr>
            <w:tcW w:w="9860" w:type="dxa"/>
            <w:vAlign w:val="bottom"/>
            <w:gridSpan w:val="2"/>
          </w:tcPr>
          <w:p>
            <w:pPr>
              <w:ind w:left="300"/>
              <w:spacing w:after="0"/>
              <w:rPr>
                <w:sz w:val="20"/>
                <w:szCs w:val="20"/>
                <w:color w:val="auto"/>
              </w:rPr>
            </w:pPr>
            <w:r>
              <w:rPr>
                <w:rFonts w:ascii="Arial" w:cs="Arial" w:eastAsia="Arial" w:hAnsi="Arial"/>
                <w:sz w:val="18"/>
                <w:szCs w:val="18"/>
                <w:color w:val="auto"/>
              </w:rPr>
              <w:t>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9860" w:type="dxa"/>
            <w:vAlign w:val="bottom"/>
            <w:gridSpan w:val="2"/>
          </w:tcPr>
          <w:p>
            <w:pPr>
              <w:ind w:left="300"/>
              <w:spacing w:after="0"/>
              <w:rPr>
                <w:sz w:val="20"/>
                <w:szCs w:val="20"/>
                <w:color w:val="auto"/>
              </w:rPr>
            </w:pPr>
            <w:r>
              <w:rPr>
                <w:rFonts w:ascii="Arial" w:cs="Arial" w:eastAsia="Arial" w:hAnsi="Arial"/>
                <w:sz w:val="18"/>
                <w:szCs w:val="18"/>
                <w:color w:val="auto"/>
              </w:rPr>
              <w:t>LICENSE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18"/>
        </w:trPr>
        <w:tc>
          <w:tcPr>
            <w:tcW w:w="42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2.1.</w:t>
            </w:r>
          </w:p>
        </w:tc>
        <w:tc>
          <w:tcPr>
            <w:tcW w:w="9080" w:type="dxa"/>
            <w:vAlign w:val="bottom"/>
          </w:tcPr>
          <w:p>
            <w:pPr>
              <w:ind w:left="220"/>
              <w:spacing w:after="0"/>
              <w:rPr>
                <w:sz w:val="20"/>
                <w:szCs w:val="20"/>
                <w:color w:val="auto"/>
              </w:rPr>
            </w:pPr>
            <w:r>
              <w:rPr>
                <w:rFonts w:ascii="Arial" w:cs="Arial" w:eastAsia="Arial" w:hAnsi="Arial"/>
                <w:sz w:val="18"/>
                <w:szCs w:val="18"/>
                <w:color w:val="auto"/>
              </w:rPr>
              <w:t>License Grants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2.2.</w:t>
            </w:r>
          </w:p>
        </w:tc>
        <w:tc>
          <w:tcPr>
            <w:tcW w:w="9080" w:type="dxa"/>
            <w:vAlign w:val="bottom"/>
          </w:tcPr>
          <w:p>
            <w:pPr>
              <w:ind w:left="220"/>
              <w:spacing w:after="0"/>
              <w:rPr>
                <w:sz w:val="20"/>
                <w:szCs w:val="20"/>
                <w:color w:val="auto"/>
              </w:rPr>
            </w:pPr>
            <w:r>
              <w:rPr>
                <w:rFonts w:ascii="Arial" w:cs="Arial" w:eastAsia="Arial" w:hAnsi="Arial"/>
                <w:sz w:val="18"/>
                <w:szCs w:val="18"/>
                <w:color w:val="auto"/>
              </w:rPr>
              <w:t>Reservation of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2.3.</w:t>
            </w:r>
          </w:p>
        </w:tc>
        <w:tc>
          <w:tcPr>
            <w:tcW w:w="9080" w:type="dxa"/>
            <w:vAlign w:val="bottom"/>
          </w:tcPr>
          <w:p>
            <w:pPr>
              <w:ind w:left="220"/>
              <w:spacing w:after="0"/>
              <w:rPr>
                <w:sz w:val="20"/>
                <w:szCs w:val="20"/>
                <w:color w:val="auto"/>
              </w:rPr>
            </w:pPr>
            <w:r>
              <w:rPr>
                <w:rFonts w:ascii="Arial" w:cs="Arial" w:eastAsia="Arial" w:hAnsi="Arial"/>
                <w:sz w:val="18"/>
                <w:szCs w:val="18"/>
                <w:color w:val="auto"/>
              </w:rPr>
              <w:t>Affiliates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2.4.</w:t>
            </w:r>
          </w:p>
        </w:tc>
        <w:tc>
          <w:tcPr>
            <w:tcW w:w="9080" w:type="dxa"/>
            <w:vAlign w:val="bottom"/>
          </w:tcPr>
          <w:p>
            <w:pPr>
              <w:ind w:left="220"/>
              <w:spacing w:after="0"/>
              <w:rPr>
                <w:sz w:val="20"/>
                <w:szCs w:val="20"/>
                <w:color w:val="auto"/>
              </w:rPr>
            </w:pPr>
            <w:r>
              <w:rPr>
                <w:rFonts w:ascii="Arial" w:cs="Arial" w:eastAsia="Arial" w:hAnsi="Arial"/>
                <w:sz w:val="18"/>
                <w:szCs w:val="18"/>
                <w:color w:val="auto"/>
              </w:rPr>
              <w:t>Right to Subcontract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2.5.</w:t>
            </w:r>
          </w:p>
        </w:tc>
        <w:tc>
          <w:tcPr>
            <w:tcW w:w="9080" w:type="dxa"/>
            <w:vAlign w:val="bottom"/>
          </w:tcPr>
          <w:p>
            <w:pPr>
              <w:ind w:left="220"/>
              <w:spacing w:after="0"/>
              <w:rPr>
                <w:sz w:val="20"/>
                <w:szCs w:val="20"/>
                <w:color w:val="auto"/>
              </w:rPr>
            </w:pPr>
            <w:r>
              <w:rPr>
                <w:rFonts w:ascii="Arial" w:cs="Arial" w:eastAsia="Arial" w:hAnsi="Arial"/>
                <w:sz w:val="18"/>
                <w:szCs w:val="18"/>
                <w:color w:val="auto"/>
              </w:rPr>
              <w:t>Sublicenses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2.6.</w:t>
            </w:r>
          </w:p>
        </w:tc>
        <w:tc>
          <w:tcPr>
            <w:tcW w:w="9080" w:type="dxa"/>
            <w:vAlign w:val="bottom"/>
          </w:tcPr>
          <w:p>
            <w:pPr>
              <w:ind w:left="220"/>
              <w:spacing w:after="0"/>
              <w:rPr>
                <w:sz w:val="20"/>
                <w:szCs w:val="20"/>
                <w:color w:val="auto"/>
              </w:rPr>
            </w:pPr>
            <w:r>
              <w:rPr>
                <w:rFonts w:ascii="Arial" w:cs="Arial" w:eastAsia="Arial" w:hAnsi="Arial"/>
                <w:sz w:val="18"/>
                <w:szCs w:val="18"/>
                <w:color w:val="auto"/>
              </w:rPr>
              <w:t>Third Party Proposed Products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2.7.</w:t>
            </w:r>
          </w:p>
        </w:tc>
        <w:tc>
          <w:tcPr>
            <w:tcW w:w="9080" w:type="dxa"/>
            <w:vAlign w:val="bottom"/>
          </w:tcPr>
          <w:p>
            <w:pPr>
              <w:ind w:left="220"/>
              <w:spacing w:after="0"/>
              <w:rPr>
                <w:sz w:val="20"/>
                <w:szCs w:val="20"/>
                <w:color w:val="auto"/>
              </w:rPr>
            </w:pPr>
            <w:r>
              <w:rPr>
                <w:rFonts w:ascii="Arial" w:cs="Arial" w:eastAsia="Arial" w:hAnsi="Arial"/>
                <w:sz w:val="18"/>
                <w:szCs w:val="18"/>
                <w:color w:val="auto"/>
              </w:rPr>
              <w:t>Technology Transfer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2.8.</w:t>
            </w:r>
          </w:p>
        </w:tc>
        <w:tc>
          <w:tcPr>
            <w:tcW w:w="9080" w:type="dxa"/>
            <w:vAlign w:val="bottom"/>
          </w:tcPr>
          <w:p>
            <w:pPr>
              <w:ind w:left="220"/>
              <w:spacing w:after="0"/>
              <w:rPr>
                <w:sz w:val="20"/>
                <w:szCs w:val="20"/>
                <w:color w:val="auto"/>
              </w:rPr>
            </w:pPr>
            <w:r>
              <w:rPr>
                <w:rFonts w:ascii="Arial" w:cs="Arial" w:eastAsia="Arial" w:hAnsi="Arial"/>
                <w:sz w:val="18"/>
                <w:szCs w:val="18"/>
                <w:color w:val="auto"/>
              </w:rPr>
              <w:t>US Manufacturing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420" w:type="dxa"/>
            <w:vAlign w:val="bottom"/>
          </w:tcPr>
          <w:p>
            <w:pPr>
              <w:spacing w:after="0"/>
              <w:rPr>
                <w:sz w:val="20"/>
                <w:szCs w:val="20"/>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2.9.</w:t>
            </w:r>
          </w:p>
        </w:tc>
        <w:tc>
          <w:tcPr>
            <w:tcW w:w="9080" w:type="dxa"/>
            <w:vAlign w:val="bottom"/>
          </w:tcPr>
          <w:p>
            <w:pPr>
              <w:ind w:left="220"/>
              <w:spacing w:after="0"/>
              <w:rPr>
                <w:sz w:val="20"/>
                <w:szCs w:val="20"/>
                <w:color w:val="auto"/>
              </w:rPr>
            </w:pPr>
            <w:r>
              <w:rPr>
                <w:rFonts w:ascii="Arial" w:cs="Arial" w:eastAsia="Arial" w:hAnsi="Arial"/>
                <w:sz w:val="18"/>
                <w:szCs w:val="18"/>
                <w:color w:val="auto"/>
              </w:rPr>
              <w:t>No Other Grant of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3.</w:t>
            </w:r>
          </w:p>
        </w:tc>
        <w:tc>
          <w:tcPr>
            <w:tcW w:w="9860" w:type="dxa"/>
            <w:vAlign w:val="bottom"/>
            <w:gridSpan w:val="2"/>
          </w:tcPr>
          <w:p>
            <w:pPr>
              <w:ind w:left="300"/>
              <w:spacing w:after="0"/>
              <w:rPr>
                <w:sz w:val="20"/>
                <w:szCs w:val="20"/>
                <w:color w:val="auto"/>
              </w:rPr>
            </w:pPr>
            <w:r>
              <w:rPr>
                <w:rFonts w:ascii="Arial" w:cs="Arial" w:eastAsia="Arial" w:hAnsi="Arial"/>
                <w:sz w:val="18"/>
                <w:szCs w:val="18"/>
                <w:color w:val="auto"/>
              </w:rPr>
              <w:t>DEVELOPMENT AND COMMERCIALIZATION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18"/>
        </w:trPr>
        <w:tc>
          <w:tcPr>
            <w:tcW w:w="42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3.1.</w:t>
            </w:r>
          </w:p>
        </w:tc>
        <w:tc>
          <w:tcPr>
            <w:tcW w:w="9080" w:type="dxa"/>
            <w:vAlign w:val="bottom"/>
          </w:tcPr>
          <w:p>
            <w:pPr>
              <w:ind w:left="220"/>
              <w:spacing w:after="0"/>
              <w:rPr>
                <w:sz w:val="20"/>
                <w:szCs w:val="20"/>
                <w:color w:val="auto"/>
              </w:rPr>
            </w:pPr>
            <w:r>
              <w:rPr>
                <w:rFonts w:ascii="Arial" w:cs="Arial" w:eastAsia="Arial" w:hAnsi="Arial"/>
                <w:sz w:val="18"/>
                <w:szCs w:val="18"/>
                <w:color w:val="auto"/>
              </w:rPr>
              <w:t>Diligence; Development Milestones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3.2.</w:t>
            </w:r>
          </w:p>
        </w:tc>
        <w:tc>
          <w:tcPr>
            <w:tcW w:w="9080" w:type="dxa"/>
            <w:vAlign w:val="bottom"/>
          </w:tcPr>
          <w:p>
            <w:pPr>
              <w:ind w:left="220"/>
              <w:spacing w:after="0"/>
              <w:rPr>
                <w:sz w:val="20"/>
                <w:szCs w:val="20"/>
                <w:color w:val="auto"/>
              </w:rPr>
            </w:pPr>
            <w:r>
              <w:rPr>
                <w:rFonts w:ascii="Arial" w:cs="Arial" w:eastAsia="Arial" w:hAnsi="Arial"/>
                <w:sz w:val="18"/>
                <w:szCs w:val="18"/>
                <w:color w:val="auto"/>
              </w:rPr>
              <w:t>Development Plan; Adjustments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3.3.</w:t>
            </w:r>
          </w:p>
        </w:tc>
        <w:tc>
          <w:tcPr>
            <w:tcW w:w="9080" w:type="dxa"/>
            <w:vAlign w:val="bottom"/>
          </w:tcPr>
          <w:p>
            <w:pPr>
              <w:ind w:left="220"/>
              <w:spacing w:after="0"/>
              <w:rPr>
                <w:sz w:val="20"/>
                <w:szCs w:val="20"/>
                <w:color w:val="auto"/>
              </w:rPr>
            </w:pPr>
            <w:r>
              <w:rPr>
                <w:rFonts w:ascii="Arial" w:cs="Arial" w:eastAsia="Arial" w:hAnsi="Arial"/>
                <w:sz w:val="18"/>
                <w:szCs w:val="18"/>
                <w:color w:val="auto"/>
              </w:rPr>
              <w:t>Reporting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420" w:type="dxa"/>
            <w:vAlign w:val="bottom"/>
          </w:tcPr>
          <w:p>
            <w:pPr>
              <w:spacing w:after="0"/>
              <w:rPr>
                <w:sz w:val="20"/>
                <w:szCs w:val="20"/>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3.4.</w:t>
            </w:r>
          </w:p>
        </w:tc>
        <w:tc>
          <w:tcPr>
            <w:tcW w:w="9080" w:type="dxa"/>
            <w:vAlign w:val="bottom"/>
          </w:tcPr>
          <w:p>
            <w:pPr>
              <w:ind w:left="220"/>
              <w:spacing w:after="0"/>
              <w:rPr>
                <w:sz w:val="20"/>
                <w:szCs w:val="20"/>
                <w:color w:val="auto"/>
              </w:rPr>
            </w:pPr>
            <w:r>
              <w:rPr>
                <w:rFonts w:ascii="Arial" w:cs="Arial" w:eastAsia="Arial" w:hAnsi="Arial"/>
                <w:sz w:val="18"/>
                <w:szCs w:val="18"/>
                <w:color w:val="auto"/>
              </w:rPr>
              <w:t>Failure to Meet Development Milestone; Opportunity to Cure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4.</w:t>
            </w:r>
          </w:p>
        </w:tc>
        <w:tc>
          <w:tcPr>
            <w:tcW w:w="9860" w:type="dxa"/>
            <w:vAlign w:val="bottom"/>
            <w:gridSpan w:val="2"/>
          </w:tcPr>
          <w:p>
            <w:pPr>
              <w:ind w:left="300"/>
              <w:spacing w:after="0"/>
              <w:rPr>
                <w:sz w:val="20"/>
                <w:szCs w:val="20"/>
                <w:color w:val="auto"/>
              </w:rPr>
            </w:pPr>
            <w:r>
              <w:rPr>
                <w:rFonts w:ascii="Arial" w:cs="Arial" w:eastAsia="Arial" w:hAnsi="Arial"/>
                <w:sz w:val="18"/>
                <w:szCs w:val="18"/>
                <w:color w:val="auto"/>
              </w:rPr>
              <w:t>CONSIDERATION FOR GRANT OF LICENSE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418"/>
        </w:trPr>
        <w:tc>
          <w:tcPr>
            <w:tcW w:w="42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4.1.</w:t>
            </w:r>
          </w:p>
        </w:tc>
        <w:tc>
          <w:tcPr>
            <w:tcW w:w="9080" w:type="dxa"/>
            <w:vAlign w:val="bottom"/>
          </w:tcPr>
          <w:p>
            <w:pPr>
              <w:ind w:left="220"/>
              <w:spacing w:after="0"/>
              <w:rPr>
                <w:sz w:val="20"/>
                <w:szCs w:val="20"/>
                <w:color w:val="auto"/>
              </w:rPr>
            </w:pPr>
            <w:r>
              <w:rPr>
                <w:rFonts w:ascii="Arial" w:cs="Arial" w:eastAsia="Arial" w:hAnsi="Arial"/>
                <w:sz w:val="18"/>
                <w:szCs w:val="18"/>
                <w:color w:val="auto"/>
              </w:rPr>
              <w:t>Division of Consideration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4.2.</w:t>
            </w:r>
          </w:p>
        </w:tc>
        <w:tc>
          <w:tcPr>
            <w:tcW w:w="9080" w:type="dxa"/>
            <w:vAlign w:val="bottom"/>
          </w:tcPr>
          <w:p>
            <w:pPr>
              <w:ind w:left="220"/>
              <w:spacing w:after="0"/>
              <w:rPr>
                <w:sz w:val="20"/>
                <w:szCs w:val="20"/>
                <w:color w:val="auto"/>
              </w:rPr>
            </w:pPr>
            <w:r>
              <w:rPr>
                <w:rFonts w:ascii="Arial" w:cs="Arial" w:eastAsia="Arial" w:hAnsi="Arial"/>
                <w:sz w:val="18"/>
                <w:szCs w:val="18"/>
                <w:color w:val="auto"/>
              </w:rPr>
              <w:t>License Issue Fee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4.3.</w:t>
            </w:r>
          </w:p>
        </w:tc>
        <w:tc>
          <w:tcPr>
            <w:tcW w:w="9080" w:type="dxa"/>
            <w:vAlign w:val="bottom"/>
          </w:tcPr>
          <w:p>
            <w:pPr>
              <w:ind w:left="220"/>
              <w:spacing w:after="0"/>
              <w:rPr>
                <w:sz w:val="20"/>
                <w:szCs w:val="20"/>
                <w:color w:val="auto"/>
              </w:rPr>
            </w:pPr>
            <w:r>
              <w:rPr>
                <w:rFonts w:ascii="Arial" w:cs="Arial" w:eastAsia="Arial" w:hAnsi="Arial"/>
                <w:sz w:val="18"/>
                <w:szCs w:val="18"/>
                <w:color w:val="auto"/>
              </w:rPr>
              <w:t>Annual License Maintenance Fees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4.4.</w:t>
            </w:r>
          </w:p>
        </w:tc>
        <w:tc>
          <w:tcPr>
            <w:tcW w:w="9080" w:type="dxa"/>
            <w:vAlign w:val="bottom"/>
          </w:tcPr>
          <w:p>
            <w:pPr>
              <w:ind w:left="220"/>
              <w:spacing w:after="0"/>
              <w:rPr>
                <w:sz w:val="20"/>
                <w:szCs w:val="20"/>
                <w:color w:val="auto"/>
              </w:rPr>
            </w:pPr>
            <w:r>
              <w:rPr>
                <w:rFonts w:ascii="Arial" w:cs="Arial" w:eastAsia="Arial" w:hAnsi="Arial"/>
                <w:sz w:val="18"/>
                <w:szCs w:val="18"/>
                <w:color w:val="auto"/>
              </w:rPr>
              <w:t>Milestone Payments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4.5.</w:t>
            </w:r>
          </w:p>
        </w:tc>
        <w:tc>
          <w:tcPr>
            <w:tcW w:w="9080" w:type="dxa"/>
            <w:vAlign w:val="bottom"/>
          </w:tcPr>
          <w:p>
            <w:pPr>
              <w:ind w:left="220"/>
              <w:spacing w:after="0"/>
              <w:rPr>
                <w:sz w:val="20"/>
                <w:szCs w:val="20"/>
                <w:color w:val="auto"/>
              </w:rPr>
            </w:pPr>
            <w:r>
              <w:rPr>
                <w:rFonts w:ascii="Arial" w:cs="Arial" w:eastAsia="Arial" w:hAnsi="Arial"/>
                <w:sz w:val="18"/>
                <w:szCs w:val="18"/>
                <w:color w:val="auto"/>
              </w:rPr>
              <w:t>Royalties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4.6.</w:t>
            </w:r>
          </w:p>
        </w:tc>
        <w:tc>
          <w:tcPr>
            <w:tcW w:w="9080" w:type="dxa"/>
            <w:vAlign w:val="bottom"/>
          </w:tcPr>
          <w:p>
            <w:pPr>
              <w:ind w:left="220"/>
              <w:spacing w:after="0"/>
              <w:rPr>
                <w:sz w:val="20"/>
                <w:szCs w:val="20"/>
                <w:color w:val="auto"/>
              </w:rPr>
            </w:pPr>
            <w:r>
              <w:rPr>
                <w:rFonts w:ascii="Arial" w:cs="Arial" w:eastAsia="Arial" w:hAnsi="Arial"/>
                <w:sz w:val="18"/>
                <w:szCs w:val="18"/>
                <w:color w:val="auto"/>
              </w:rPr>
              <w:t>Sublicense Income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4.7.</w:t>
            </w:r>
          </w:p>
        </w:tc>
        <w:tc>
          <w:tcPr>
            <w:tcW w:w="9080" w:type="dxa"/>
            <w:vAlign w:val="bottom"/>
          </w:tcPr>
          <w:p>
            <w:pPr>
              <w:ind w:left="220"/>
              <w:spacing w:after="0"/>
              <w:rPr>
                <w:sz w:val="20"/>
                <w:szCs w:val="20"/>
                <w:color w:val="auto"/>
              </w:rPr>
            </w:pPr>
            <w:r>
              <w:rPr>
                <w:rFonts w:ascii="Arial" w:cs="Arial" w:eastAsia="Arial" w:hAnsi="Arial"/>
                <w:sz w:val="18"/>
                <w:szCs w:val="18"/>
                <w:color w:val="auto"/>
              </w:rPr>
              <w:t>Complex Consideration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30"/>
        </w:trPr>
        <w:tc>
          <w:tcPr>
            <w:tcW w:w="420" w:type="dxa"/>
            <w:vAlign w:val="bottom"/>
          </w:tcPr>
          <w:p>
            <w:pPr>
              <w:spacing w:after="0"/>
              <w:rPr>
                <w:sz w:val="20"/>
                <w:szCs w:val="20"/>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4.8.</w:t>
            </w:r>
          </w:p>
        </w:tc>
        <w:tc>
          <w:tcPr>
            <w:tcW w:w="9080" w:type="dxa"/>
            <w:vAlign w:val="bottom"/>
          </w:tcPr>
          <w:p>
            <w:pPr>
              <w:ind w:left="220"/>
              <w:spacing w:after="0"/>
              <w:rPr>
                <w:sz w:val="20"/>
                <w:szCs w:val="20"/>
                <w:color w:val="auto"/>
              </w:rPr>
            </w:pPr>
            <w:r>
              <w:rPr>
                <w:rFonts w:ascii="Arial" w:cs="Arial" w:eastAsia="Arial" w:hAnsi="Arial"/>
                <w:sz w:val="18"/>
                <w:szCs w:val="18"/>
                <w:color w:val="auto"/>
              </w:rPr>
              <w:t>Issuance of Shares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5.</w:t>
            </w:r>
          </w:p>
        </w:tc>
        <w:tc>
          <w:tcPr>
            <w:tcW w:w="9860" w:type="dxa"/>
            <w:vAlign w:val="bottom"/>
            <w:gridSpan w:val="2"/>
          </w:tcPr>
          <w:p>
            <w:pPr>
              <w:ind w:left="300"/>
              <w:spacing w:after="0"/>
              <w:rPr>
                <w:sz w:val="20"/>
                <w:szCs w:val="20"/>
                <w:color w:val="auto"/>
              </w:rPr>
            </w:pPr>
            <w:r>
              <w:rPr>
                <w:rFonts w:ascii="Arial" w:cs="Arial" w:eastAsia="Arial" w:hAnsi="Arial"/>
                <w:sz w:val="18"/>
                <w:szCs w:val="18"/>
                <w:color w:val="auto"/>
              </w:rPr>
              <w:t>REPORTS; PAYMENTS; RECORDS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418"/>
        </w:trPr>
        <w:tc>
          <w:tcPr>
            <w:tcW w:w="42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5.1.</w:t>
            </w:r>
          </w:p>
        </w:tc>
        <w:tc>
          <w:tcPr>
            <w:tcW w:w="9080" w:type="dxa"/>
            <w:vAlign w:val="bottom"/>
          </w:tcPr>
          <w:p>
            <w:pPr>
              <w:ind w:left="220"/>
              <w:spacing w:after="0"/>
              <w:rPr>
                <w:sz w:val="20"/>
                <w:szCs w:val="20"/>
                <w:color w:val="auto"/>
              </w:rPr>
            </w:pPr>
            <w:r>
              <w:rPr>
                <w:rFonts w:ascii="Arial" w:cs="Arial" w:eastAsia="Arial" w:hAnsi="Arial"/>
                <w:sz w:val="18"/>
                <w:szCs w:val="18"/>
                <w:color w:val="auto"/>
              </w:rPr>
              <w:t>Reports and Payments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5.2.</w:t>
            </w:r>
          </w:p>
        </w:tc>
        <w:tc>
          <w:tcPr>
            <w:tcW w:w="9080" w:type="dxa"/>
            <w:vAlign w:val="bottom"/>
          </w:tcPr>
          <w:p>
            <w:pPr>
              <w:ind w:left="220"/>
              <w:spacing w:after="0"/>
              <w:rPr>
                <w:sz w:val="20"/>
                <w:szCs w:val="20"/>
                <w:color w:val="auto"/>
              </w:rPr>
            </w:pPr>
            <w:r>
              <w:rPr>
                <w:rFonts w:ascii="Arial" w:cs="Arial" w:eastAsia="Arial" w:hAnsi="Arial"/>
                <w:sz w:val="18"/>
                <w:szCs w:val="18"/>
                <w:color w:val="auto"/>
              </w:rPr>
              <w:t>Payment Currency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5.3.</w:t>
            </w:r>
          </w:p>
        </w:tc>
        <w:tc>
          <w:tcPr>
            <w:tcW w:w="9080" w:type="dxa"/>
            <w:vAlign w:val="bottom"/>
          </w:tcPr>
          <w:p>
            <w:pPr>
              <w:ind w:left="220"/>
              <w:spacing w:after="0"/>
              <w:rPr>
                <w:sz w:val="20"/>
                <w:szCs w:val="20"/>
                <w:color w:val="auto"/>
              </w:rPr>
            </w:pPr>
            <w:r>
              <w:rPr>
                <w:rFonts w:ascii="Arial" w:cs="Arial" w:eastAsia="Arial" w:hAnsi="Arial"/>
                <w:sz w:val="18"/>
                <w:szCs w:val="18"/>
                <w:color w:val="auto"/>
              </w:rPr>
              <w:t>Records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5.4.</w:t>
            </w:r>
          </w:p>
        </w:tc>
        <w:tc>
          <w:tcPr>
            <w:tcW w:w="9080" w:type="dxa"/>
            <w:vAlign w:val="bottom"/>
          </w:tcPr>
          <w:p>
            <w:pPr>
              <w:ind w:left="220"/>
              <w:spacing w:after="0"/>
              <w:rPr>
                <w:sz w:val="20"/>
                <w:szCs w:val="20"/>
                <w:color w:val="auto"/>
              </w:rPr>
            </w:pPr>
            <w:r>
              <w:rPr>
                <w:rFonts w:ascii="Arial" w:cs="Arial" w:eastAsia="Arial" w:hAnsi="Arial"/>
                <w:sz w:val="18"/>
                <w:szCs w:val="18"/>
                <w:color w:val="auto"/>
              </w:rPr>
              <w:t>Late Payments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4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5.5.</w:t>
            </w:r>
          </w:p>
        </w:tc>
        <w:tc>
          <w:tcPr>
            <w:tcW w:w="9080" w:type="dxa"/>
            <w:vAlign w:val="bottom"/>
          </w:tcPr>
          <w:p>
            <w:pPr>
              <w:ind w:left="220"/>
              <w:spacing w:after="0"/>
              <w:rPr>
                <w:sz w:val="20"/>
                <w:szCs w:val="20"/>
                <w:color w:val="auto"/>
              </w:rPr>
            </w:pPr>
            <w:r>
              <w:rPr>
                <w:rFonts w:ascii="Arial" w:cs="Arial" w:eastAsia="Arial" w:hAnsi="Arial"/>
                <w:sz w:val="18"/>
                <w:szCs w:val="18"/>
                <w:color w:val="auto"/>
              </w:rPr>
              <w:t>Payment Method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30"/>
        </w:trPr>
        <w:tc>
          <w:tcPr>
            <w:tcW w:w="420" w:type="dxa"/>
            <w:vAlign w:val="bottom"/>
          </w:tcPr>
          <w:p>
            <w:pPr>
              <w:spacing w:after="0"/>
              <w:rPr>
                <w:sz w:val="20"/>
                <w:szCs w:val="20"/>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5.6.</w:t>
            </w:r>
          </w:p>
        </w:tc>
        <w:tc>
          <w:tcPr>
            <w:tcW w:w="9080" w:type="dxa"/>
            <w:vAlign w:val="bottom"/>
          </w:tcPr>
          <w:p>
            <w:pPr>
              <w:ind w:left="220"/>
              <w:spacing w:after="0"/>
              <w:rPr>
                <w:sz w:val="20"/>
                <w:szCs w:val="20"/>
                <w:color w:val="auto"/>
              </w:rPr>
            </w:pPr>
            <w:r>
              <w:rPr>
                <w:rFonts w:ascii="Arial" w:cs="Arial" w:eastAsia="Arial" w:hAnsi="Arial"/>
                <w:sz w:val="18"/>
                <w:szCs w:val="18"/>
                <w:color w:val="auto"/>
              </w:rPr>
              <w:t>Withholding and Similar Taxes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432"/>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6.</w:t>
            </w:r>
          </w:p>
        </w:tc>
        <w:tc>
          <w:tcPr>
            <w:tcW w:w="9860" w:type="dxa"/>
            <w:vAlign w:val="bottom"/>
            <w:gridSpan w:val="2"/>
          </w:tcPr>
          <w:p>
            <w:pPr>
              <w:ind w:left="300"/>
              <w:spacing w:after="0"/>
              <w:rPr>
                <w:sz w:val="20"/>
                <w:szCs w:val="20"/>
                <w:color w:val="auto"/>
              </w:rPr>
            </w:pPr>
            <w:r>
              <w:rPr>
                <w:rFonts w:ascii="Arial" w:cs="Arial" w:eastAsia="Arial" w:hAnsi="Arial"/>
                <w:sz w:val="18"/>
                <w:szCs w:val="18"/>
                <w:color w:val="auto"/>
              </w:rPr>
              <w:t>PATENT FILING, PROSECUTION AND MAINTENANCE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348"/>
        </w:trPr>
        <w:tc>
          <w:tcPr>
            <w:tcW w:w="4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7" w:orient="portrait"/>
          <w:cols w:equalWidth="0" w:num="1">
            <w:col w:w="11460"/>
          </w:cols>
          <w:pgMar w:left="240" w:top="364"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left="700"/>
        <w:spacing w:after="0"/>
        <w:tabs>
          <w:tab w:leader="none" w:pos="1400" w:val="left"/>
          <w:tab w:leader="none" w:pos="112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Control</w:t>
      </w:r>
      <w:r>
        <w:rPr>
          <w:sz w:val="20"/>
          <w:szCs w:val="20"/>
          <w:color w:val="auto"/>
        </w:rPr>
        <w:tab/>
      </w:r>
      <w:r>
        <w:rPr>
          <w:rFonts w:ascii="Arial" w:cs="Arial" w:eastAsia="Arial" w:hAnsi="Arial"/>
          <w:sz w:val="16"/>
          <w:szCs w:val="16"/>
          <w:color w:val="auto"/>
        </w:rPr>
        <w:t>48</w:t>
      </w:r>
    </w:p>
    <w:p>
      <w:pPr>
        <w:sectPr>
          <w:pgSz w:w="11900" w:h="16847" w:orient="portrait"/>
          <w:cols w:equalWidth="0" w:num="1">
            <w:col w:w="11460"/>
          </w:cols>
          <w:pgMar w:left="240" w:top="364" w:right="199" w:bottom="0" w:gutter="0" w:footer="0" w:header="0"/>
          <w:type w:val="continuous"/>
        </w:sectPr>
      </w:pPr>
    </w:p>
    <w:bookmarkStart w:id="295" w:name="page296"/>
    <w:bookmarkEnd w:id="295"/>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6.2.</w:t>
            </w:r>
          </w:p>
        </w:tc>
        <w:tc>
          <w:tcPr>
            <w:tcW w:w="3920" w:type="dxa"/>
            <w:vAlign w:val="bottom"/>
          </w:tcPr>
          <w:p>
            <w:pPr>
              <w:ind w:left="80"/>
              <w:spacing w:after="0"/>
              <w:rPr>
                <w:sz w:val="20"/>
                <w:szCs w:val="20"/>
                <w:color w:val="auto"/>
              </w:rPr>
            </w:pPr>
            <w:r>
              <w:rPr>
                <w:rFonts w:ascii="Arial" w:cs="Arial" w:eastAsia="Arial" w:hAnsi="Arial"/>
                <w:sz w:val="18"/>
                <w:szCs w:val="18"/>
                <w:color w:val="auto"/>
              </w:rPr>
              <w:t>Common Interest</w:t>
            </w:r>
          </w:p>
        </w:tc>
        <w:tc>
          <w:tcPr>
            <w:tcW w:w="6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6.3.</w:t>
            </w:r>
          </w:p>
        </w:tc>
        <w:tc>
          <w:tcPr>
            <w:tcW w:w="3920" w:type="dxa"/>
            <w:vAlign w:val="bottom"/>
          </w:tcPr>
          <w:p>
            <w:pPr>
              <w:ind w:left="80"/>
              <w:spacing w:after="0"/>
              <w:rPr>
                <w:sz w:val="20"/>
                <w:szCs w:val="20"/>
                <w:color w:val="auto"/>
              </w:rPr>
            </w:pPr>
            <w:r>
              <w:rPr>
                <w:rFonts w:ascii="Arial" w:cs="Arial" w:eastAsia="Arial" w:hAnsi="Arial"/>
                <w:sz w:val="18"/>
                <w:szCs w:val="18"/>
                <w:color w:val="auto"/>
              </w:rPr>
              <w:t>Expenses</w:t>
            </w:r>
          </w:p>
        </w:tc>
        <w:tc>
          <w:tcPr>
            <w:tcW w:w="6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6.4.</w:t>
            </w:r>
          </w:p>
        </w:tc>
        <w:tc>
          <w:tcPr>
            <w:tcW w:w="3920" w:type="dxa"/>
            <w:vAlign w:val="bottom"/>
          </w:tcPr>
          <w:p>
            <w:pPr>
              <w:ind w:left="80"/>
              <w:spacing w:after="0"/>
              <w:rPr>
                <w:sz w:val="20"/>
                <w:szCs w:val="20"/>
                <w:color w:val="auto"/>
              </w:rPr>
            </w:pPr>
            <w:r>
              <w:rPr>
                <w:rFonts w:ascii="Arial" w:cs="Arial" w:eastAsia="Arial" w:hAnsi="Arial"/>
                <w:sz w:val="18"/>
                <w:szCs w:val="18"/>
                <w:color w:val="auto"/>
              </w:rPr>
              <w:t>Abandonment</w:t>
            </w:r>
          </w:p>
        </w:tc>
        <w:tc>
          <w:tcPr>
            <w:tcW w:w="6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6.5.</w:t>
            </w:r>
          </w:p>
        </w:tc>
        <w:tc>
          <w:tcPr>
            <w:tcW w:w="3920" w:type="dxa"/>
            <w:vAlign w:val="bottom"/>
          </w:tcPr>
          <w:p>
            <w:pPr>
              <w:ind w:left="80"/>
              <w:spacing w:after="0"/>
              <w:rPr>
                <w:sz w:val="20"/>
                <w:szCs w:val="20"/>
                <w:color w:val="auto"/>
              </w:rPr>
            </w:pPr>
            <w:r>
              <w:rPr>
                <w:rFonts w:ascii="Arial" w:cs="Arial" w:eastAsia="Arial" w:hAnsi="Arial"/>
                <w:sz w:val="18"/>
                <w:szCs w:val="18"/>
                <w:color w:val="auto"/>
              </w:rPr>
              <w:t>Large Entity Designation</w:t>
            </w:r>
          </w:p>
        </w:tc>
        <w:tc>
          <w:tcPr>
            <w:tcW w:w="6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6.6.</w:t>
            </w:r>
          </w:p>
        </w:tc>
        <w:tc>
          <w:tcPr>
            <w:tcW w:w="3920" w:type="dxa"/>
            <w:vAlign w:val="bottom"/>
          </w:tcPr>
          <w:p>
            <w:pPr>
              <w:ind w:left="80"/>
              <w:spacing w:after="0"/>
              <w:rPr>
                <w:sz w:val="20"/>
                <w:szCs w:val="20"/>
                <w:color w:val="auto"/>
              </w:rPr>
            </w:pPr>
            <w:r>
              <w:rPr>
                <w:rFonts w:ascii="Arial" w:cs="Arial" w:eastAsia="Arial" w:hAnsi="Arial"/>
                <w:sz w:val="18"/>
                <w:szCs w:val="18"/>
                <w:color w:val="auto"/>
              </w:rPr>
              <w:t>Marking</w:t>
            </w:r>
          </w:p>
        </w:tc>
        <w:tc>
          <w:tcPr>
            <w:tcW w:w="6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6.7.</w:t>
            </w:r>
          </w:p>
        </w:tc>
        <w:tc>
          <w:tcPr>
            <w:tcW w:w="3920" w:type="dxa"/>
            <w:vAlign w:val="bottom"/>
          </w:tcPr>
          <w:p>
            <w:pPr>
              <w:ind w:left="80"/>
              <w:spacing w:after="0"/>
              <w:rPr>
                <w:sz w:val="20"/>
                <w:szCs w:val="20"/>
                <w:color w:val="auto"/>
              </w:rPr>
            </w:pPr>
            <w:r>
              <w:rPr>
                <w:rFonts w:ascii="Arial" w:cs="Arial" w:eastAsia="Arial" w:hAnsi="Arial"/>
                <w:sz w:val="18"/>
                <w:szCs w:val="18"/>
                <w:color w:val="auto"/>
              </w:rPr>
              <w:t>CREATE Act</w:t>
            </w:r>
          </w:p>
        </w:tc>
        <w:tc>
          <w:tcPr>
            <w:tcW w:w="6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ENFORCEMENT OF PATENT RIGHTS</w:t>
            </w:r>
          </w:p>
        </w:tc>
        <w:tc>
          <w:tcPr>
            <w:tcW w:w="6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4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7.1.</w:t>
            </w:r>
          </w:p>
        </w:tc>
        <w:tc>
          <w:tcPr>
            <w:tcW w:w="3920" w:type="dxa"/>
            <w:vAlign w:val="bottom"/>
          </w:tcPr>
          <w:p>
            <w:pPr>
              <w:ind w:left="80"/>
              <w:spacing w:after="0"/>
              <w:rPr>
                <w:sz w:val="20"/>
                <w:szCs w:val="20"/>
                <w:color w:val="auto"/>
              </w:rPr>
            </w:pPr>
            <w:r>
              <w:rPr>
                <w:rFonts w:ascii="Arial" w:cs="Arial" w:eastAsia="Arial" w:hAnsi="Arial"/>
                <w:sz w:val="18"/>
                <w:szCs w:val="18"/>
                <w:color w:val="auto"/>
              </w:rPr>
              <w:t>Notice</w:t>
            </w:r>
          </w:p>
        </w:tc>
        <w:tc>
          <w:tcPr>
            <w:tcW w:w="6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7.2.</w:t>
            </w:r>
          </w:p>
        </w:tc>
        <w:tc>
          <w:tcPr>
            <w:tcW w:w="3920" w:type="dxa"/>
            <w:vAlign w:val="bottom"/>
          </w:tcPr>
          <w:p>
            <w:pPr>
              <w:ind w:left="80"/>
              <w:spacing w:after="0"/>
              <w:rPr>
                <w:sz w:val="20"/>
                <w:szCs w:val="20"/>
                <w:color w:val="auto"/>
              </w:rPr>
            </w:pPr>
            <w:r>
              <w:rPr>
                <w:rFonts w:ascii="Arial" w:cs="Arial" w:eastAsia="Arial" w:hAnsi="Arial"/>
                <w:sz w:val="18"/>
                <w:szCs w:val="18"/>
                <w:color w:val="auto"/>
              </w:rPr>
              <w:t>Suit by Company</w:t>
            </w:r>
          </w:p>
        </w:tc>
        <w:tc>
          <w:tcPr>
            <w:tcW w:w="6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7.3.</w:t>
            </w:r>
          </w:p>
        </w:tc>
        <w:tc>
          <w:tcPr>
            <w:tcW w:w="3920" w:type="dxa"/>
            <w:vAlign w:val="bottom"/>
          </w:tcPr>
          <w:p>
            <w:pPr>
              <w:ind w:left="80"/>
              <w:spacing w:after="0"/>
              <w:rPr>
                <w:sz w:val="20"/>
                <w:szCs w:val="20"/>
                <w:color w:val="auto"/>
              </w:rPr>
            </w:pPr>
            <w:r>
              <w:rPr>
                <w:rFonts w:ascii="Arial" w:cs="Arial" w:eastAsia="Arial" w:hAnsi="Arial"/>
                <w:sz w:val="18"/>
                <w:szCs w:val="18"/>
                <w:color w:val="auto"/>
              </w:rPr>
              <w:t>Suit by Institutions</w:t>
            </w:r>
          </w:p>
        </w:tc>
        <w:tc>
          <w:tcPr>
            <w:tcW w:w="6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7.4.</w:t>
            </w:r>
          </w:p>
        </w:tc>
        <w:tc>
          <w:tcPr>
            <w:tcW w:w="3920" w:type="dxa"/>
            <w:vAlign w:val="bottom"/>
          </w:tcPr>
          <w:p>
            <w:pPr>
              <w:ind w:left="80"/>
              <w:spacing w:after="0"/>
              <w:rPr>
                <w:sz w:val="20"/>
                <w:szCs w:val="20"/>
                <w:color w:val="auto"/>
              </w:rPr>
            </w:pPr>
            <w:r>
              <w:rPr>
                <w:rFonts w:ascii="Arial" w:cs="Arial" w:eastAsia="Arial" w:hAnsi="Arial"/>
                <w:sz w:val="18"/>
                <w:szCs w:val="18"/>
                <w:color w:val="auto"/>
              </w:rPr>
              <w:t>Own Counsel</w:t>
            </w:r>
          </w:p>
        </w:tc>
        <w:tc>
          <w:tcPr>
            <w:tcW w:w="6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7.5.</w:t>
            </w:r>
          </w:p>
        </w:tc>
        <w:tc>
          <w:tcPr>
            <w:tcW w:w="3920" w:type="dxa"/>
            <w:vAlign w:val="bottom"/>
          </w:tcPr>
          <w:p>
            <w:pPr>
              <w:ind w:left="80"/>
              <w:spacing w:after="0"/>
              <w:rPr>
                <w:sz w:val="20"/>
                <w:szCs w:val="20"/>
                <w:color w:val="auto"/>
              </w:rPr>
            </w:pPr>
            <w:r>
              <w:rPr>
                <w:rFonts w:ascii="Arial" w:cs="Arial" w:eastAsia="Arial" w:hAnsi="Arial"/>
                <w:sz w:val="18"/>
                <w:szCs w:val="18"/>
                <w:color w:val="auto"/>
              </w:rPr>
              <w:t>Cooperation</w:t>
            </w:r>
          </w:p>
        </w:tc>
        <w:tc>
          <w:tcPr>
            <w:tcW w:w="6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7.6.</w:t>
            </w:r>
          </w:p>
        </w:tc>
        <w:tc>
          <w:tcPr>
            <w:tcW w:w="3920" w:type="dxa"/>
            <w:vAlign w:val="bottom"/>
          </w:tcPr>
          <w:p>
            <w:pPr>
              <w:ind w:left="80"/>
              <w:spacing w:after="0"/>
              <w:rPr>
                <w:sz w:val="20"/>
                <w:szCs w:val="20"/>
                <w:color w:val="auto"/>
              </w:rPr>
            </w:pPr>
            <w:r>
              <w:rPr>
                <w:rFonts w:ascii="Arial" w:cs="Arial" w:eastAsia="Arial" w:hAnsi="Arial"/>
                <w:sz w:val="18"/>
                <w:szCs w:val="18"/>
                <w:color w:val="auto"/>
              </w:rPr>
              <w:t>Patent Validity Challenge</w:t>
            </w:r>
          </w:p>
        </w:tc>
        <w:tc>
          <w:tcPr>
            <w:tcW w:w="6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WARRANTIES; LIMITATION OF LIABILITY</w:t>
            </w:r>
          </w:p>
        </w:tc>
        <w:tc>
          <w:tcPr>
            <w:tcW w:w="6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4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8.1.</w:t>
            </w:r>
          </w:p>
        </w:tc>
        <w:tc>
          <w:tcPr>
            <w:tcW w:w="3920" w:type="dxa"/>
            <w:vAlign w:val="bottom"/>
          </w:tcPr>
          <w:p>
            <w:pPr>
              <w:ind w:left="80"/>
              <w:spacing w:after="0"/>
              <w:rPr>
                <w:sz w:val="20"/>
                <w:szCs w:val="20"/>
                <w:color w:val="auto"/>
              </w:rPr>
            </w:pPr>
            <w:r>
              <w:rPr>
                <w:rFonts w:ascii="Arial" w:cs="Arial" w:eastAsia="Arial" w:hAnsi="Arial"/>
                <w:sz w:val="18"/>
                <w:szCs w:val="18"/>
                <w:color w:val="auto"/>
              </w:rPr>
              <w:t>Compliance with Law</w:t>
            </w:r>
          </w:p>
        </w:tc>
        <w:tc>
          <w:tcPr>
            <w:tcW w:w="6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8.2.</w:t>
            </w:r>
          </w:p>
        </w:tc>
        <w:tc>
          <w:tcPr>
            <w:tcW w:w="3920" w:type="dxa"/>
            <w:vAlign w:val="bottom"/>
          </w:tcPr>
          <w:p>
            <w:pPr>
              <w:ind w:left="80"/>
              <w:spacing w:after="0"/>
              <w:rPr>
                <w:sz w:val="20"/>
                <w:szCs w:val="20"/>
                <w:color w:val="auto"/>
              </w:rPr>
            </w:pPr>
            <w:r>
              <w:rPr>
                <w:rFonts w:ascii="Arial" w:cs="Arial" w:eastAsia="Arial" w:hAnsi="Arial"/>
                <w:sz w:val="18"/>
                <w:szCs w:val="18"/>
                <w:color w:val="auto"/>
              </w:rPr>
              <w:t>Representations and Warranties</w:t>
            </w:r>
          </w:p>
        </w:tc>
        <w:tc>
          <w:tcPr>
            <w:tcW w:w="6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8.3.</w:t>
            </w:r>
          </w:p>
        </w:tc>
        <w:tc>
          <w:tcPr>
            <w:tcW w:w="3920" w:type="dxa"/>
            <w:vAlign w:val="bottom"/>
          </w:tcPr>
          <w:p>
            <w:pPr>
              <w:ind w:left="80"/>
              <w:spacing w:after="0"/>
              <w:rPr>
                <w:sz w:val="20"/>
                <w:szCs w:val="20"/>
                <w:color w:val="auto"/>
              </w:rPr>
            </w:pPr>
            <w:r>
              <w:rPr>
                <w:rFonts w:ascii="Arial" w:cs="Arial" w:eastAsia="Arial" w:hAnsi="Arial"/>
                <w:sz w:val="18"/>
                <w:szCs w:val="18"/>
                <w:color w:val="auto"/>
              </w:rPr>
              <w:t>Disclaimer</w:t>
            </w:r>
          </w:p>
        </w:tc>
        <w:tc>
          <w:tcPr>
            <w:tcW w:w="6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8.4.</w:t>
            </w:r>
          </w:p>
        </w:tc>
        <w:tc>
          <w:tcPr>
            <w:tcW w:w="3920" w:type="dxa"/>
            <w:vAlign w:val="bottom"/>
          </w:tcPr>
          <w:p>
            <w:pPr>
              <w:ind w:left="80"/>
              <w:spacing w:after="0"/>
              <w:rPr>
                <w:sz w:val="20"/>
                <w:szCs w:val="20"/>
                <w:color w:val="auto"/>
              </w:rPr>
            </w:pPr>
            <w:r>
              <w:rPr>
                <w:rFonts w:ascii="Arial" w:cs="Arial" w:eastAsia="Arial" w:hAnsi="Arial"/>
                <w:sz w:val="18"/>
                <w:szCs w:val="18"/>
                <w:color w:val="auto"/>
              </w:rPr>
              <w:t>Limitation of Liability</w:t>
            </w:r>
          </w:p>
        </w:tc>
        <w:tc>
          <w:tcPr>
            <w:tcW w:w="6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INDEMNIFICATION AND INSURANCE</w:t>
            </w:r>
          </w:p>
        </w:tc>
        <w:tc>
          <w:tcPr>
            <w:tcW w:w="6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4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9.1.</w:t>
            </w:r>
          </w:p>
        </w:tc>
        <w:tc>
          <w:tcPr>
            <w:tcW w:w="392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6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4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9.2.</w:t>
            </w:r>
          </w:p>
        </w:tc>
        <w:tc>
          <w:tcPr>
            <w:tcW w:w="3920" w:type="dxa"/>
            <w:vAlign w:val="bottom"/>
          </w:tcPr>
          <w:p>
            <w:pPr>
              <w:ind w:left="80"/>
              <w:spacing w:after="0"/>
              <w:rPr>
                <w:sz w:val="20"/>
                <w:szCs w:val="20"/>
                <w:color w:val="auto"/>
              </w:rPr>
            </w:pPr>
            <w:r>
              <w:rPr>
                <w:rFonts w:ascii="Arial" w:cs="Arial" w:eastAsia="Arial" w:hAnsi="Arial"/>
                <w:sz w:val="18"/>
                <w:szCs w:val="18"/>
                <w:color w:val="auto"/>
              </w:rPr>
              <w:t>Insurance</w:t>
            </w:r>
          </w:p>
        </w:tc>
        <w:tc>
          <w:tcPr>
            <w:tcW w:w="6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TERM AND TERMINATION</w:t>
            </w:r>
          </w:p>
        </w:tc>
        <w:tc>
          <w:tcPr>
            <w:tcW w:w="6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4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10.1.</w:t>
            </w:r>
          </w:p>
        </w:tc>
        <w:tc>
          <w:tcPr>
            <w:tcW w:w="3920" w:type="dxa"/>
            <w:vAlign w:val="bottom"/>
          </w:tcPr>
          <w:p>
            <w:pPr>
              <w:ind w:left="80"/>
              <w:spacing w:after="0"/>
              <w:rPr>
                <w:sz w:val="20"/>
                <w:szCs w:val="20"/>
                <w:color w:val="auto"/>
              </w:rPr>
            </w:pPr>
            <w:r>
              <w:rPr>
                <w:rFonts w:ascii="Arial" w:cs="Arial" w:eastAsia="Arial" w:hAnsi="Arial"/>
                <w:sz w:val="18"/>
                <w:szCs w:val="18"/>
                <w:color w:val="auto"/>
              </w:rPr>
              <w:t>Term</w:t>
            </w:r>
          </w:p>
        </w:tc>
        <w:tc>
          <w:tcPr>
            <w:tcW w:w="6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10.2.</w:t>
            </w:r>
          </w:p>
        </w:tc>
        <w:tc>
          <w:tcPr>
            <w:tcW w:w="392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6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10.3.</w:t>
            </w:r>
          </w:p>
        </w:tc>
        <w:tc>
          <w:tcPr>
            <w:tcW w:w="3920" w:type="dxa"/>
            <w:vAlign w:val="bottom"/>
          </w:tcPr>
          <w:p>
            <w:pPr>
              <w:ind w:left="80"/>
              <w:spacing w:after="0"/>
              <w:rPr>
                <w:sz w:val="20"/>
                <w:szCs w:val="20"/>
                <w:color w:val="auto"/>
              </w:rPr>
            </w:pPr>
            <w:r>
              <w:rPr>
                <w:rFonts w:ascii="Arial" w:cs="Arial" w:eastAsia="Arial" w:hAnsi="Arial"/>
                <w:sz w:val="18"/>
                <w:szCs w:val="18"/>
                <w:color w:val="auto"/>
              </w:rPr>
              <w:t>Effect of Termination</w:t>
            </w:r>
          </w:p>
        </w:tc>
        <w:tc>
          <w:tcPr>
            <w:tcW w:w="6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4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10.4.</w:t>
            </w:r>
          </w:p>
        </w:tc>
        <w:tc>
          <w:tcPr>
            <w:tcW w:w="3920" w:type="dxa"/>
            <w:vAlign w:val="bottom"/>
          </w:tcPr>
          <w:p>
            <w:pPr>
              <w:ind w:left="80"/>
              <w:spacing w:after="0"/>
              <w:rPr>
                <w:sz w:val="20"/>
                <w:szCs w:val="20"/>
                <w:color w:val="auto"/>
              </w:rPr>
            </w:pPr>
            <w:r>
              <w:rPr>
                <w:rFonts w:ascii="Arial" w:cs="Arial" w:eastAsia="Arial" w:hAnsi="Arial"/>
                <w:sz w:val="18"/>
                <w:szCs w:val="18"/>
                <w:color w:val="auto"/>
              </w:rPr>
              <w:t>Survival</w:t>
            </w:r>
          </w:p>
        </w:tc>
        <w:tc>
          <w:tcPr>
            <w:tcW w:w="6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MISCELLANEOUS</w:t>
            </w:r>
          </w:p>
        </w:tc>
        <w:tc>
          <w:tcPr>
            <w:tcW w:w="6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4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11.1.</w:t>
            </w:r>
          </w:p>
        </w:tc>
        <w:tc>
          <w:tcPr>
            <w:tcW w:w="3920" w:type="dxa"/>
            <w:vAlign w:val="bottom"/>
          </w:tcPr>
          <w:p>
            <w:pPr>
              <w:ind w:left="80"/>
              <w:spacing w:after="0"/>
              <w:rPr>
                <w:sz w:val="20"/>
                <w:szCs w:val="20"/>
                <w:color w:val="auto"/>
              </w:rPr>
            </w:pPr>
            <w:r>
              <w:rPr>
                <w:rFonts w:ascii="Arial" w:cs="Arial" w:eastAsia="Arial" w:hAnsi="Arial"/>
                <w:sz w:val="18"/>
                <w:szCs w:val="18"/>
                <w:color w:val="auto"/>
              </w:rPr>
              <w:t>Confidentiality</w:t>
            </w:r>
          </w:p>
        </w:tc>
        <w:tc>
          <w:tcPr>
            <w:tcW w:w="6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11.2.</w:t>
            </w:r>
          </w:p>
        </w:tc>
        <w:tc>
          <w:tcPr>
            <w:tcW w:w="3920" w:type="dxa"/>
            <w:vAlign w:val="bottom"/>
          </w:tcPr>
          <w:p>
            <w:pPr>
              <w:ind w:left="80"/>
              <w:spacing w:after="0"/>
              <w:rPr>
                <w:sz w:val="20"/>
                <w:szCs w:val="20"/>
                <w:color w:val="auto"/>
              </w:rPr>
            </w:pPr>
            <w:r>
              <w:rPr>
                <w:rFonts w:ascii="Arial" w:cs="Arial" w:eastAsia="Arial" w:hAnsi="Arial"/>
                <w:sz w:val="18"/>
                <w:szCs w:val="18"/>
                <w:color w:val="auto"/>
              </w:rPr>
              <w:t>Use of Name</w:t>
            </w:r>
          </w:p>
        </w:tc>
        <w:tc>
          <w:tcPr>
            <w:tcW w:w="6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11.3.</w:t>
            </w:r>
          </w:p>
        </w:tc>
        <w:tc>
          <w:tcPr>
            <w:tcW w:w="3920" w:type="dxa"/>
            <w:vAlign w:val="bottom"/>
          </w:tcPr>
          <w:p>
            <w:pPr>
              <w:ind w:left="80"/>
              <w:spacing w:after="0"/>
              <w:rPr>
                <w:sz w:val="20"/>
                <w:szCs w:val="20"/>
                <w:color w:val="auto"/>
              </w:rPr>
            </w:pPr>
            <w:r>
              <w:rPr>
                <w:rFonts w:ascii="Arial" w:cs="Arial" w:eastAsia="Arial" w:hAnsi="Arial"/>
                <w:sz w:val="18"/>
                <w:szCs w:val="18"/>
                <w:color w:val="auto"/>
              </w:rPr>
              <w:t>Press Release</w:t>
            </w:r>
          </w:p>
        </w:tc>
        <w:tc>
          <w:tcPr>
            <w:tcW w:w="6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11.4.</w:t>
            </w:r>
          </w:p>
        </w:tc>
        <w:tc>
          <w:tcPr>
            <w:tcW w:w="3920" w:type="dxa"/>
            <w:vAlign w:val="bottom"/>
          </w:tcPr>
          <w:p>
            <w:pPr>
              <w:ind w:left="80"/>
              <w:spacing w:after="0"/>
              <w:rPr>
                <w:sz w:val="20"/>
                <w:szCs w:val="20"/>
                <w:color w:val="auto"/>
              </w:rPr>
            </w:pPr>
            <w:r>
              <w:rPr>
                <w:rFonts w:ascii="Arial" w:cs="Arial" w:eastAsia="Arial" w:hAnsi="Arial"/>
                <w:sz w:val="18"/>
                <w:szCs w:val="18"/>
                <w:color w:val="auto"/>
              </w:rPr>
              <w:t>No Security Interest</w:t>
            </w:r>
          </w:p>
        </w:tc>
        <w:tc>
          <w:tcPr>
            <w:tcW w:w="6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11.5.</w:t>
            </w:r>
          </w:p>
        </w:tc>
        <w:tc>
          <w:tcPr>
            <w:tcW w:w="392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6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11.6.</w:t>
            </w:r>
          </w:p>
        </w:tc>
        <w:tc>
          <w:tcPr>
            <w:tcW w:w="3920" w:type="dxa"/>
            <w:vAlign w:val="bottom"/>
          </w:tcPr>
          <w:p>
            <w:pPr>
              <w:ind w:left="80"/>
              <w:spacing w:after="0"/>
              <w:rPr>
                <w:sz w:val="20"/>
                <w:szCs w:val="20"/>
                <w:color w:val="auto"/>
              </w:rPr>
            </w:pPr>
            <w:r>
              <w:rPr>
                <w:rFonts w:ascii="Arial" w:cs="Arial" w:eastAsia="Arial" w:hAnsi="Arial"/>
                <w:sz w:val="18"/>
                <w:szCs w:val="18"/>
                <w:color w:val="auto"/>
              </w:rPr>
              <w:t>Notices</w:t>
            </w:r>
          </w:p>
        </w:tc>
        <w:tc>
          <w:tcPr>
            <w:tcW w:w="6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11.7.</w:t>
            </w:r>
          </w:p>
        </w:tc>
        <w:tc>
          <w:tcPr>
            <w:tcW w:w="3920" w:type="dxa"/>
            <w:vAlign w:val="bottom"/>
          </w:tcPr>
          <w:p>
            <w:pPr>
              <w:ind w:left="80"/>
              <w:spacing w:after="0"/>
              <w:rPr>
                <w:sz w:val="20"/>
                <w:szCs w:val="20"/>
                <w:color w:val="auto"/>
              </w:rPr>
            </w:pPr>
            <w:r>
              <w:rPr>
                <w:rFonts w:ascii="Arial" w:cs="Arial" w:eastAsia="Arial" w:hAnsi="Arial"/>
                <w:sz w:val="18"/>
                <w:szCs w:val="18"/>
                <w:color w:val="auto"/>
              </w:rPr>
              <w:t>Dispute Resolution</w:t>
            </w:r>
          </w:p>
        </w:tc>
        <w:tc>
          <w:tcPr>
            <w:tcW w:w="6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11.8.</w:t>
            </w:r>
          </w:p>
        </w:tc>
        <w:tc>
          <w:tcPr>
            <w:tcW w:w="3920" w:type="dxa"/>
            <w:vAlign w:val="bottom"/>
          </w:tcPr>
          <w:p>
            <w:pPr>
              <w:ind w:left="80"/>
              <w:spacing w:after="0"/>
              <w:rPr>
                <w:sz w:val="20"/>
                <w:szCs w:val="20"/>
                <w:color w:val="auto"/>
              </w:rPr>
            </w:pPr>
            <w:r>
              <w:rPr>
                <w:rFonts w:ascii="Arial" w:cs="Arial" w:eastAsia="Arial" w:hAnsi="Arial"/>
                <w:sz w:val="18"/>
                <w:szCs w:val="18"/>
                <w:color w:val="auto"/>
              </w:rPr>
              <w:t>Governing Law and Jurisdiction</w:t>
            </w:r>
          </w:p>
        </w:tc>
        <w:tc>
          <w:tcPr>
            <w:tcW w:w="6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4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11.9.</w:t>
            </w:r>
          </w:p>
        </w:tc>
        <w:tc>
          <w:tcPr>
            <w:tcW w:w="3920" w:type="dxa"/>
            <w:vAlign w:val="bottom"/>
          </w:tcPr>
          <w:p>
            <w:pPr>
              <w:ind w:left="80"/>
              <w:spacing w:after="0"/>
              <w:rPr>
                <w:sz w:val="20"/>
                <w:szCs w:val="20"/>
                <w:color w:val="auto"/>
              </w:rPr>
            </w:pPr>
            <w:r>
              <w:rPr>
                <w:rFonts w:ascii="Arial" w:cs="Arial" w:eastAsia="Arial" w:hAnsi="Arial"/>
                <w:sz w:val="18"/>
                <w:szCs w:val="18"/>
                <w:color w:val="auto"/>
              </w:rPr>
              <w:t>Binding Effect</w:t>
            </w:r>
          </w:p>
        </w:tc>
        <w:tc>
          <w:tcPr>
            <w:tcW w:w="6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200" w:type="dxa"/>
            <w:vAlign w:val="bottom"/>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4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6200" w:type="dxa"/>
            <w:vAlign w:val="bottom"/>
            <w:tcBorders>
              <w:bottom w:val="single" w:sz="8" w:color="808080"/>
            </w:tcBorders>
          </w:tcPr>
          <w:p>
            <w:pPr>
              <w:spacing w:after="0"/>
              <w:rPr>
                <w:sz w:val="11"/>
                <w:szCs w:val="11"/>
                <w:color w:val="auto"/>
              </w:rPr>
            </w:pPr>
          </w:p>
        </w:tc>
      </w:tr>
      <w:tr>
        <w:trPr>
          <w:trHeight w:val="766"/>
        </w:trPr>
        <w:tc>
          <w:tcPr>
            <w:tcW w:w="46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11.10.</w:t>
            </w:r>
          </w:p>
        </w:tc>
        <w:tc>
          <w:tcPr>
            <w:tcW w:w="3920" w:type="dxa"/>
            <w:vAlign w:val="bottom"/>
          </w:tcPr>
          <w:p>
            <w:pPr>
              <w:ind w:left="80"/>
              <w:spacing w:after="0"/>
              <w:rPr>
                <w:sz w:val="20"/>
                <w:szCs w:val="20"/>
                <w:color w:val="auto"/>
              </w:rPr>
            </w:pPr>
            <w:r>
              <w:rPr>
                <w:rFonts w:ascii="Arial" w:cs="Arial" w:eastAsia="Arial" w:hAnsi="Arial"/>
                <w:sz w:val="18"/>
                <w:szCs w:val="18"/>
                <w:color w:val="auto"/>
              </w:rPr>
              <w:t>Headings</w:t>
            </w:r>
          </w:p>
        </w:tc>
        <w:tc>
          <w:tcPr>
            <w:tcW w:w="6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6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11.11.</w:t>
            </w:r>
          </w:p>
        </w:tc>
        <w:tc>
          <w:tcPr>
            <w:tcW w:w="392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6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6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11.12.</w:t>
            </w:r>
          </w:p>
        </w:tc>
        <w:tc>
          <w:tcPr>
            <w:tcW w:w="3920" w:type="dxa"/>
            <w:vAlign w:val="bottom"/>
          </w:tcPr>
          <w:p>
            <w:pPr>
              <w:ind w:left="80"/>
              <w:spacing w:after="0"/>
              <w:rPr>
                <w:sz w:val="20"/>
                <w:szCs w:val="20"/>
                <w:color w:val="auto"/>
              </w:rPr>
            </w:pPr>
            <w:r>
              <w:rPr>
                <w:rFonts w:ascii="Arial" w:cs="Arial" w:eastAsia="Arial" w:hAnsi="Arial"/>
                <w:sz w:val="18"/>
                <w:szCs w:val="18"/>
                <w:color w:val="auto"/>
              </w:rPr>
              <w:t>Amendment; Waiver</w:t>
            </w:r>
          </w:p>
        </w:tc>
        <w:tc>
          <w:tcPr>
            <w:tcW w:w="6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6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11.13.</w:t>
            </w:r>
          </w:p>
        </w:tc>
        <w:tc>
          <w:tcPr>
            <w:tcW w:w="3920" w:type="dxa"/>
            <w:vAlign w:val="bottom"/>
          </w:tcPr>
          <w:p>
            <w:pPr>
              <w:ind w:left="80"/>
              <w:spacing w:after="0"/>
              <w:rPr>
                <w:sz w:val="20"/>
                <w:szCs w:val="20"/>
                <w:color w:val="auto"/>
              </w:rPr>
            </w:pPr>
            <w:r>
              <w:rPr>
                <w:rFonts w:ascii="Arial" w:cs="Arial" w:eastAsia="Arial" w:hAnsi="Arial"/>
                <w:sz w:val="18"/>
                <w:szCs w:val="18"/>
                <w:color w:val="auto"/>
              </w:rPr>
              <w:t>No Agency or Partnership</w:t>
            </w:r>
          </w:p>
        </w:tc>
        <w:tc>
          <w:tcPr>
            <w:tcW w:w="6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6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11.14.</w:t>
            </w:r>
          </w:p>
        </w:tc>
        <w:tc>
          <w:tcPr>
            <w:tcW w:w="3920" w:type="dxa"/>
            <w:vAlign w:val="bottom"/>
          </w:tcPr>
          <w:p>
            <w:pPr>
              <w:ind w:left="80"/>
              <w:spacing w:after="0"/>
              <w:rPr>
                <w:sz w:val="20"/>
                <w:szCs w:val="20"/>
                <w:color w:val="auto"/>
              </w:rPr>
            </w:pPr>
            <w:r>
              <w:rPr>
                <w:rFonts w:ascii="Arial" w:cs="Arial" w:eastAsia="Arial" w:hAnsi="Arial"/>
                <w:sz w:val="18"/>
                <w:szCs w:val="18"/>
                <w:color w:val="auto"/>
              </w:rPr>
              <w:t>Assignment and Successors</w:t>
            </w:r>
          </w:p>
        </w:tc>
        <w:tc>
          <w:tcPr>
            <w:tcW w:w="6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6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11.15.</w:t>
            </w:r>
          </w:p>
        </w:tc>
        <w:tc>
          <w:tcPr>
            <w:tcW w:w="3920" w:type="dxa"/>
            <w:vAlign w:val="bottom"/>
          </w:tcPr>
          <w:p>
            <w:pPr>
              <w:ind w:left="80"/>
              <w:spacing w:after="0"/>
              <w:rPr>
                <w:sz w:val="20"/>
                <w:szCs w:val="20"/>
                <w:color w:val="auto"/>
              </w:rPr>
            </w:pPr>
            <w:r>
              <w:rPr>
                <w:rFonts w:ascii="Arial" w:cs="Arial" w:eastAsia="Arial" w:hAnsi="Arial"/>
                <w:sz w:val="18"/>
                <w:szCs w:val="18"/>
                <w:color w:val="auto"/>
              </w:rPr>
              <w:t>Force Majeure</w:t>
            </w:r>
          </w:p>
        </w:tc>
        <w:tc>
          <w:tcPr>
            <w:tcW w:w="6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6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11.16.</w:t>
            </w:r>
          </w:p>
        </w:tc>
        <w:tc>
          <w:tcPr>
            <w:tcW w:w="3920" w:type="dxa"/>
            <w:vAlign w:val="bottom"/>
          </w:tcPr>
          <w:p>
            <w:pPr>
              <w:ind w:left="80"/>
              <w:spacing w:after="0"/>
              <w:rPr>
                <w:sz w:val="20"/>
                <w:szCs w:val="20"/>
                <w:color w:val="auto"/>
              </w:rPr>
            </w:pPr>
            <w:r>
              <w:rPr>
                <w:rFonts w:ascii="Arial" w:cs="Arial" w:eastAsia="Arial" w:hAnsi="Arial"/>
                <w:sz w:val="18"/>
                <w:szCs w:val="18"/>
                <w:color w:val="auto"/>
              </w:rPr>
              <w:t>Interpretation</w:t>
            </w:r>
          </w:p>
        </w:tc>
        <w:tc>
          <w:tcPr>
            <w:tcW w:w="6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6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11.17.</w:t>
            </w:r>
          </w:p>
        </w:tc>
        <w:tc>
          <w:tcPr>
            <w:tcW w:w="392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6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6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11.18.</w:t>
            </w:r>
          </w:p>
        </w:tc>
        <w:tc>
          <w:tcPr>
            <w:tcW w:w="3920" w:type="dxa"/>
            <w:vAlign w:val="bottom"/>
          </w:tcPr>
          <w:p>
            <w:pPr>
              <w:ind w:left="80"/>
              <w:spacing w:after="0"/>
              <w:rPr>
                <w:sz w:val="20"/>
                <w:szCs w:val="20"/>
                <w:color w:val="auto"/>
              </w:rPr>
            </w:pPr>
            <w:r>
              <w:rPr>
                <w:rFonts w:ascii="Arial" w:cs="Arial" w:eastAsia="Arial" w:hAnsi="Arial"/>
                <w:sz w:val="18"/>
                <w:szCs w:val="18"/>
                <w:color w:val="auto"/>
              </w:rPr>
              <w:t>HHMI Third Party Beneficiary</w:t>
            </w:r>
          </w:p>
        </w:tc>
        <w:tc>
          <w:tcPr>
            <w:tcW w:w="6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7"/>
              </w:rPr>
              <w:t>List of Exhibits:</w:t>
            </w:r>
          </w:p>
        </w:tc>
        <w:tc>
          <w:tcPr>
            <w:tcW w:w="392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Exhibit 1.80</w:t>
            </w:r>
          </w:p>
        </w:tc>
        <w:tc>
          <w:tcPr>
            <w:tcW w:w="3920" w:type="dxa"/>
            <w:vAlign w:val="bottom"/>
          </w:tcPr>
          <w:p>
            <w:pPr>
              <w:ind w:left="500"/>
              <w:spacing w:after="0"/>
              <w:rPr>
                <w:sz w:val="20"/>
                <w:szCs w:val="20"/>
                <w:color w:val="auto"/>
              </w:rPr>
            </w:pPr>
            <w:r>
              <w:rPr>
                <w:rFonts w:ascii="Arial" w:cs="Arial" w:eastAsia="Arial" w:hAnsi="Arial"/>
                <w:sz w:val="18"/>
                <w:szCs w:val="18"/>
                <w:color w:val="auto"/>
              </w:rPr>
              <w:t>Institution Technology Transfer Materials</w:t>
            </w:r>
          </w:p>
        </w:tc>
        <w:tc>
          <w:tcPr>
            <w:tcW w:w="620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Exhibit 1.87</w:t>
            </w:r>
          </w:p>
        </w:tc>
        <w:tc>
          <w:tcPr>
            <w:tcW w:w="3920" w:type="dxa"/>
            <w:vAlign w:val="bottom"/>
          </w:tcPr>
          <w:p>
            <w:pPr>
              <w:ind w:left="500"/>
              <w:spacing w:after="0"/>
              <w:rPr>
                <w:sz w:val="20"/>
                <w:szCs w:val="20"/>
                <w:color w:val="auto"/>
              </w:rPr>
            </w:pPr>
            <w:r>
              <w:rPr>
                <w:rFonts w:ascii="Arial" w:cs="Arial" w:eastAsia="Arial" w:hAnsi="Arial"/>
                <w:sz w:val="18"/>
                <w:szCs w:val="18"/>
                <w:color w:val="auto"/>
              </w:rPr>
              <w:t>Listed Companies</w:t>
            </w:r>
          </w:p>
        </w:tc>
        <w:tc>
          <w:tcPr>
            <w:tcW w:w="620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Exhibit 1.104</w:t>
            </w:r>
          </w:p>
        </w:tc>
        <w:tc>
          <w:tcPr>
            <w:tcW w:w="3920" w:type="dxa"/>
            <w:vAlign w:val="bottom"/>
          </w:tcPr>
          <w:p>
            <w:pPr>
              <w:ind w:left="500"/>
              <w:spacing w:after="0"/>
              <w:rPr>
                <w:sz w:val="20"/>
                <w:szCs w:val="20"/>
                <w:color w:val="auto"/>
              </w:rPr>
            </w:pPr>
            <w:r>
              <w:rPr>
                <w:rFonts w:ascii="Arial" w:cs="Arial" w:eastAsia="Arial" w:hAnsi="Arial"/>
                <w:sz w:val="18"/>
                <w:szCs w:val="18"/>
                <w:color w:val="auto"/>
              </w:rPr>
              <w:t>Patent Rights</w:t>
            </w:r>
          </w:p>
        </w:tc>
        <w:tc>
          <w:tcPr>
            <w:tcW w:w="620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Exhibit 1.105</w:t>
            </w:r>
          </w:p>
        </w:tc>
        <w:tc>
          <w:tcPr>
            <w:tcW w:w="3920" w:type="dxa"/>
            <w:vAlign w:val="bottom"/>
          </w:tcPr>
          <w:p>
            <w:pPr>
              <w:ind w:left="500"/>
              <w:spacing w:after="0"/>
              <w:rPr>
                <w:sz w:val="20"/>
                <w:szCs w:val="20"/>
                <w:color w:val="auto"/>
              </w:rPr>
            </w:pPr>
            <w:r>
              <w:rPr>
                <w:rFonts w:ascii="Arial" w:cs="Arial" w:eastAsia="Arial" w:hAnsi="Arial"/>
                <w:sz w:val="18"/>
                <w:szCs w:val="18"/>
                <w:color w:val="auto"/>
              </w:rPr>
              <w:t>Patent Rights Categories</w:t>
            </w:r>
          </w:p>
        </w:tc>
        <w:tc>
          <w:tcPr>
            <w:tcW w:w="620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3920" w:type="dxa"/>
            <w:vAlign w:val="bottom"/>
          </w:tcPr>
          <w:p>
            <w:pPr>
              <w:ind w:left="500"/>
              <w:spacing w:after="0"/>
              <w:rPr>
                <w:sz w:val="20"/>
                <w:szCs w:val="20"/>
                <w:color w:val="auto"/>
              </w:rPr>
            </w:pPr>
            <w:r>
              <w:rPr>
                <w:rFonts w:ascii="Arial" w:cs="Arial" w:eastAsia="Arial" w:hAnsi="Arial"/>
                <w:sz w:val="18"/>
                <w:szCs w:val="18"/>
                <w:color w:val="auto"/>
              </w:rPr>
              <w:t>Development Milestones</w:t>
            </w:r>
          </w:p>
        </w:tc>
        <w:tc>
          <w:tcPr>
            <w:tcW w:w="620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3920" w:type="dxa"/>
            <w:vAlign w:val="bottom"/>
          </w:tcPr>
          <w:p>
            <w:pPr>
              <w:ind w:left="500"/>
              <w:spacing w:after="0"/>
              <w:rPr>
                <w:sz w:val="20"/>
                <w:szCs w:val="20"/>
                <w:color w:val="auto"/>
              </w:rPr>
            </w:pPr>
            <w:r>
              <w:rPr>
                <w:rFonts w:ascii="Arial" w:cs="Arial" w:eastAsia="Arial" w:hAnsi="Arial"/>
                <w:sz w:val="18"/>
                <w:szCs w:val="18"/>
                <w:color w:val="auto"/>
              </w:rPr>
              <w:t>Development Plan</w:t>
            </w:r>
          </w:p>
        </w:tc>
        <w:tc>
          <w:tcPr>
            <w:tcW w:w="6200" w:type="dxa"/>
            <w:vAlign w:val="bottom"/>
          </w:tcPr>
          <w:p>
            <w:pPr>
              <w:spacing w:after="0"/>
              <w:rPr>
                <w:sz w:val="24"/>
                <w:szCs w:val="24"/>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Exhibit 11.1.4</w:t>
            </w:r>
          </w:p>
        </w:tc>
        <w:tc>
          <w:tcPr>
            <w:tcW w:w="3920" w:type="dxa"/>
            <w:vAlign w:val="bottom"/>
          </w:tcPr>
          <w:p>
            <w:pPr>
              <w:ind w:left="500"/>
              <w:spacing w:after="0"/>
              <w:rPr>
                <w:sz w:val="20"/>
                <w:szCs w:val="20"/>
                <w:color w:val="auto"/>
              </w:rPr>
            </w:pPr>
            <w:r>
              <w:rPr>
                <w:rFonts w:ascii="Arial" w:cs="Arial" w:eastAsia="Arial" w:hAnsi="Arial"/>
                <w:sz w:val="18"/>
                <w:szCs w:val="18"/>
                <w:color w:val="auto"/>
              </w:rPr>
              <w:t>Redacted Agreement</w:t>
            </w:r>
          </w:p>
        </w:tc>
        <w:tc>
          <w:tcPr>
            <w:tcW w:w="6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96" w:name="page297"/>
    <w:bookmarkEnd w:id="296"/>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License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this 29th day of October, 2014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on the one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hand, President and Fellows of Harvard College, an educational and charitable corporation existing under the laws and the constitution of the Commonwealth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Massachusetts, having a place of business at Smith Campus Center, Suite 727, 1350 Massachusetts Avenue, Cambridge, Massachusetts 02138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Harvard</w:t>
      </w:r>
      <w:r>
        <w:rPr>
          <w:rFonts w:ascii="Arial" w:cs="Arial" w:eastAsia="Arial" w:hAnsi="Arial"/>
          <w:sz w:val="17"/>
          <w:szCs w:val="17"/>
          <w:color w:val="auto"/>
        </w:rPr>
        <w:t>”) and the Broad Institute, Inc., a non-profit Massachusetts corporation, with a principal office at 415 Main Street, Cambridge, MA 02142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Broad</w:t>
      </w:r>
      <w:r>
        <w:rPr>
          <w:rFonts w:ascii="Arial" w:cs="Arial" w:eastAsia="Arial" w:hAnsi="Arial"/>
          <w:sz w:val="17"/>
          <w:szCs w:val="17"/>
          <w:color w:val="auto"/>
        </w:rPr>
        <w:t>,” together with Harvard, the “</w:t>
      </w:r>
      <w:r>
        <w:rPr>
          <w:rFonts w:ascii="Arial" w:cs="Arial" w:eastAsia="Arial" w:hAnsi="Arial"/>
          <w:sz w:val="17"/>
          <w:szCs w:val="17"/>
          <w:b w:val="1"/>
          <w:bCs w:val="1"/>
          <w:color w:val="auto"/>
        </w:rPr>
        <w:t>Institutions</w:t>
      </w:r>
      <w:r>
        <w:rPr>
          <w:rFonts w:ascii="Arial" w:cs="Arial" w:eastAsia="Arial" w:hAnsi="Arial"/>
          <w:sz w:val="17"/>
          <w:szCs w:val="17"/>
          <w:color w:val="auto"/>
        </w:rPr>
        <w:t>” and each individually, an “</w:t>
      </w:r>
      <w:r>
        <w:rPr>
          <w:rFonts w:ascii="Arial" w:cs="Arial" w:eastAsia="Arial" w:hAnsi="Arial"/>
          <w:sz w:val="17"/>
          <w:szCs w:val="17"/>
          <w:b w:val="1"/>
          <w:bCs w:val="1"/>
          <w:color w:val="auto"/>
        </w:rPr>
        <w:t>Institution</w:t>
      </w:r>
      <w:r>
        <w:rPr>
          <w:rFonts w:ascii="Arial" w:cs="Arial" w:eastAsia="Arial" w:hAnsi="Arial"/>
          <w:sz w:val="17"/>
          <w:szCs w:val="17"/>
          <w:color w:val="auto"/>
        </w:rPr>
        <w:t>”) and, on the other hand, Editas Medicine,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with a principal office at 300 Third Street, First Floor, Cambridge, Massachusetts 02142 (“</w:t>
      </w:r>
      <w:r>
        <w:rPr>
          <w:rFonts w:ascii="Arial" w:cs="Arial" w:eastAsia="Arial" w:hAnsi="Arial"/>
          <w:sz w:val="17"/>
          <w:szCs w:val="17"/>
          <w:b w:val="1"/>
          <w:bCs w:val="1"/>
          <w:color w:val="auto"/>
        </w:rPr>
        <w:t>Company</w:t>
      </w:r>
      <w:r>
        <w:rPr>
          <w:rFonts w:ascii="Arial" w:cs="Arial" w:eastAsia="Arial" w:hAnsi="Arial"/>
          <w:sz w:val="17"/>
          <w:szCs w:val="17"/>
          <w:color w:val="auto"/>
        </w:rPr>
        <w:t>”). Company and Institutions are each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technology claimed in the Patent Rights (as defined below) was discovered by researchers at the Institutions;</w:t>
      </w:r>
    </w:p>
    <w:p>
      <w:pPr>
        <w:spacing w:after="0" w:line="225"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one or more of such researchers is an employee of the Howard Hughes Medical Institute (“</w:t>
      </w:r>
      <w:r>
        <w:rPr>
          <w:rFonts w:ascii="Arial" w:cs="Arial" w:eastAsia="Arial" w:hAnsi="Arial"/>
          <w:sz w:val="18"/>
          <w:szCs w:val="18"/>
          <w:b w:val="1"/>
          <w:bCs w:val="1"/>
          <w:color w:val="auto"/>
        </w:rPr>
        <w:t>HHMI</w:t>
      </w:r>
      <w:r>
        <w:rPr>
          <w:rFonts w:ascii="Arial" w:cs="Arial" w:eastAsia="Arial" w:hAnsi="Arial"/>
          <w:sz w:val="18"/>
          <w:szCs w:val="18"/>
          <w:color w:val="auto"/>
        </w:rPr>
        <w:t>”) and HHMI has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Harvard its rights in those Patent Rights on which an HHMI employee is an inventor, subject to certain rights retained by HHMI as specifically described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Harvard is a sole owner of certain of the Patent Rights, identified as “Harvard-Controlled Patents” on the attached Exhibit 1.104;</w:t>
      </w:r>
    </w:p>
    <w:p>
      <w:pPr>
        <w:spacing w:after="0" w:line="237"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Massachusetts Institute of Technology (hereinafter “</w:t>
      </w:r>
      <w:r>
        <w:rPr>
          <w:rFonts w:ascii="Arial" w:cs="Arial" w:eastAsia="Arial" w:hAnsi="Arial"/>
          <w:sz w:val="18"/>
          <w:szCs w:val="18"/>
          <w:b w:val="1"/>
          <w:bCs w:val="1"/>
          <w:color w:val="auto"/>
        </w:rPr>
        <w:t>MIT</w:t>
      </w:r>
      <w:r>
        <w:rPr>
          <w:rFonts w:ascii="Arial" w:cs="Arial" w:eastAsia="Arial" w:hAnsi="Arial"/>
          <w:sz w:val="18"/>
          <w:szCs w:val="18"/>
          <w:color w:val="auto"/>
        </w:rPr>
        <w:t>,” a not-for-profit Massachusetts Corporation with a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77 Massachusetts Avenue, Cambridge, Massachusetts 02139) and Broad are co-owners of certain of the Patent Rights (the “</w:t>
      </w:r>
      <w:r>
        <w:rPr>
          <w:rFonts w:ascii="Arial" w:cs="Arial" w:eastAsia="Arial" w:hAnsi="Arial"/>
          <w:sz w:val="18"/>
          <w:szCs w:val="18"/>
          <w:b w:val="1"/>
          <w:bCs w:val="1"/>
          <w:color w:val="auto"/>
        </w:rPr>
        <w:t>MIT/Broad Co-Owned Patent Rights</w:t>
      </w:r>
      <w:r>
        <w:rPr>
          <w:rFonts w:ascii="Arial" w:cs="Arial" w:eastAsia="Arial" w:hAnsi="Arial"/>
          <w:sz w:val="18"/>
          <w:szCs w:val="18"/>
          <w:color w:val="auto"/>
        </w:rPr>
        <w:t>”);</w:t>
      </w:r>
    </w:p>
    <w:p>
      <w:pPr>
        <w:spacing w:after="0" w:line="176"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Harvard, MIT and Broad are co-owners of certain of the Patent Rights (the “</w:t>
      </w:r>
      <w:r>
        <w:rPr>
          <w:rFonts w:ascii="Arial" w:cs="Arial" w:eastAsia="Arial" w:hAnsi="Arial"/>
          <w:sz w:val="18"/>
          <w:szCs w:val="18"/>
          <w:b w:val="1"/>
          <w:bCs w:val="1"/>
          <w:color w:val="auto"/>
        </w:rPr>
        <w:t>Harvard/MIT/Broad Co-Owned Patent Rights,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together with the MIT/Broad Co-Owned Patent Rights as “Broad-Controlled Patents” on the attached Exhibit 1.104);</w:t>
      </w:r>
    </w:p>
    <w:p>
      <w:pPr>
        <w:spacing w:after="0" w:line="16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Operating Agreement by and among Broad, MIT and Harvard dated July 1, 2009, MIT and Harvard have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Broad to act as their sole and exclusive agent for the purposes of licensing, as applicable, the MIT/Broad Co-Owned Patent Rights and the Harvard/MIT/Broad Co-Owned Patent Rights, and MIT and Harvard have authorized Broad to enter into this Agreement on their behalf with respect to such Patent Rights;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Company wishes to obtain a license under the Patent Rights;</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Institutions and MIT desire to have products based on the inventions described in the Patent Rights developed and commercialized to</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the public; and</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has represented to Institutions, in order to induce Institutions to enter into this Agreement, that Company shall commit itself</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development and commercialization of such products so that public utilization shall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intending to be legally bound, hereby agree as follows:</w:t>
      </w:r>
    </w:p>
    <w:p>
      <w:pPr>
        <w:spacing w:after="0" w:line="225"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Whenever used in this Agreement with an initial capital letter, the terms defined in this Article 1, whether used in the singular or the plural, shall have the meanings specified below.</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“Abandoned Patent Rights” </w:t>
      </w:r>
      <w:r>
        <w:rPr>
          <w:rFonts w:ascii="Arial" w:cs="Arial" w:eastAsia="Arial" w:hAnsi="Arial"/>
          <w:sz w:val="16"/>
          <w:szCs w:val="16"/>
          <w:color w:val="auto"/>
        </w:rPr>
        <w:t>has the meaning set forth in Section 6.4.1.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“Achieved Milestone” </w:t>
      </w:r>
      <w:r>
        <w:rPr>
          <w:rFonts w:ascii="Arial" w:cs="Arial" w:eastAsia="Arial" w:hAnsi="Arial"/>
          <w:sz w:val="16"/>
          <w:szCs w:val="16"/>
          <w:color w:val="auto"/>
        </w:rPr>
        <w:t>has the meaning set forth in Section 4.4.1.1.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Additional National Stage Filings</w:t>
      </w:r>
      <w:r>
        <w:rPr>
          <w:rFonts w:ascii="Arial" w:cs="Arial" w:eastAsia="Arial" w:hAnsi="Arial"/>
          <w:sz w:val="16"/>
          <w:szCs w:val="16"/>
          <w:color w:val="auto"/>
        </w:rPr>
        <w:t>” has the meaning set forth in Section 6.1.5.</w:t>
      </w:r>
    </w:p>
    <w:p>
      <w:pPr>
        <w:spacing w:after="0" w:line="22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color w:val="auto"/>
        </w:rPr>
        <w:t>“</w:t>
      </w:r>
      <w:r>
        <w:rPr>
          <w:rFonts w:ascii="Arial" w:cs="Arial" w:eastAsia="Arial" w:hAnsi="Arial"/>
          <w:sz w:val="16"/>
          <w:szCs w:val="16"/>
          <w:b w:val="1"/>
          <w:bCs w:val="1"/>
          <w:color w:val="auto"/>
        </w:rPr>
        <w:t>Additional Securities</w:t>
      </w:r>
      <w:r>
        <w:rPr>
          <w:rFonts w:ascii="Arial" w:cs="Arial" w:eastAsia="Arial" w:hAnsi="Arial"/>
          <w:sz w:val="16"/>
          <w:szCs w:val="16"/>
          <w:color w:val="auto"/>
        </w:rPr>
        <w:t>” means shares of capital stock, convertible securities or warrants, options, or other rights to subscribe for,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or acquire from Company any capital stock of Company; provided that, “other rights to subscribe for, purchase or acquire” shall not include (i) preemptive or other rights to participate in new offerings of securities by the Company after the Effective Date, (ii) obligations under a purchase agreement for preferred stock of the Company to acquire additional shares of such preferred stock on the same terms as those purchased at an initial closing upon the passage of time or meeting (or waiver) of specified Company performance conditions or (iii) anti-dilution provisions that have not been triggered.</w:t>
      </w:r>
    </w:p>
    <w:p>
      <w:pPr>
        <w:spacing w:after="0" w:line="15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1.5 “Affiliate” </w:t>
      </w:r>
      <w:r>
        <w:rPr>
          <w:rFonts w:ascii="Arial" w:cs="Arial" w:eastAsia="Arial" w:hAnsi="Arial"/>
          <w:sz w:val="16"/>
          <w:szCs w:val="16"/>
          <w:color w:val="auto"/>
        </w:rPr>
        <w:t>means, as to any Person, any other Person that controls, is controlled by, or is under common control with, such Person.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this definition only, “control” and, with correlative meanings, the terms “controlled by” and “under common control with” means the possession, directly or indirectly, of the power to direct the management or policies of an organization or entity, whether through the ownership of voting securities or by contract relating to voting rights or corporate governance, or otherwise. Without limiting the foregoing, control shall be presumed to exist when a Person</w:t>
      </w:r>
    </w:p>
    <w:p>
      <w:pPr>
        <w:spacing w:after="0" w:line="3" w:lineRule="exact"/>
        <w:rPr>
          <w:sz w:val="20"/>
          <w:szCs w:val="20"/>
          <w:color w:val="auto"/>
        </w:rPr>
      </w:pPr>
    </w:p>
    <w:p>
      <w:pPr>
        <w:ind w:right="140" w:firstLine="8"/>
        <w:spacing w:after="0" w:line="290" w:lineRule="auto"/>
        <w:tabs>
          <w:tab w:leader="none" w:pos="24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owns or directly controls more than fifty percent (50%) of the voting securities or other ownership interest of another Person or (b) possesses, directly or indirectly, the power to elect or appoint more than fifty percent (50%) of the members of the governing body of the other Person.</w:t>
      </w:r>
    </w:p>
    <w:p>
      <w:pPr>
        <w:spacing w:after="0" w:line="158"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Ag Product</w:t>
      </w:r>
      <w:r>
        <w:rPr>
          <w:rFonts w:ascii="Arial" w:cs="Arial" w:eastAsia="Arial" w:hAnsi="Arial"/>
          <w:sz w:val="18"/>
          <w:szCs w:val="18"/>
          <w:color w:val="auto"/>
        </w:rPr>
        <w:t>” means any product comprising a plant, plant tissue or plant seed, including any organism in the microbiome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with such plant, plant tissue or plant seed, that is used for agricultural purposes.</w:t>
      </w:r>
    </w:p>
    <w:p>
      <w:pPr>
        <w:spacing w:after="0" w:line="162"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color w:val="auto"/>
        </w:rPr>
        <w:t>Ag Regulatory Authority</w:t>
      </w:r>
      <w:r>
        <w:rPr>
          <w:rFonts w:ascii="Arial" w:cs="Arial" w:eastAsia="Arial" w:hAnsi="Arial"/>
          <w:sz w:val="16"/>
          <w:szCs w:val="16"/>
          <w:color w:val="auto"/>
        </w:rPr>
        <w:t>” means the United States Environmental Protection Agency, United States Department of Agriculture,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agency, and any foreign governmental equivalent, having the authority over the regulation and/or commercialization of plants and agricultural</w:t>
      </w:r>
    </w:p>
    <w:p>
      <w:pPr>
        <w:sectPr>
          <w:pgSz w:w="11900" w:h="16952" w:orient="portrait"/>
          <w:cols w:equalWidth="0" w:num="1">
            <w:col w:w="11380"/>
          </w:cols>
          <w:pgMar w:left="240" w:top="342" w:right="279" w:bottom="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t>products.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Anti-Dilution Shares</w:t>
      </w:r>
      <w:r>
        <w:rPr>
          <w:rFonts w:ascii="Arial" w:cs="Arial" w:eastAsia="Arial" w:hAnsi="Arial"/>
          <w:sz w:val="16"/>
          <w:szCs w:val="16"/>
          <w:color w:val="auto"/>
        </w:rPr>
        <w:t>” has the meaning set forth in Section 4.8.4.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Bankruptcy Event</w:t>
      </w:r>
      <w:r>
        <w:rPr>
          <w:rFonts w:ascii="Arial" w:cs="Arial" w:eastAsia="Arial" w:hAnsi="Arial"/>
          <w:sz w:val="16"/>
          <w:szCs w:val="16"/>
          <w:color w:val="auto"/>
        </w:rPr>
        <w:t>” means, with respect to any Person, any of the following: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1305"/>
        <w:spacing w:after="0" w:line="276" w:lineRule="auto"/>
        <w:tabs>
          <w:tab w:leader="none" w:pos="194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such Person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72" w:lineRule="exact"/>
        <w:rPr>
          <w:rFonts w:ascii="Arial" w:cs="Arial" w:eastAsia="Arial" w:hAnsi="Arial"/>
          <w:sz w:val="17"/>
          <w:szCs w:val="17"/>
          <w:color w:val="auto"/>
        </w:rPr>
      </w:pPr>
    </w:p>
    <w:p>
      <w:pPr>
        <w:ind w:right="20" w:firstLine="1305"/>
        <w:spacing w:after="0" w:line="257" w:lineRule="auto"/>
        <w:tabs>
          <w:tab w:leader="none" w:pos="195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 involuntary case or other proceeding shall be commenced against such Person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sixty (60) days; or an order for relief shall be entered against such Person under the federal bankruptcy laws as now or hereafter in effect; or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receiver or trustee shall be appointed with respect to such Person or all or substantially all of the assets of such Person.</w:t>
      </w:r>
    </w:p>
    <w:p>
      <w:pPr>
        <w:spacing w:after="0" w:line="23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b w:val="1"/>
          <w:bCs w:val="1"/>
          <w:color w:val="auto"/>
        </w:rPr>
        <w:t>Bona Fide Proposal</w:t>
      </w:r>
      <w:r>
        <w:rPr>
          <w:rFonts w:ascii="Arial" w:cs="Arial" w:eastAsia="Arial" w:hAnsi="Arial"/>
          <w:sz w:val="17"/>
          <w:szCs w:val="17"/>
          <w:color w:val="auto"/>
        </w:rPr>
        <w:t>” means a proposal by a Proposing Party for the research, development and commercialization of a Proposed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A Bona Fide Proposal shall include, at a minimum, (a) a research, development and commercialization plan (including Development Milestones) for a Proposed Product, which must be commercially reasonable and reasonably satisfactory to Institutions, including evidence that the Proposing Party has, or reasonably expects to have, access to any intellectual property (other than the intellectual property that would be the subject of any Proposed Product License), that would be necessary to research, develop and commercialize such product and has, or reasonably expects to have, funding available to advance such plan, and (b) evidence that the Proposing Party has commenced, or would commence within [**] days after the date of a Proposed Product License, research, development or commercialization of such product under such plan.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Breach Inventions</w:t>
      </w:r>
      <w:r>
        <w:rPr>
          <w:rFonts w:ascii="Arial" w:cs="Arial" w:eastAsia="Arial" w:hAnsi="Arial"/>
          <w:sz w:val="16"/>
          <w:szCs w:val="16"/>
          <w:color w:val="auto"/>
        </w:rPr>
        <w:t>” has the meaning set forth in Section 2.7.3.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 xml:space="preserve">“Broad”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 xml:space="preserve">“Broad Confidential Information” </w:t>
      </w:r>
      <w:r>
        <w:rPr>
          <w:rFonts w:ascii="Arial" w:cs="Arial" w:eastAsia="Arial" w:hAnsi="Arial"/>
          <w:sz w:val="16"/>
          <w:szCs w:val="16"/>
          <w:color w:val="auto"/>
        </w:rPr>
        <w:t>has the meaning set forth in Section 11.1.1.</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1.15 “Calendar Quarter” </w:t>
      </w:r>
      <w:r>
        <w:rPr>
          <w:rFonts w:ascii="Arial" w:cs="Arial" w:eastAsia="Arial" w:hAnsi="Arial"/>
          <w:sz w:val="18"/>
          <w:szCs w:val="18"/>
          <w:color w:val="auto"/>
        </w:rPr>
        <w:t>means each of the periods of three (3) consecutive calendar months ending on March 31, June 30, September 30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during the Term.</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any twelve (12) month period commencing on January 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Cap Table</w:t>
      </w:r>
      <w:r>
        <w:rPr>
          <w:rFonts w:ascii="Arial" w:cs="Arial" w:eastAsia="Arial" w:hAnsi="Arial"/>
          <w:sz w:val="16"/>
          <w:szCs w:val="16"/>
          <w:color w:val="auto"/>
        </w:rPr>
        <w:t>” has the meaning set forth in Section 4.8.2.1.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Category Termination Notice</w:t>
      </w:r>
      <w:r>
        <w:rPr>
          <w:rFonts w:ascii="Arial" w:cs="Arial" w:eastAsia="Arial" w:hAnsi="Arial"/>
          <w:sz w:val="16"/>
          <w:szCs w:val="16"/>
          <w:color w:val="auto"/>
        </w:rPr>
        <w:t>” has the meaning set forth in Section 3.1.1.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Challenging Party</w:t>
      </w:r>
      <w:r>
        <w:rPr>
          <w:rFonts w:ascii="Arial" w:cs="Arial" w:eastAsia="Arial" w:hAnsi="Arial"/>
          <w:sz w:val="18"/>
          <w:szCs w:val="18"/>
          <w:color w:val="auto"/>
        </w:rPr>
        <w:t>” means any Person that brings, assumes or participates in or that knowingly, willfully or recklessly assists in bringing a</w:t>
      </w:r>
      <w:r>
        <w:rPr>
          <w:rFonts w:ascii="Arial" w:cs="Arial" w:eastAsia="Arial" w:hAnsi="Arial"/>
          <w:sz w:val="18"/>
          <w:szCs w:val="18"/>
          <w:b w:val="1"/>
          <w:bCs w:val="1"/>
          <w:color w:val="auto"/>
        </w:rPr>
        <w:t xml:space="preserve"> </w:t>
      </w:r>
      <w:r>
        <w:rPr>
          <w:rFonts w:ascii="Arial" w:cs="Arial" w:eastAsia="Arial" w:hAnsi="Arial"/>
          <w:sz w:val="18"/>
          <w:szCs w:val="18"/>
          <w:color w:val="auto"/>
        </w:rPr>
        <w:t>Patent Challenge.</w:t>
      </w:r>
    </w:p>
    <w:p>
      <w:pPr>
        <w:spacing w:after="0" w:line="162"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b w:val="1"/>
          <w:bCs w:val="1"/>
          <w:color w:val="auto"/>
        </w:rPr>
        <w:t xml:space="preserve">1.20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Company, (a) a merger or consolidation of Company with a third party which results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securities of Company outstanding immediately prior thereto ceasing to represent at least fifty percent (50%) of the combined voting power of the surviving entity immediately after such merger or consolidation, (b) a transaction or series of related transactions in which a third party, together with its Affiliates, becomes the owner of fifty percent (50%) or more of the combined voting power of Company’s outstanding securities other than through issuances by Company of securities of Company in a bona fide financing transaction or series of related bona fide financing transactions, or (c) the sale or other transfer to a third party of all or substantially all of Company’s assets or all or substantially all of Company’s business to which this Agreement relates.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of Control Multiplier</w:t>
      </w:r>
      <w:r>
        <w:rPr>
          <w:rFonts w:ascii="Arial" w:cs="Arial" w:eastAsia="Arial" w:hAnsi="Arial"/>
          <w:sz w:val="16"/>
          <w:szCs w:val="16"/>
          <w:color w:val="auto"/>
        </w:rPr>
        <w:t>” has the meaning set forth in Section 4.4.2.4.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Church IP</w:t>
      </w:r>
      <w:r>
        <w:rPr>
          <w:rFonts w:ascii="Arial" w:cs="Arial" w:eastAsia="Arial" w:hAnsi="Arial"/>
          <w:sz w:val="16"/>
          <w:szCs w:val="16"/>
          <w:color w:val="auto"/>
        </w:rPr>
        <w:t>” means the Patent Rights identified in Exhibit 1.104 as Church IP.</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“Claims” </w:t>
      </w:r>
      <w:r>
        <w:rPr>
          <w:rFonts w:ascii="Arial" w:cs="Arial" w:eastAsia="Arial" w:hAnsi="Arial"/>
          <w:sz w:val="16"/>
          <w:szCs w:val="16"/>
          <w:color w:val="auto"/>
        </w:rPr>
        <w:t>has the meaning set forth in Section 9.1.1.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Agreement”</w:t>
      </w:r>
      <w:r>
        <w:rPr>
          <w:rFonts w:ascii="Arial" w:cs="Arial" w:eastAsia="Arial" w:hAnsi="Arial"/>
          <w:sz w:val="16"/>
          <w:szCs w:val="16"/>
          <w:color w:val="auto"/>
        </w:rPr>
        <w:t xml:space="preserve"> means a license, collaboration, co-development or joint venture agreement between Company and any Third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 xml:space="preserve">“Collaboration Period” </w:t>
      </w:r>
      <w:r>
        <w:rPr>
          <w:rFonts w:ascii="Arial" w:cs="Arial" w:eastAsia="Arial" w:hAnsi="Arial"/>
          <w:sz w:val="16"/>
          <w:szCs w:val="16"/>
          <w:color w:val="auto"/>
        </w:rPr>
        <w:t>has the meaning set forth in Section 2.6.5.5.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 xml:space="preserve">“Collaboration Plan” </w:t>
      </w:r>
      <w:r>
        <w:rPr>
          <w:rFonts w:ascii="Arial" w:cs="Arial" w:eastAsia="Arial" w:hAnsi="Arial"/>
          <w:sz w:val="16"/>
          <w:szCs w:val="16"/>
          <w:color w:val="auto"/>
        </w:rPr>
        <w:t>has the meaning set forth in Section 2.6.3.2(b), as may be amended in accordance therewith.</w:t>
      </w:r>
    </w:p>
    <w:p>
      <w:pPr>
        <w:sectPr>
          <w:pgSz w:w="11900" w:h="16838" w:orient="portrait"/>
          <w:cols w:equalWidth="0" w:num="1">
            <w:col w:w="11420"/>
          </w:cols>
          <w:pgMar w:left="240" w:top="125" w:right="239" w:bottom="0" w:gutter="0" w:footer="0" w:header="0"/>
        </w:sectPr>
      </w:pPr>
    </w:p>
    <w:bookmarkStart w:id="298" w:name="page299"/>
    <w:bookmarkEnd w:id="298"/>
    <w:p>
      <w:pPr>
        <w:ind w:right="100" w:firstLine="648"/>
        <w:spacing w:after="0" w:line="281"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color w:val="auto"/>
        </w:rPr>
        <w:t>“</w:t>
      </w:r>
      <w:r>
        <w:rPr>
          <w:rFonts w:ascii="Arial" w:cs="Arial" w:eastAsia="Arial" w:hAnsi="Arial"/>
          <w:sz w:val="17"/>
          <w:szCs w:val="17"/>
          <w:b w:val="1"/>
          <w:bCs w:val="1"/>
          <w:color w:val="auto"/>
        </w:rPr>
        <w:t>Committed Funding</w:t>
      </w:r>
      <w:r>
        <w:rPr>
          <w:rFonts w:ascii="Arial" w:cs="Arial" w:eastAsia="Arial" w:hAnsi="Arial"/>
          <w:sz w:val="17"/>
          <w:szCs w:val="17"/>
          <w:color w:val="auto"/>
        </w:rPr>
        <w:t>” means, with respect to a Target-Based Collaboration, the total amount of funding that has been contractually</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by the Target-Based Collaborator under such Target-Based Collaboration for further research and development by Company on products directed to Gene Targets selected for research and development under such Target-Based Collaboration; provided that, and so long as, such funding is expended in a commercially reasonable manner to advance such research and development on such products.</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 xml:space="preserve">“Company”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 Confidential Information</w:t>
      </w:r>
      <w:r>
        <w:rPr>
          <w:rFonts w:ascii="Arial" w:cs="Arial" w:eastAsia="Arial" w:hAnsi="Arial"/>
          <w:sz w:val="16"/>
          <w:szCs w:val="16"/>
          <w:color w:val="auto"/>
        </w:rPr>
        <w:t>” has the meaning set forth in Section 11.1.1.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 Patents</w:t>
      </w:r>
      <w:r>
        <w:rPr>
          <w:rFonts w:ascii="Arial" w:cs="Arial" w:eastAsia="Arial" w:hAnsi="Arial"/>
          <w:sz w:val="16"/>
          <w:szCs w:val="16"/>
          <w:color w:val="auto"/>
        </w:rPr>
        <w:t>” has the meaning set forth in Section 1.103.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“Confidential Information</w:t>
      </w:r>
      <w:r>
        <w:rPr>
          <w:rFonts w:ascii="Arial" w:cs="Arial" w:eastAsia="Arial" w:hAnsi="Arial"/>
          <w:sz w:val="16"/>
          <w:szCs w:val="16"/>
          <w:color w:val="auto"/>
        </w:rPr>
        <w:t>” has the meaning set forth in Section 11.1.1.</w:t>
      </w:r>
    </w:p>
    <w:p>
      <w:pPr>
        <w:spacing w:after="0" w:line="225"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color w:val="auto"/>
        </w:rPr>
        <w:t>“</w:t>
      </w:r>
      <w:r>
        <w:rPr>
          <w:rFonts w:ascii="Arial" w:cs="Arial" w:eastAsia="Arial" w:hAnsi="Arial"/>
          <w:sz w:val="17"/>
          <w:szCs w:val="17"/>
          <w:b w:val="1"/>
          <w:bCs w:val="1"/>
          <w:color w:val="auto"/>
        </w:rPr>
        <w:t>Covered</w:t>
      </w:r>
      <w:r>
        <w:rPr>
          <w:rFonts w:ascii="Arial" w:cs="Arial" w:eastAsia="Arial" w:hAnsi="Arial"/>
          <w:sz w:val="17"/>
          <w:szCs w:val="17"/>
          <w:color w:val="auto"/>
        </w:rPr>
        <w:t>” means, with respect to a given product, process, method or service, that a Valid Claim would (absent a license thereunder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ownership thereof) be infringed by the making, using, selling, offering for sale, importation or other exploitation of such product,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process, method or service. With respect to a claim of a pending patent application, “infringed” refers to activity that would infringe or be covered by such Valid Claim if it were contained in an issued patent. Cognates of the word “Covered” shall have correlative meanings.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CRISPR Patent Rights</w:t>
      </w:r>
      <w:r>
        <w:rPr>
          <w:rFonts w:ascii="Arial" w:cs="Arial" w:eastAsia="Arial" w:hAnsi="Arial"/>
          <w:sz w:val="16"/>
          <w:szCs w:val="16"/>
          <w:color w:val="auto"/>
        </w:rPr>
        <w:t>” means the Patent Rights identified on Exhibit 1.105 as CRISPR Patent Rights.</w:t>
      </w:r>
    </w:p>
    <w:p>
      <w:pPr>
        <w:spacing w:after="0" w:line="225"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7"/>
          <w:szCs w:val="17"/>
          <w:color w:val="auto"/>
        </w:rPr>
        <w:t>“</w:t>
      </w:r>
      <w:r>
        <w:rPr>
          <w:rFonts w:ascii="Arial" w:cs="Arial" w:eastAsia="Arial" w:hAnsi="Arial"/>
          <w:sz w:val="17"/>
          <w:szCs w:val="17"/>
          <w:b w:val="1"/>
          <w:bCs w:val="1"/>
          <w:color w:val="auto"/>
        </w:rPr>
        <w:t>Cross-License</w:t>
      </w:r>
      <w:r>
        <w:rPr>
          <w:rFonts w:ascii="Arial" w:cs="Arial" w:eastAsia="Arial" w:hAnsi="Arial"/>
          <w:sz w:val="17"/>
          <w:szCs w:val="17"/>
          <w:color w:val="auto"/>
        </w:rPr>
        <w:t>” means a license agreement on commercially reasonable terms and conditions under which Listed Company grants to</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 worldwide, sublicensable, license under any patent rights assigned to, or licensed (with a right to grant sublicenses) by, such Listed Company from academic or non-profit institutions, which patent rights (i) claim gene therapy, editing (including modifying) of Genetic Material or targeting of Genetic Material (including targeting of Genetic Material to modify associated chromatin but excluding any patent rights that claim a specific element of Genetic Material as a target for the prevention or treatment of human disease), (ii) claim CRISPR/Cas9 or TALE technology and (iii) are necessary for Company to make, have made, use, have used, sell, offer for sale, have sold, export and import Licensed Products in the Field.</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 xml:space="preserve">“Current Development Demonstration” </w:t>
      </w:r>
      <w:r>
        <w:rPr>
          <w:rFonts w:ascii="Arial" w:cs="Arial" w:eastAsia="Arial" w:hAnsi="Arial"/>
          <w:sz w:val="16"/>
          <w:szCs w:val="16"/>
          <w:color w:val="auto"/>
        </w:rPr>
        <w:t>has the meaning set forth in Section 2.6.2.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 xml:space="preserve">“Current Plan” </w:t>
      </w:r>
      <w:r>
        <w:rPr>
          <w:rFonts w:ascii="Arial" w:cs="Arial" w:eastAsia="Arial" w:hAnsi="Arial"/>
          <w:sz w:val="16"/>
          <w:szCs w:val="16"/>
          <w:color w:val="auto"/>
        </w:rPr>
        <w:t>has the meaning set forth in Section 2.6.2, as may be amended in accordance therewith.</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 xml:space="preserve">“Delivery Patent Rights” </w:t>
      </w:r>
      <w:r>
        <w:rPr>
          <w:rFonts w:ascii="Arial" w:cs="Arial" w:eastAsia="Arial" w:hAnsi="Arial"/>
          <w:sz w:val="16"/>
          <w:szCs w:val="16"/>
          <w:color w:val="auto"/>
        </w:rPr>
        <w:t>means the Patent Rights identified on Exhibit 1.105 as Delivery Patent Rights.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Developing Country</w:t>
      </w:r>
      <w:r>
        <w:rPr>
          <w:rFonts w:ascii="Arial" w:cs="Arial" w:eastAsia="Arial" w:hAnsi="Arial"/>
          <w:sz w:val="18"/>
          <w:szCs w:val="18"/>
          <w:color w:val="auto"/>
        </w:rPr>
        <w:t>” means any country identified as a Low-income or Lower-middle-income economy in the World Bank “Country and</w:t>
      </w:r>
      <w:r>
        <w:rPr>
          <w:rFonts w:ascii="Arial" w:cs="Arial" w:eastAsia="Arial" w:hAnsi="Arial"/>
          <w:sz w:val="18"/>
          <w:szCs w:val="18"/>
          <w:b w:val="1"/>
          <w:bCs w:val="1"/>
          <w:color w:val="auto"/>
        </w:rPr>
        <w:t xml:space="preserve"> </w:t>
      </w:r>
      <w:r>
        <w:rPr>
          <w:rFonts w:ascii="Arial" w:cs="Arial" w:eastAsia="Arial" w:hAnsi="Arial"/>
          <w:sz w:val="18"/>
          <w:szCs w:val="18"/>
          <w:color w:val="auto"/>
        </w:rPr>
        <w:t>Lending Groups” classification.</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1.39 “Development Milestones” </w:t>
      </w:r>
      <w:r>
        <w:rPr>
          <w:rFonts w:ascii="Arial" w:cs="Arial" w:eastAsia="Arial" w:hAnsi="Arial"/>
          <w:sz w:val="18"/>
          <w:szCs w:val="18"/>
          <w:color w:val="auto"/>
        </w:rPr>
        <w:t>means, with respect to a given product, the diligence milestones for the development and commercialization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product.</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1.40 “Development Plan” </w:t>
      </w:r>
      <w:r>
        <w:rPr>
          <w:rFonts w:ascii="Arial" w:cs="Arial" w:eastAsia="Arial" w:hAnsi="Arial"/>
          <w:sz w:val="18"/>
          <w:szCs w:val="18"/>
          <w:color w:val="auto"/>
        </w:rPr>
        <w:t>means the plan for the development and commercialization of Licensed Products attached hereto as Exhibit 3.2,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plan may be adjusted from time to time pursuant to Section 3.2.</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License</w:t>
      </w:r>
      <w:r>
        <w:rPr>
          <w:rFonts w:ascii="Arial" w:cs="Arial" w:eastAsia="Arial" w:hAnsi="Arial"/>
          <w:sz w:val="16"/>
          <w:szCs w:val="16"/>
          <w:color w:val="auto"/>
        </w:rPr>
        <w:t>” has the meaning set forth in Section 10.3.1.2.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has the meaning set forth in Section 11.7.</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 xml:space="preserve">“Documentation and Approvals” </w:t>
      </w:r>
      <w:r>
        <w:rPr>
          <w:rFonts w:ascii="Arial" w:cs="Arial" w:eastAsia="Arial" w:hAnsi="Arial"/>
          <w:sz w:val="16"/>
          <w:szCs w:val="16"/>
          <w:color w:val="auto"/>
        </w:rPr>
        <w:t>has the meaning set forth in Section 10.3.4.2.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Enabled Product</w:t>
      </w:r>
      <w:r>
        <w:rPr>
          <w:rFonts w:ascii="Arial" w:cs="Arial" w:eastAsia="Arial" w:hAnsi="Arial"/>
          <w:sz w:val="18"/>
          <w:szCs w:val="18"/>
          <w:color w:val="auto"/>
        </w:rPr>
        <w:t>” means any product, other than a Licensed Product, which is or incorporates, or which is made, identified, discovered,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optimized, characterized, selected, derived from or determined to have utility, in whole or in part, by the use or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modification of, (a) any Patent Rights or any technology or invention covered thereby, (b) any Licensed Product or any Institution Technology Transfer Materials, (c) any progeny, modification or derivative of a Licensed Product, or (d) any living or nonliving cell, organism, microorganism (including viruses), plant, plant tissue or plant seed made or modified through use of a Licensed Product or technology covered by the Patent Rights, or any progeny, clone, modification or derivative of such living or nonliving cell, organism, microorganism (including viruses), plant, plant tissue or plant seed; provided, however, that the term “Enabled Product” shall not include any large or small molecule that (i) was identified or discovered using Institution Technology Transfer Materials, a Licensed Product or technology Covered by the Patent Rights and (ii) does not otherwise meet the definition of Enabled Product (i.e., it is identified or discovered using the Institution Technology Transfer Materials, a Licensed Product or technology covered by the Patent Rights but otherwise is not, or does not incorporate, or is not made, developed, optimized, characterized, selected, derived from or determined to have utility, in whole or in part, by the use or modification of the Institution Technology Transfer Materials, a Licensed Product or technology covered by the Patent Rights in a way that would cause it to be included in the definition of Enabled Product).</w:t>
      </w:r>
    </w:p>
    <w:p>
      <w:pPr>
        <w:spacing w:after="0" w:line="174" w:lineRule="exact"/>
        <w:rPr>
          <w:sz w:val="20"/>
          <w:szCs w:val="20"/>
          <w:color w:val="auto"/>
        </w:rPr>
      </w:pPr>
    </w:p>
    <w:p>
      <w:pPr>
        <w:ind w:right="400" w:firstLine="648"/>
        <w:spacing w:after="0" w:line="313" w:lineRule="auto"/>
        <w:rPr>
          <w:sz w:val="20"/>
          <w:szCs w:val="20"/>
          <w:color w:val="auto"/>
        </w:rPr>
      </w:pPr>
      <w:r>
        <w:rPr>
          <w:rFonts w:ascii="Arial" w:cs="Arial" w:eastAsia="Arial" w:hAnsi="Arial"/>
          <w:sz w:val="17"/>
          <w:szCs w:val="17"/>
          <w:b w:val="1"/>
          <w:bCs w:val="1"/>
          <w:color w:val="auto"/>
        </w:rPr>
        <w:t xml:space="preserve">1.46 </w:t>
      </w:r>
      <w:r>
        <w:rPr>
          <w:rFonts w:ascii="Arial" w:cs="Arial" w:eastAsia="Arial" w:hAnsi="Arial"/>
          <w:sz w:val="17"/>
          <w:szCs w:val="17"/>
          <w:color w:val="auto"/>
        </w:rPr>
        <w:t>“</w:t>
      </w:r>
      <w:r>
        <w:rPr>
          <w:rFonts w:ascii="Arial" w:cs="Arial" w:eastAsia="Arial" w:hAnsi="Arial"/>
          <w:sz w:val="17"/>
          <w:szCs w:val="17"/>
          <w:b w:val="1"/>
          <w:bCs w:val="1"/>
          <w:color w:val="auto"/>
        </w:rPr>
        <w:t>Enabled Service</w:t>
      </w:r>
      <w:r>
        <w:rPr>
          <w:rFonts w:ascii="Arial" w:cs="Arial" w:eastAsia="Arial" w:hAnsi="Arial"/>
          <w:sz w:val="17"/>
          <w:szCs w:val="17"/>
          <w:color w:val="auto"/>
        </w:rPr>
        <w:t>” means any process, method or service, other than a Licensed Service, which uses, incorporates, is based upon or is</w:t>
      </w:r>
      <w:r>
        <w:rPr>
          <w:rFonts w:ascii="Arial" w:cs="Arial" w:eastAsia="Arial" w:hAnsi="Arial"/>
          <w:sz w:val="17"/>
          <w:szCs w:val="17"/>
          <w:b w:val="1"/>
          <w:bCs w:val="1"/>
          <w:color w:val="auto"/>
        </w:rPr>
        <w:t xml:space="preserve"> </w:t>
      </w:r>
      <w:r>
        <w:rPr>
          <w:rFonts w:ascii="Arial" w:cs="Arial" w:eastAsia="Arial" w:hAnsi="Arial"/>
          <w:sz w:val="17"/>
          <w:szCs w:val="17"/>
          <w:color w:val="auto"/>
        </w:rPr>
        <w:t>derived from (a) any Patent Rights or any technology or invention covered thereby, or (b) a Licensed Product or Enabled Product</w:t>
      </w:r>
      <w:r>
        <w:rPr>
          <w:rFonts w:ascii="Arial" w:cs="Arial" w:eastAsia="Arial" w:hAnsi="Arial"/>
          <w:sz w:val="17"/>
          <w:szCs w:val="17"/>
          <w:b w:val="1"/>
          <w:bCs w:val="1"/>
          <w:color w:val="auto"/>
        </w:rPr>
        <w:t>.</w:t>
      </w:r>
    </w:p>
    <w:p>
      <w:pPr>
        <w:sectPr>
          <w:pgSz w:w="11900" w:h="16838" w:orient="portrait"/>
          <w:cols w:equalWidth="0" w:num="1">
            <w:col w:w="11380"/>
          </w:cols>
          <w:pgMar w:left="240" w:top="121" w:right="279" w:bottom="0" w:gutter="0" w:footer="0" w:header="0"/>
        </w:sectPr>
      </w:pPr>
    </w:p>
    <w:bookmarkStart w:id="299" w:name="page300"/>
    <w:bookmarkEnd w:id="299"/>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Enrolled</w:t>
      </w:r>
      <w:r>
        <w:rPr>
          <w:rFonts w:ascii="Arial" w:cs="Arial" w:eastAsia="Arial" w:hAnsi="Arial"/>
          <w:sz w:val="18"/>
          <w:szCs w:val="18"/>
          <w:color w:val="auto"/>
        </w:rPr>
        <w:t>” means that a human research subject has met the initial screening criteria for inclusion in a clinical study and has been deemed</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participate in such clinical study, all as provided in the applicable clinical study protocol(s) and statistical analysis plan(s). For clarity, human research subjects that have been screened for inclusion in a clinical study and deemed ineligible based on such the results of screening shall not be deemed to be “Enrolled” for the purposes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 Major Market Countries</w:t>
      </w:r>
      <w:r>
        <w:rPr>
          <w:rFonts w:ascii="Arial" w:cs="Arial" w:eastAsia="Arial" w:hAnsi="Arial"/>
          <w:sz w:val="16"/>
          <w:szCs w:val="16"/>
          <w:color w:val="auto"/>
        </w:rPr>
        <w:t>” means the United Kingdom, Germany, Italy, France and Spain.</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1.49 “Event” </w:t>
      </w:r>
      <w:r>
        <w:rPr>
          <w:rFonts w:ascii="Arial" w:cs="Arial" w:eastAsia="Arial" w:hAnsi="Arial"/>
          <w:sz w:val="18"/>
          <w:szCs w:val="18"/>
          <w:color w:val="auto"/>
        </w:rPr>
        <w:t>means each instance of modification, activation, suppression, editing, deletion, transgenic introduction, or other alteration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Gene Target within an Ag Product.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Executive Officers</w:t>
      </w:r>
      <w:r>
        <w:rPr>
          <w:rFonts w:ascii="Arial" w:cs="Arial" w:eastAsia="Arial" w:hAnsi="Arial"/>
          <w:sz w:val="16"/>
          <w:szCs w:val="16"/>
          <w:color w:val="auto"/>
        </w:rPr>
        <w:t>” has the meaning set forth in Section 11.7.</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 xml:space="preserve">“FDA” </w:t>
      </w:r>
      <w:r>
        <w:rPr>
          <w:rFonts w:ascii="Arial" w:cs="Arial" w:eastAsia="Arial" w:hAnsi="Arial"/>
          <w:sz w:val="16"/>
          <w:szCs w:val="16"/>
          <w:color w:val="auto"/>
        </w:rPr>
        <w:t>means the United States Food and Drug Administration.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 xml:space="preserve">“Field” </w:t>
      </w:r>
      <w:r>
        <w:rPr>
          <w:rFonts w:ascii="Arial" w:cs="Arial" w:eastAsia="Arial" w:hAnsi="Arial"/>
          <w:sz w:val="16"/>
          <w:szCs w:val="16"/>
          <w:color w:val="auto"/>
        </w:rPr>
        <w:t>means the prevention or treatment of human disease using (i) gene therapy, (ii) editing (including modifying) of Genetic Material or</w:t>
      </w:r>
    </w:p>
    <w:p>
      <w:pPr>
        <w:spacing w:after="0" w:line="27" w:lineRule="exact"/>
        <w:rPr>
          <w:sz w:val="20"/>
          <w:szCs w:val="20"/>
          <w:color w:val="auto"/>
        </w:rPr>
      </w:pPr>
    </w:p>
    <w:p>
      <w:pPr>
        <w:ind w:right="20" w:firstLine="8"/>
        <w:spacing w:after="0" w:line="273" w:lineRule="auto"/>
        <w:tabs>
          <w:tab w:leader="none" w:pos="31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targeting of Genetic Material (including targeting of Genetic Material to modify associated chromatin), either (a) ex vivo for subsequent administration to a human, in the case of the foregoing clause (ii) or (iii) of a product so edited or targeted, or (b) in vivo, by a product administered to a human, in the case of the foregoing clause (ii) or (iii) of a product that so edits or targets; provided that, (I) the Field does not include the prevention or treatment of human disease using a small or large molecule that (A) was identified or discovered using technology Covered by the Patent Rights, (B) is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Covered by (x) a Valid Claim of the Patent Rights Covering the identifying or discovering of small or large molecules, and/or (y) a product-by-process or similar Valid Claim of the Patent Rights directed to a small or large molecule so identified or discovered, and (C) is not Covered by any other Valid Claim of the Patent Rights; (II) the Field does not include (A) modifying animals or animal cells for the creation, making, having made, use, sale, offer for sale, having sold, exportation and importation of organs suitable for xenotransplantation into humans or (B) research and development, and commercialization and other use or exploitation, of products or services in the field of Livestock Applications; (III) with respect to the Delivery Patent Rights, the Field only includes targeting of Genetic Material as set forth in clauses (a) and (b) above if such targeting is related to the use of CRISPR, TALE or zinc finger nuclease technology; and (IV) the Field does not include production or processing of small or large molecules, including for the prevention or treatment of human disease, that are made using technology Covered by the Patent Rights, unless such small or large molecules (xx) are used for gene therapy, editing (including modifying) of Genetic Material or targeting of Genetic Material (including targeting of Genetic Material to modify associated chromatin), in each case as set forth in clauses (a) and (b) above, and provided that with respect to the Delivery Patent Rights such targeting is related to the use of CRISPR, TALE or zinc finger nuclease technology (other than through the making of such small or large molecules), and (yy) are not otherwise excluded from this definition of Field.</w:t>
      </w:r>
    </w:p>
    <w:p>
      <w:pPr>
        <w:spacing w:after="0" w:line="17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1.53 “Field Trial” </w:t>
      </w:r>
      <w:r>
        <w:rPr>
          <w:rFonts w:ascii="Arial" w:cs="Arial" w:eastAsia="Arial" w:hAnsi="Arial"/>
          <w:sz w:val="18"/>
          <w:szCs w:val="18"/>
          <w:color w:val="auto"/>
        </w:rPr>
        <w:t>means a field trial conducted by or on behalf of Company, an Affiliate of Company or a Sublicensee which evaluates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an Ag Product confers or improves the Trait of interest compared to the same or closely related products that do not contain the applicable Event and which occurs after initial laboratory studies of such Ag Product.</w:t>
      </w:r>
    </w:p>
    <w:p>
      <w:pPr>
        <w:spacing w:after="0" w:line="176" w:lineRule="exact"/>
        <w:rPr>
          <w:sz w:val="20"/>
          <w:szCs w:val="20"/>
          <w:color w:val="auto"/>
        </w:rPr>
      </w:pPr>
    </w:p>
    <w:p>
      <w:pPr>
        <w:ind w:right="520" w:firstLine="648"/>
        <w:spacing w:after="0" w:line="261" w:lineRule="auto"/>
        <w:rPr>
          <w:sz w:val="20"/>
          <w:szCs w:val="20"/>
          <w:color w:val="auto"/>
        </w:rPr>
      </w:pPr>
      <w:r>
        <w:rPr>
          <w:rFonts w:ascii="Arial" w:cs="Arial" w:eastAsia="Arial" w:hAnsi="Arial"/>
          <w:sz w:val="18"/>
          <w:szCs w:val="18"/>
          <w:b w:val="1"/>
          <w:bCs w:val="1"/>
          <w:color w:val="auto"/>
        </w:rPr>
        <w:t xml:space="preserve">1.54 “First Commercial Sale” </w:t>
      </w:r>
      <w:r>
        <w:rPr>
          <w:rFonts w:ascii="Arial" w:cs="Arial" w:eastAsia="Arial" w:hAnsi="Arial"/>
          <w:sz w:val="18"/>
          <w:szCs w:val="18"/>
          <w:color w:val="auto"/>
        </w:rPr>
        <w:t>means the date of the first sale by Company, its Affiliate or a Sublicensee of a Licensed Product,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Enabled Product or Enabled Service to a Third Party following receipt of Regulatory Approval in the country in which such Licensed Product, Licensed Service, Enabled Product or Enabled Service is sold, excluding, however, any sale or other distribution for use in a clinical study, charitable purposes or compassionate use or similar limited purposes.</w:t>
      </w:r>
    </w:p>
    <w:p>
      <w:pPr>
        <w:spacing w:after="0" w:line="18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b w:val="1"/>
          <w:bCs w:val="1"/>
          <w:color w:val="auto"/>
        </w:rPr>
        <w:t xml:space="preserve">1.55 </w:t>
      </w:r>
      <w:r>
        <w:rPr>
          <w:rFonts w:ascii="Arial" w:cs="Arial" w:eastAsia="Arial" w:hAnsi="Arial"/>
          <w:sz w:val="17"/>
          <w:szCs w:val="17"/>
          <w:color w:val="auto"/>
        </w:rPr>
        <w:t>“</w:t>
      </w:r>
      <w:r>
        <w:rPr>
          <w:rFonts w:ascii="Arial" w:cs="Arial" w:eastAsia="Arial" w:hAnsi="Arial"/>
          <w:sz w:val="17"/>
          <w:szCs w:val="17"/>
          <w:b w:val="1"/>
          <w:bCs w:val="1"/>
          <w:color w:val="auto"/>
        </w:rPr>
        <w:t>Fully-Diluted Basis</w:t>
      </w:r>
      <w:r>
        <w:rPr>
          <w:rFonts w:ascii="Arial" w:cs="Arial" w:eastAsia="Arial" w:hAnsi="Arial"/>
          <w:sz w:val="17"/>
          <w:szCs w:val="17"/>
          <w:color w:val="auto"/>
        </w:rPr>
        <w:t>” means, as of a specified date, the number of shares of common stock of Company then-outstanding (assuming</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of all outstanding stock other than common stock into common stock) plus the number of shares of common stock of Company issuable, directly or indirectly, upon exercise or conversion of then-outstanding convertible securities or warrants, options, or other rights to subscribe for, purchase or acquire from Company any capital stock of Company (which shall be determined without regard to whether such securities or rights are then vested, exercisable or convertible) plus, without duplication, the number of shares reserved and available for future grant under any then-existing equity incentive plan of Company; provided that, for clarity, “other rights to subscribe for, purchase or acquire” shall not include (i) preemptive or other rights to participate in new offerings of securities by the Company after the Effective Date, (ii) obligations under a purchase agreement for preferred stock of the Company to acquire additional shares of such preferred stock on the same terms as those purchased at an initial closing upon the passage of time or meeting (or waiver) of specified Company performance conditions or (iii) anti-dilution provisions that have not been triggered.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color w:val="auto"/>
        </w:rPr>
        <w:t>Funding Threshold</w:t>
      </w:r>
      <w:r>
        <w:rPr>
          <w:rFonts w:ascii="Arial" w:cs="Arial" w:eastAsia="Arial" w:hAnsi="Arial"/>
          <w:sz w:val="18"/>
          <w:szCs w:val="18"/>
          <w:color w:val="auto"/>
        </w:rPr>
        <w:t>” means an aggregate total investment of [**] U.S. Dollars ($[**]) in cash, in one or a series of related or unrelated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in each case, in exchange for Company’s capital stock.</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 xml:space="preserve">“Gatekeeper” </w:t>
      </w:r>
      <w:r>
        <w:rPr>
          <w:rFonts w:ascii="Arial" w:cs="Arial" w:eastAsia="Arial" w:hAnsi="Arial"/>
          <w:sz w:val="16"/>
          <w:szCs w:val="16"/>
          <w:color w:val="auto"/>
        </w:rPr>
        <w:t>has the meaning set forth in Section 2.6.5.1.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 xml:space="preserve">“Gatekeeper Inquiry” </w:t>
      </w:r>
      <w:r>
        <w:rPr>
          <w:rFonts w:ascii="Arial" w:cs="Arial" w:eastAsia="Arial" w:hAnsi="Arial"/>
          <w:sz w:val="16"/>
          <w:szCs w:val="16"/>
          <w:color w:val="auto"/>
        </w:rPr>
        <w:t>has the meaning set forth in Section 2.6.5.4.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b w:val="1"/>
          <w:bCs w:val="1"/>
          <w:color w:val="auto"/>
        </w:rPr>
        <w:t xml:space="preserve">“Gatekeeper Inquiry Date” </w:t>
      </w:r>
      <w:r>
        <w:rPr>
          <w:rFonts w:ascii="Arial" w:cs="Arial" w:eastAsia="Arial" w:hAnsi="Arial"/>
          <w:sz w:val="16"/>
          <w:szCs w:val="16"/>
          <w:color w:val="auto"/>
        </w:rPr>
        <w:t>has the meaning set forth in Section 2.6.5.4.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6"/>
          <w:szCs w:val="16"/>
          <w:b w:val="1"/>
          <w:bCs w:val="1"/>
          <w:color w:val="auto"/>
        </w:rPr>
        <w:t xml:space="preserve">“Gatekeeper Non-Performance Notice” </w:t>
      </w:r>
      <w:r>
        <w:rPr>
          <w:rFonts w:ascii="Arial" w:cs="Arial" w:eastAsia="Arial" w:hAnsi="Arial"/>
          <w:sz w:val="16"/>
          <w:szCs w:val="16"/>
          <w:color w:val="auto"/>
        </w:rPr>
        <w:t>has the meaning set forth in Section 2.6.5.4.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 xml:space="preserve">“Gatekeeper Notice” </w:t>
      </w:r>
      <w:r>
        <w:rPr>
          <w:rFonts w:ascii="Arial" w:cs="Arial" w:eastAsia="Arial" w:hAnsi="Arial"/>
          <w:sz w:val="16"/>
          <w:szCs w:val="16"/>
          <w:color w:val="auto"/>
        </w:rPr>
        <w:t>has the meaning set forth in Section 2.6.5.4.</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Gene Target</w:t>
      </w:r>
      <w:r>
        <w:rPr>
          <w:rFonts w:ascii="Arial" w:cs="Arial" w:eastAsia="Arial" w:hAnsi="Arial"/>
          <w:sz w:val="18"/>
          <w:szCs w:val="18"/>
          <w:color w:val="auto"/>
        </w:rPr>
        <w:t>” means any human or non-human gene target, including any Genetic Material therein and coding, non-coding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regions thereof.</w:t>
      </w:r>
    </w:p>
    <w:p>
      <w:pPr>
        <w:sectPr>
          <w:pgSz w:w="11900" w:h="16838" w:orient="portrait"/>
          <w:cols w:equalWidth="0" w:num="1">
            <w:col w:w="11420"/>
          </w:cols>
          <w:pgMar w:left="240" w:top="121" w:right="239" w:bottom="0" w:gutter="0" w:footer="0" w:header="0"/>
        </w:sectPr>
      </w:pPr>
    </w:p>
    <w:bookmarkStart w:id="300" w:name="page301"/>
    <w:bookmarkEnd w:id="300"/>
    <w:p>
      <w:pPr>
        <w:ind w:left="660"/>
        <w:spacing w:after="0"/>
        <w:tabs>
          <w:tab w:leader="none" w:pos="12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Genetic Material”</w:t>
      </w:r>
      <w:r>
        <w:rPr>
          <w:rFonts w:ascii="Arial" w:cs="Arial" w:eastAsia="Arial" w:hAnsi="Arial"/>
          <w:sz w:val="16"/>
          <w:szCs w:val="16"/>
          <w:color w:val="auto"/>
        </w:rPr>
        <w:t xml:space="preserve"> means all DNA (including without limitation DNA in and outside chromosomes) and RNA.</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 xml:space="preserve">“Harvard”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 xml:space="preserve">“Harvard Confidential Information” </w:t>
      </w:r>
      <w:r>
        <w:rPr>
          <w:rFonts w:ascii="Arial" w:cs="Arial" w:eastAsia="Arial" w:hAnsi="Arial"/>
          <w:sz w:val="16"/>
          <w:szCs w:val="16"/>
          <w:color w:val="auto"/>
        </w:rPr>
        <w:t>has the meaning set forth in Section 11.1.1.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Harvard/MIT/Broad Co-Owned Patent Rights</w:t>
      </w:r>
      <w:r>
        <w:rPr>
          <w:rFonts w:ascii="Arial" w:cs="Arial" w:eastAsia="Arial" w:hAnsi="Arial"/>
          <w:sz w:val="16"/>
          <w:szCs w:val="16"/>
          <w:color w:val="auto"/>
        </w:rPr>
        <w:t>” has the meaning set forth in the Recitals.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HHMI Indemnitees</w:t>
      </w:r>
      <w:r>
        <w:rPr>
          <w:rFonts w:ascii="Arial" w:cs="Arial" w:eastAsia="Arial" w:hAnsi="Arial"/>
          <w:sz w:val="16"/>
          <w:szCs w:val="16"/>
          <w:color w:val="auto"/>
        </w:rPr>
        <w:t>” has the meaning set forth in Section 9.1.3.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HHMI License</w:t>
      </w:r>
      <w:r>
        <w:rPr>
          <w:rFonts w:ascii="Arial" w:cs="Arial" w:eastAsia="Arial" w:hAnsi="Arial"/>
          <w:sz w:val="16"/>
          <w:szCs w:val="16"/>
          <w:color w:val="auto"/>
        </w:rPr>
        <w:t>” has the meaning set forth in Section 2.2.1.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HHMI Names</w:t>
      </w:r>
      <w:r>
        <w:rPr>
          <w:rFonts w:ascii="Arial" w:cs="Arial" w:eastAsia="Arial" w:hAnsi="Arial"/>
          <w:sz w:val="16"/>
          <w:szCs w:val="16"/>
          <w:color w:val="auto"/>
        </w:rPr>
        <w:t>” has the meaning set forth in Section 11.2.</w:t>
      </w:r>
    </w:p>
    <w:p>
      <w:pPr>
        <w:spacing w:after="0" w:line="225" w:lineRule="exact"/>
        <w:rPr>
          <w:sz w:val="20"/>
          <w:szCs w:val="20"/>
          <w:color w:val="auto"/>
        </w:rPr>
      </w:pPr>
    </w:p>
    <w:p>
      <w:pPr>
        <w:ind w:right="500" w:firstLine="648"/>
        <w:spacing w:after="0" w:line="313" w:lineRule="auto"/>
        <w:rPr>
          <w:sz w:val="20"/>
          <w:szCs w:val="20"/>
          <w:color w:val="auto"/>
        </w:rPr>
      </w:pPr>
      <w:r>
        <w:rPr>
          <w:rFonts w:ascii="Arial" w:cs="Arial" w:eastAsia="Arial" w:hAnsi="Arial"/>
          <w:sz w:val="17"/>
          <w:szCs w:val="17"/>
          <w:b w:val="1"/>
          <w:bCs w:val="1"/>
          <w:color w:val="auto"/>
        </w:rPr>
        <w:t xml:space="preserve">1.70 </w:t>
      </w:r>
      <w:r>
        <w:rPr>
          <w:rFonts w:ascii="Arial" w:cs="Arial" w:eastAsia="Arial" w:hAnsi="Arial"/>
          <w:sz w:val="17"/>
          <w:szCs w:val="17"/>
          <w:color w:val="auto"/>
        </w:rPr>
        <w:t>“</w:t>
      </w:r>
      <w:r>
        <w:rPr>
          <w:rFonts w:ascii="Arial" w:cs="Arial" w:eastAsia="Arial" w:hAnsi="Arial"/>
          <w:sz w:val="17"/>
          <w:szCs w:val="17"/>
          <w:b w:val="1"/>
          <w:bCs w:val="1"/>
          <w:color w:val="auto"/>
        </w:rPr>
        <w:t>IND</w:t>
      </w:r>
      <w:r>
        <w:rPr>
          <w:rFonts w:ascii="Arial" w:cs="Arial" w:eastAsia="Arial" w:hAnsi="Arial"/>
          <w:sz w:val="17"/>
          <w:szCs w:val="17"/>
          <w:color w:val="auto"/>
        </w:rPr>
        <w:t>” means an FDA Investigational New Drug application, or equivalent application or submission for approval to conduct human</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investigations filed with or submitted to a Regulatory Authority in conformance with the requirements of such Regulatory Authority.</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 xml:space="preserve">“Indemnitees” </w:t>
      </w:r>
      <w:r>
        <w:rPr>
          <w:rFonts w:ascii="Arial" w:cs="Arial" w:eastAsia="Arial" w:hAnsi="Arial"/>
          <w:sz w:val="16"/>
          <w:szCs w:val="16"/>
          <w:color w:val="auto"/>
        </w:rPr>
        <w:t>has the meaning set forth in Section 9.1.1.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 xml:space="preserve">“Indemnitor” </w:t>
      </w:r>
      <w:r>
        <w:rPr>
          <w:rFonts w:ascii="Arial" w:cs="Arial" w:eastAsia="Arial" w:hAnsi="Arial"/>
          <w:sz w:val="16"/>
          <w:szCs w:val="16"/>
          <w:color w:val="auto"/>
        </w:rPr>
        <w:t>has the meaning set forth in Section 9.1.1.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Ineligible Sublicensees</w:t>
      </w:r>
      <w:r>
        <w:rPr>
          <w:rFonts w:ascii="Arial" w:cs="Arial" w:eastAsia="Arial" w:hAnsi="Arial"/>
          <w:sz w:val="16"/>
          <w:szCs w:val="16"/>
          <w:color w:val="auto"/>
        </w:rPr>
        <w:t>” has the meaning set forth in Section 10.3.1.2.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 xml:space="preserve">“Infringement” </w:t>
      </w:r>
      <w:r>
        <w:rPr>
          <w:rFonts w:ascii="Arial" w:cs="Arial" w:eastAsia="Arial" w:hAnsi="Arial"/>
          <w:sz w:val="16"/>
          <w:szCs w:val="16"/>
          <w:color w:val="auto"/>
        </w:rPr>
        <w:t>has the meaning set forth in Section 7.2.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or</w:t>
      </w:r>
      <w:r>
        <w:rPr>
          <w:rFonts w:ascii="Arial" w:cs="Arial" w:eastAsia="Arial" w:hAnsi="Arial"/>
          <w:sz w:val="16"/>
          <w:szCs w:val="16"/>
          <w:b w:val="1"/>
          <w:bCs w:val="1"/>
          <w:color w:val="auto"/>
        </w:rPr>
        <w:t xml:space="preserve"> “Institutions” </w:t>
      </w:r>
      <w:r>
        <w:rPr>
          <w:rFonts w:ascii="Arial" w:cs="Arial" w:eastAsia="Arial" w:hAnsi="Arial"/>
          <w:sz w:val="16"/>
          <w:szCs w:val="16"/>
          <w:color w:val="auto"/>
        </w:rPr>
        <w:t>has the meaning set forth in the Preamble.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Institution Confidential Information</w:t>
      </w:r>
      <w:r>
        <w:rPr>
          <w:rFonts w:ascii="Arial" w:cs="Arial" w:eastAsia="Arial" w:hAnsi="Arial"/>
          <w:sz w:val="16"/>
          <w:szCs w:val="16"/>
          <w:color w:val="auto"/>
        </w:rPr>
        <w:t>” has the meaning set forth in Section 11.1.1.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Institution Information</w:t>
      </w:r>
      <w:r>
        <w:rPr>
          <w:rFonts w:ascii="Arial" w:cs="Arial" w:eastAsia="Arial" w:hAnsi="Arial"/>
          <w:sz w:val="16"/>
          <w:szCs w:val="16"/>
          <w:color w:val="auto"/>
        </w:rPr>
        <w:t>” has the meaning set forth in Section 1.80.</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Institution Materials</w:t>
      </w:r>
      <w:r>
        <w:rPr>
          <w:rFonts w:ascii="Arial" w:cs="Arial" w:eastAsia="Arial" w:hAnsi="Arial"/>
          <w:sz w:val="16"/>
          <w:szCs w:val="16"/>
          <w:color w:val="auto"/>
        </w:rPr>
        <w:t>” has the meaning set forth in Section 1.80.</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Institution Names</w:t>
      </w:r>
      <w:r>
        <w:rPr>
          <w:rFonts w:ascii="Arial" w:cs="Arial" w:eastAsia="Arial" w:hAnsi="Arial"/>
          <w:sz w:val="16"/>
          <w:szCs w:val="16"/>
          <w:color w:val="auto"/>
        </w:rPr>
        <w:t>” has the meaning set forth in Section 11.2.</w:t>
      </w:r>
    </w:p>
    <w:p>
      <w:pPr>
        <w:spacing w:after="0" w:line="225"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b w:val="1"/>
          <w:bCs w:val="1"/>
          <w:color w:val="auto"/>
        </w:rPr>
        <w:t xml:space="preserve">1.80 “Institution Technology Transfer Materials” </w:t>
      </w:r>
      <w:r>
        <w:rPr>
          <w:rFonts w:ascii="Arial" w:cs="Arial" w:eastAsia="Arial" w:hAnsi="Arial"/>
          <w:sz w:val="18"/>
          <w:szCs w:val="18"/>
          <w:color w:val="auto"/>
        </w:rPr>
        <w:t>means (a) the protocols, data and other information listed in Exhibit 1.80A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upon the prior written approval of Company and the Institution providing the applicable protocols, data and information, such approval to be provided in Company’s and such Institution’s sole discretion (“</w:t>
      </w:r>
      <w:r>
        <w:rPr>
          <w:rFonts w:ascii="Arial" w:cs="Arial" w:eastAsia="Arial" w:hAnsi="Arial"/>
          <w:sz w:val="18"/>
          <w:szCs w:val="18"/>
          <w:b w:val="1"/>
          <w:bCs w:val="1"/>
          <w:color w:val="auto"/>
        </w:rPr>
        <w:t>Institution Information”</w:t>
      </w:r>
      <w:r>
        <w:rPr>
          <w:rFonts w:ascii="Arial" w:cs="Arial" w:eastAsia="Arial" w:hAnsi="Arial"/>
          <w:sz w:val="18"/>
          <w:szCs w:val="18"/>
          <w:color w:val="auto"/>
        </w:rPr>
        <w:t>), and (b) the material listed in Exhibit 1.80B (as may be amended upon the prior written approval of Company and the Institution providing the applicable material, such approval to be in Company’s and such Institution’s sole discretion) and any progeny, derivatives, analogs, and modifications of such material made by or on behalf of Company or its Affiliates or any of their Sublicensees or subcontractors (“</w:t>
      </w:r>
      <w:r>
        <w:rPr>
          <w:rFonts w:ascii="Arial" w:cs="Arial" w:eastAsia="Arial" w:hAnsi="Arial"/>
          <w:sz w:val="18"/>
          <w:szCs w:val="18"/>
          <w:b w:val="1"/>
          <w:bCs w:val="1"/>
          <w:color w:val="auto"/>
        </w:rPr>
        <w:t>Institution Materials</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b w:val="1"/>
          <w:bCs w:val="1"/>
          <w:color w:val="auto"/>
        </w:rPr>
        <w:t xml:space="preserve">“Internal Development Plan” </w:t>
      </w:r>
      <w:r>
        <w:rPr>
          <w:rFonts w:ascii="Arial" w:cs="Arial" w:eastAsia="Arial" w:hAnsi="Arial"/>
          <w:sz w:val="16"/>
          <w:szCs w:val="16"/>
          <w:color w:val="auto"/>
        </w:rPr>
        <w:t>has the meaning set forth in Section 2.6.3.1(b), as may be amended in accordance therewith.</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 xml:space="preserve">“Law” </w:t>
      </w:r>
      <w:r>
        <w:rPr>
          <w:rFonts w:ascii="Arial" w:cs="Arial" w:eastAsia="Arial" w:hAnsi="Arial"/>
          <w:sz w:val="16"/>
          <w:szCs w:val="16"/>
          <w:color w:val="auto"/>
        </w:rPr>
        <w:t>has the meaning set forth in Section 11.1.3.3.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Issue Fee</w:t>
      </w:r>
      <w:r>
        <w:rPr>
          <w:rFonts w:ascii="Arial" w:cs="Arial" w:eastAsia="Arial" w:hAnsi="Arial"/>
          <w:sz w:val="16"/>
          <w:szCs w:val="16"/>
          <w:color w:val="auto"/>
        </w:rPr>
        <w:t>” has the meaning set forth in Section 4.2.</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 xml:space="preserve">1.84 “Licensed Product” </w:t>
      </w:r>
      <w:r>
        <w:rPr>
          <w:rFonts w:ascii="Arial" w:cs="Arial" w:eastAsia="Arial" w:hAnsi="Arial"/>
          <w:sz w:val="16"/>
          <w:szCs w:val="16"/>
          <w:color w:val="auto"/>
        </w:rPr>
        <w:t>means on a country-by-country basis, any product the making, using, selling, offering for sale, exporting or importing</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product in the country in question is Covered by at least one Valid Claim in that country. If, during the Royalty Term for a given Licensed Product, such Licensed Product is no longer Covered by at least one Valid Claim in a country, then such Licensed Product shall be deemed an Enabled Product in such country from that time forward for the purposes of calculating Milestone Payments under Section 4.4 and Royalties under Section 4.5, unless and until such product is again Covered by at least one Valid Claim, at which time such product shall again be deemed a Licensed Product for such purposes.</w:t>
      </w:r>
    </w:p>
    <w:p>
      <w:pPr>
        <w:spacing w:after="0" w:line="154" w:lineRule="exact"/>
        <w:rPr>
          <w:sz w:val="20"/>
          <w:szCs w:val="20"/>
          <w:color w:val="auto"/>
        </w:rPr>
      </w:pPr>
    </w:p>
    <w:p>
      <w:pPr>
        <w:ind w:right="120" w:firstLine="648"/>
        <w:spacing w:after="0" w:line="295" w:lineRule="auto"/>
        <w:rPr>
          <w:sz w:val="20"/>
          <w:szCs w:val="20"/>
          <w:color w:val="auto"/>
        </w:rPr>
      </w:pPr>
      <w:r>
        <w:rPr>
          <w:rFonts w:ascii="Arial" w:cs="Arial" w:eastAsia="Arial" w:hAnsi="Arial"/>
          <w:sz w:val="16"/>
          <w:szCs w:val="16"/>
          <w:b w:val="1"/>
          <w:bCs w:val="1"/>
          <w:color w:val="auto"/>
        </w:rPr>
        <w:t xml:space="preserve">1.85 </w:t>
      </w:r>
      <w:r>
        <w:rPr>
          <w:rFonts w:ascii="Arial" w:cs="Arial" w:eastAsia="Arial" w:hAnsi="Arial"/>
          <w:sz w:val="16"/>
          <w:szCs w:val="16"/>
          <w:color w:val="auto"/>
        </w:rPr>
        <w:t>“</w:t>
      </w:r>
      <w:r>
        <w:rPr>
          <w:rFonts w:ascii="Arial" w:cs="Arial" w:eastAsia="Arial" w:hAnsi="Arial"/>
          <w:sz w:val="16"/>
          <w:szCs w:val="16"/>
          <w:b w:val="1"/>
          <w:bCs w:val="1"/>
          <w:color w:val="auto"/>
        </w:rPr>
        <w:t>Licensed Service</w:t>
      </w:r>
      <w:r>
        <w:rPr>
          <w:rFonts w:ascii="Arial" w:cs="Arial" w:eastAsia="Arial" w:hAnsi="Arial"/>
          <w:sz w:val="16"/>
          <w:szCs w:val="16"/>
          <w:color w:val="auto"/>
        </w:rPr>
        <w:t>” means, on a country-by-country basis, any process, method or service (a) that is performed or provided using a</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Product or (b) that does not fall within the definition of clause (a) but the performing or providing of which process, method or service in the country in question is Covered by at least one Valid Claim. If, during the Royalty Term for a Licensed Service that falls under the foregoing clause (b), such Licensed Service is no longer Covered by at least one Valid Claim in a country, then such Licensed Service shall be deemed an Enabled Service in such country from that time forward for the purposes of calculating Milestone Payments under Section 4.4 and Royalties under Section 4.5, unless and until such service is again Covered by at least one Valid Claim, at which time such service shall again be deemed a Licensed Service for such purposes.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List of Countries</w:t>
      </w:r>
      <w:r>
        <w:rPr>
          <w:rFonts w:ascii="Arial" w:cs="Arial" w:eastAsia="Arial" w:hAnsi="Arial"/>
          <w:sz w:val="16"/>
          <w:szCs w:val="16"/>
          <w:color w:val="auto"/>
        </w:rPr>
        <w:t>” has the meaning set forth in Section 6.1.5.</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t>
      </w:r>
      <w:r>
        <w:rPr>
          <w:rFonts w:ascii="Arial" w:cs="Arial" w:eastAsia="Arial" w:hAnsi="Arial"/>
          <w:sz w:val="18"/>
          <w:szCs w:val="18"/>
          <w:b w:val="1"/>
          <w:bCs w:val="1"/>
          <w:color w:val="auto"/>
        </w:rPr>
        <w:t>Listed Company</w:t>
      </w:r>
      <w:r>
        <w:rPr>
          <w:rFonts w:ascii="Arial" w:cs="Arial" w:eastAsia="Arial" w:hAnsi="Arial"/>
          <w:sz w:val="18"/>
          <w:szCs w:val="18"/>
          <w:color w:val="auto"/>
        </w:rPr>
        <w:t>” means the Persons set forth on Exhibit 1.87 hereto, as such exhibit may be amended from time to time upon mutual</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of the Parties.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Litigation Expenses</w:t>
      </w:r>
      <w:r>
        <w:rPr>
          <w:rFonts w:ascii="Arial" w:cs="Arial" w:eastAsia="Arial" w:hAnsi="Arial"/>
          <w:sz w:val="16"/>
          <w:szCs w:val="16"/>
          <w:color w:val="auto"/>
        </w:rPr>
        <w:t>” has the meaning set forth in Section 7.2.2.</w:t>
      </w:r>
    </w:p>
    <w:p>
      <w:pPr>
        <w:sectPr>
          <w:pgSz w:w="11900" w:h="16838" w:orient="portrait"/>
          <w:cols w:equalWidth="0" w:num="1">
            <w:col w:w="11360"/>
          </w:cols>
          <w:pgMar w:left="240" w:top="121" w:right="299" w:bottom="63" w:gutter="0" w:footer="0" w:header="0"/>
        </w:sectPr>
      </w:pPr>
    </w:p>
    <w:bookmarkStart w:id="301" w:name="page302"/>
    <w:bookmarkEnd w:id="301"/>
    <w:p>
      <w:pPr>
        <w:spacing w:after="0" w:line="8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 xml:space="preserve">1.89 </w:t>
      </w:r>
      <w:r>
        <w:rPr>
          <w:rFonts w:ascii="Arial" w:cs="Arial" w:eastAsia="Arial" w:hAnsi="Arial"/>
          <w:sz w:val="16"/>
          <w:szCs w:val="16"/>
          <w:color w:val="auto"/>
        </w:rPr>
        <w:t>“</w:t>
      </w:r>
      <w:r>
        <w:rPr>
          <w:rFonts w:ascii="Arial" w:cs="Arial" w:eastAsia="Arial" w:hAnsi="Arial"/>
          <w:sz w:val="16"/>
          <w:szCs w:val="16"/>
          <w:b w:val="1"/>
          <w:bCs w:val="1"/>
          <w:color w:val="auto"/>
        </w:rPr>
        <w:t>Livestock Applications</w:t>
      </w:r>
      <w:r>
        <w:rPr>
          <w:rFonts w:ascii="Arial" w:cs="Arial" w:eastAsia="Arial" w:hAnsi="Arial"/>
          <w:sz w:val="16"/>
          <w:szCs w:val="16"/>
          <w:color w:val="auto"/>
        </w:rPr>
        <w:t>” means (a) the modification or alteration of livestock, or of any products, cells or materials derived from livestock</w:t>
      </w:r>
      <w:r>
        <w:rPr>
          <w:rFonts w:ascii="Arial" w:cs="Arial" w:eastAsia="Arial" w:hAnsi="Arial"/>
          <w:sz w:val="16"/>
          <w:szCs w:val="16"/>
          <w:b w:val="1"/>
          <w:bCs w:val="1"/>
          <w:color w:val="auto"/>
        </w:rPr>
        <w:t xml:space="preserve"> </w:t>
      </w:r>
      <w:r>
        <w:rPr>
          <w:rFonts w:ascii="Arial" w:cs="Arial" w:eastAsia="Arial" w:hAnsi="Arial"/>
          <w:sz w:val="16"/>
          <w:szCs w:val="16"/>
          <w:color w:val="auto"/>
        </w:rPr>
        <w:t>or the use or provision of any processes, methods or services using livestock or using any products, cells or materials derived from livestock, for the purposes of (i) affecting the fitness of such livestock, including affecting their ability to survive or reproduce, (ii) creating, expressing, transmitting, conferring, improving, or imparting a Trait of interest in such livestock, or (iii) bioproduction or bioprocessing, or (b) the use, production, alteration or modification of exotic animals, or of any products, cells, tissues or materials derived from exotic animals (including biomaterials derived from such exotic animals) in or for consumer goods or products. For the purposes of this definition, (A) “livestock” means (1) cattle, sheep, goats, buffalo, llamas, camels, swine, poultry and fowl (including egg-producing poultry and fowl), dogs, cats and equine animals, (2) animals used for food or in the production of food, (3) animals ordinarily raised or used on the farm or for home use, consumption, or profit, and (4) fish used for food, and (B) “exotic animals” means snakes, alligators, elephants, camels and other exotic animals but specifically excludes all rodents. Notwithstanding anything in this definition or elsewhere in this Agreement to the contrary, Livestock Applications does not include (i) the use of any animal or animal cell in preclinical research or (ii) the treatment of animal disease.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Maintenance Fees</w:t>
      </w:r>
      <w:r>
        <w:rPr>
          <w:rFonts w:ascii="Arial" w:cs="Arial" w:eastAsia="Arial" w:hAnsi="Arial"/>
          <w:sz w:val="16"/>
          <w:szCs w:val="16"/>
          <w:color w:val="auto"/>
        </w:rPr>
        <w:t>” has the meaning set forth in Section 4.3.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Event</w:t>
      </w:r>
      <w:r>
        <w:rPr>
          <w:rFonts w:ascii="Arial" w:cs="Arial" w:eastAsia="Arial" w:hAnsi="Arial"/>
          <w:sz w:val="16"/>
          <w:szCs w:val="16"/>
          <w:color w:val="auto"/>
        </w:rPr>
        <w:t>” means any milestone event indicated in Section 4.4.1, 4.4.2 or 4.4.3.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 xml:space="preserve">“Milestone Explanation” </w:t>
      </w:r>
      <w:r>
        <w:rPr>
          <w:rFonts w:ascii="Arial" w:cs="Arial" w:eastAsia="Arial" w:hAnsi="Arial"/>
          <w:sz w:val="16"/>
          <w:szCs w:val="16"/>
          <w:color w:val="auto"/>
        </w:rPr>
        <w:t>has the meaning set forth in Section 3.4.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Payment</w:t>
      </w:r>
      <w:r>
        <w:rPr>
          <w:rFonts w:ascii="Arial" w:cs="Arial" w:eastAsia="Arial" w:hAnsi="Arial"/>
          <w:sz w:val="16"/>
          <w:szCs w:val="16"/>
          <w:color w:val="auto"/>
        </w:rPr>
        <w:t>” means any milestone payment indicated in Section 4.4.1, 4.4.2 or 4.4.3 corresponding to any Milestone Event.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 xml:space="preserve">“Milestone Plan” </w:t>
      </w:r>
      <w:r>
        <w:rPr>
          <w:rFonts w:ascii="Arial" w:cs="Arial" w:eastAsia="Arial" w:hAnsi="Arial"/>
          <w:sz w:val="16"/>
          <w:szCs w:val="16"/>
          <w:color w:val="auto"/>
        </w:rPr>
        <w:t>has the meaning set forth in Section 3.4.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 xml:space="preserve">“MIT” </w:t>
      </w:r>
      <w:r>
        <w:rPr>
          <w:rFonts w:ascii="Arial" w:cs="Arial" w:eastAsia="Arial" w:hAnsi="Arial"/>
          <w:sz w:val="16"/>
          <w:szCs w:val="16"/>
          <w:color w:val="auto"/>
        </w:rPr>
        <w:t>has the meaning set forth in the Recitals.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 xml:space="preserve">“MIT/Broad Co-Owned Patent Rights” </w:t>
      </w:r>
      <w:r>
        <w:rPr>
          <w:rFonts w:ascii="Arial" w:cs="Arial" w:eastAsia="Arial" w:hAnsi="Arial"/>
          <w:sz w:val="16"/>
          <w:szCs w:val="16"/>
          <w:color w:val="auto"/>
        </w:rPr>
        <w:t>has the meaning set forth in the Recitals.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 xml:space="preserve">1.97 “Net Sales” </w:t>
      </w:r>
      <w:r>
        <w:rPr>
          <w:rFonts w:ascii="Arial" w:cs="Arial" w:eastAsia="Arial" w:hAnsi="Arial"/>
          <w:sz w:val="17"/>
          <w:szCs w:val="17"/>
          <w:color w:val="auto"/>
        </w:rPr>
        <w:t>means the gross amount billed or invoiced by or on behalf of Company, its Affiliates, Sublicensees and any Affiliates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Sublicensees (in each case, the “</w:t>
      </w:r>
      <w:r>
        <w:rPr>
          <w:rFonts w:ascii="Arial" w:cs="Arial" w:eastAsia="Arial" w:hAnsi="Arial"/>
          <w:sz w:val="17"/>
          <w:szCs w:val="17"/>
          <w:b w:val="1"/>
          <w:bCs w:val="1"/>
          <w:color w:val="auto"/>
        </w:rPr>
        <w:t>Invoicing Entity</w:t>
      </w:r>
      <w:r>
        <w:rPr>
          <w:rFonts w:ascii="Arial" w:cs="Arial" w:eastAsia="Arial" w:hAnsi="Arial"/>
          <w:sz w:val="17"/>
          <w:szCs w:val="17"/>
          <w:color w:val="auto"/>
        </w:rPr>
        <w:t>”) or if not billed or invoiced the gross amount received by the Invoicing Entity, on sales, leases, uses or other transfers of Licensed Products, Licensed Services, Enabled Products or Enabled Services, less the following to the extent applicable with respect to such sales, leases or other transfers and not previously deducted from the gross invoice price: (a) customary trade, quantity or cash discounts to the extent actually allowed and taken; (b) amounts actually repaid or credited by reason of rejection, return or recall of any previously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sold, leased or otherwise transferred Licensed Products, Licensed Services, Enabled Products or Enabled Services; (c) rebates granted or given;</w:t>
      </w:r>
    </w:p>
    <w:p>
      <w:pPr>
        <w:spacing w:after="0" w:line="35" w:lineRule="exact"/>
        <w:rPr>
          <w:sz w:val="20"/>
          <w:szCs w:val="20"/>
          <w:color w:val="auto"/>
        </w:rPr>
      </w:pPr>
    </w:p>
    <w:p>
      <w:pPr>
        <w:ind w:right="40" w:firstLine="8"/>
        <w:spacing w:after="0" w:line="254" w:lineRule="auto"/>
        <w:tabs>
          <w:tab w:leader="none" w:pos="2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allowances for non-collectible receivables; (e) customer freight charges that are paid by or on behalf of the Invoicing Entity; and (f) to the extent separately stated on purchase orders, invoices or other documents of sale, any sales, value added or similar taxes, custom duties or other similar governmental charges levied directly on the production, sale, transportation, delivery or use of a Licensed Product or Enabled Product that are paid by or on behalf of the Invoicing Entity, but not including any tax levied with respect to income; provided that:</w:t>
      </w:r>
    </w:p>
    <w:p>
      <w:pPr>
        <w:spacing w:after="0" w:line="19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1.97.1. in no event shall the aggregate amount of all deductions made pursuant to clauses (d) and (e) above in any Calendar Quarter exceed [**] percent ([**]%) of Net Sales in such Calendar Quarter;</w:t>
      </w:r>
    </w:p>
    <w:p>
      <w:pPr>
        <w:spacing w:after="0" w:line="170"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1.97.2. Net Sales shall not include (a) sales or other transfers of any Licensed Product, Licensed Service, Enabled Product or Enabled Service used for clinical trials or other research, or (b) donations for charity or compassionate use for which an Invoicing Entity does not receive consideration;</w:t>
      </w:r>
    </w:p>
    <w:p>
      <w:pPr>
        <w:spacing w:after="0" w:line="18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1.97.3. in any transfers of Licensed Products, Licensed Services, Enabled Products or Enabled Services between an Invoicing Entity and an Affiliate or Sublicensee of such Invoicing Entity not for the purpose of resale by such Affiliate or Sublicensee, Net Sales shall be equal to the fair market value of the Licensed Products, Licensed Services, Enabled Products or Enabled Services so transferred, assuming an arm’s length transaction made in the ordinary course of business;</w:t>
      </w:r>
    </w:p>
    <w:p>
      <w:pPr>
        <w:spacing w:after="0" w:line="187"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1.97.4. in the event that (i) an Invoicing Entity receives non-cash consideration for any Licensed Products, Licensed Services, Enabled Products or Enabled Services, (ii) an Invoicing Entity sells Licensed Products, Licensed Services, Enabled Products or Enabled Services in a transaction not at arm’s length with a non-Affiliate of an Invoicing Entity, or (iii) any Licensed Product, Licensed Service, Enabled Product or Enabled Service is sold by an Invoicing Entity at a discounted price that is substantially lower than the customary prices charged by such Invoicing Entity, Net Sales shall be calculated based on the fair market value of such consideration or transaction, assuming an arm’s length transaction made in the ordinary course of business, provided that, if a Licensed Product, Licensed Service, Enabled Product or Enabled Service is sold under circumstances in which the discounted price is the result of market forces and not a quid pro quo for value other than the monetary consideration charged in such sale of Licensed Product, Licensed Service, Enabled Product or Enabled Service, such discounted price shall be deemed to be a customary price;</w:t>
      </w:r>
    </w:p>
    <w:p>
      <w:pPr>
        <w:spacing w:after="0" w:line="17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1.97.5. with respect to any provision hereof requiring a calculation of fair market value, assuming an arm’s length transaction made in the ordinary course of business, Invoicing Entity may use the average price of the relevant Licensed Product, Licensed Service, Enabled Product or Enabled Service sold for cash during the relevant period in the relevant country; and</w:t>
      </w:r>
    </w:p>
    <w:p>
      <w:pPr>
        <w:spacing w:after="0" w:line="18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1.97.6. sales of Licensed Products, Licensed Services, Enabled Products or Enabled Services by an Invoicing Entity to its Affiliate or a Sublicensee for resale by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Affiliate or Sublicensee shall not be deemed Net Sales. Instead, Net Sales shall be determined based on the gross amount billed or invoiced by such Affiliate or Sublicensee upon resale of such Licensed Products, Licensed Services, Enabled Products or Enabled Services to any third party that is not an Affiliate or Sublicensee of the Invoicing Entity.</w:t>
      </w:r>
    </w:p>
    <w:p>
      <w:pPr>
        <w:sectPr>
          <w:pgSz w:w="11900" w:h="16918" w:orient="portrait"/>
          <w:cols w:equalWidth="0" w:num="1">
            <w:col w:w="11420"/>
          </w:cols>
          <w:pgMar w:left="240" w:top="121" w:right="239" w:bottom="0" w:gutter="0" w:footer="0" w:header="0"/>
        </w:sectPr>
      </w:pPr>
    </w:p>
    <w:bookmarkStart w:id="302" w:name="page303"/>
    <w:bookmarkEnd w:id="302"/>
    <w:p>
      <w:pPr>
        <w:ind w:left="660"/>
        <w:spacing w:after="0"/>
        <w:tabs>
          <w:tab w:leader="none" w:pos="128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 xml:space="preserve">“Non-Achieved Category” </w:t>
      </w:r>
      <w:r>
        <w:rPr>
          <w:rFonts w:ascii="Arial" w:cs="Arial" w:eastAsia="Arial" w:hAnsi="Arial"/>
          <w:sz w:val="16"/>
          <w:szCs w:val="16"/>
          <w:color w:val="auto"/>
        </w:rPr>
        <w:t>has the meaning set forth in Section 3.1.</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1.99 </w:t>
      </w:r>
      <w:r>
        <w:rPr>
          <w:rFonts w:ascii="Arial" w:cs="Arial" w:eastAsia="Arial" w:hAnsi="Arial"/>
          <w:sz w:val="18"/>
          <w:szCs w:val="18"/>
          <w:color w:val="auto"/>
        </w:rPr>
        <w:t>“</w:t>
      </w:r>
      <w:r>
        <w:rPr>
          <w:rFonts w:ascii="Arial" w:cs="Arial" w:eastAsia="Arial" w:hAnsi="Arial"/>
          <w:sz w:val="18"/>
          <w:szCs w:val="18"/>
          <w:b w:val="1"/>
          <w:bCs w:val="1"/>
          <w:color w:val="auto"/>
        </w:rPr>
        <w:t>Non-Exclusive Purpose</w:t>
      </w:r>
      <w:r>
        <w:rPr>
          <w:rFonts w:ascii="Arial" w:cs="Arial" w:eastAsia="Arial" w:hAnsi="Arial"/>
          <w:sz w:val="18"/>
          <w:szCs w:val="18"/>
          <w:color w:val="auto"/>
        </w:rPr>
        <w:t>” means (i) any of the purposes set forth in Section 2.1.2(a) — (i) except for research purposes within the Field,</w:t>
      </w:r>
      <w:r>
        <w:rPr>
          <w:rFonts w:ascii="Arial" w:cs="Arial" w:eastAsia="Arial" w:hAnsi="Arial"/>
          <w:sz w:val="18"/>
          <w:szCs w:val="18"/>
          <w:b w:val="1"/>
          <w:bCs w:val="1"/>
          <w:color w:val="auto"/>
        </w:rPr>
        <w:t xml:space="preserve"> </w:t>
      </w:r>
      <w:r>
        <w:rPr>
          <w:rFonts w:ascii="Arial" w:cs="Arial" w:eastAsia="Arial" w:hAnsi="Arial"/>
          <w:sz w:val="18"/>
          <w:szCs w:val="18"/>
          <w:color w:val="auto"/>
        </w:rPr>
        <w:t>and (ii) any other purpose outside of the Field.</w:t>
      </w:r>
    </w:p>
    <w:p>
      <w:pPr>
        <w:spacing w:after="0" w:line="162"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1.100 </w:t>
      </w:r>
      <w:r>
        <w:rPr>
          <w:rFonts w:ascii="Arial" w:cs="Arial" w:eastAsia="Arial" w:hAnsi="Arial"/>
          <w:sz w:val="18"/>
          <w:szCs w:val="18"/>
          <w:color w:val="auto"/>
        </w:rPr>
        <w:t>“</w:t>
      </w:r>
      <w:r>
        <w:rPr>
          <w:rFonts w:ascii="Arial" w:cs="Arial" w:eastAsia="Arial" w:hAnsi="Arial"/>
          <w:sz w:val="18"/>
          <w:szCs w:val="18"/>
          <w:b w:val="1"/>
          <w:bCs w:val="1"/>
          <w:color w:val="auto"/>
        </w:rPr>
        <w:t>Non-U.S. Milestone Market</w:t>
      </w:r>
      <w:r>
        <w:rPr>
          <w:rFonts w:ascii="Arial" w:cs="Arial" w:eastAsia="Arial" w:hAnsi="Arial"/>
          <w:sz w:val="18"/>
          <w:szCs w:val="18"/>
          <w:color w:val="auto"/>
        </w:rPr>
        <w:t>” means any country, other than the United States, that is not a Developing Country as of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Milestone Event occurs.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IP</w:t>
      </w:r>
      <w:r>
        <w:rPr>
          <w:rFonts w:ascii="Arial" w:cs="Arial" w:eastAsia="Arial" w:hAnsi="Arial"/>
          <w:sz w:val="16"/>
          <w:szCs w:val="16"/>
          <w:color w:val="auto"/>
        </w:rPr>
        <w:t>” has the meaning set forth in Section 7.2.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and “</w:t>
      </w:r>
      <w:r>
        <w:rPr>
          <w:rFonts w:ascii="Arial" w:cs="Arial" w:eastAsia="Arial" w:hAnsi="Arial"/>
          <w:sz w:val="16"/>
          <w:szCs w:val="16"/>
          <w:b w:val="1"/>
          <w:bCs w:val="1"/>
          <w:color w:val="auto"/>
        </w:rPr>
        <w:t>Parties</w:t>
      </w:r>
      <w:r>
        <w:rPr>
          <w:rFonts w:ascii="Arial" w:cs="Arial" w:eastAsia="Arial" w:hAnsi="Arial"/>
          <w:sz w:val="16"/>
          <w:szCs w:val="16"/>
          <w:color w:val="auto"/>
        </w:rPr>
        <w:t>” have the meaning set forth in the Preamble.</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b w:val="1"/>
          <w:bCs w:val="1"/>
          <w:color w:val="auto"/>
        </w:rPr>
        <w:t xml:space="preserve">1.103 </w:t>
      </w:r>
      <w:r>
        <w:rPr>
          <w:rFonts w:ascii="Arial" w:cs="Arial" w:eastAsia="Arial" w:hAnsi="Arial"/>
          <w:sz w:val="16"/>
          <w:szCs w:val="16"/>
          <w:color w:val="auto"/>
        </w:rPr>
        <w:t>“</w:t>
      </w:r>
      <w:r>
        <w:rPr>
          <w:rFonts w:ascii="Arial" w:cs="Arial" w:eastAsia="Arial" w:hAnsi="Arial"/>
          <w:sz w:val="16"/>
          <w:szCs w:val="16"/>
          <w:b w:val="1"/>
          <w:bCs w:val="1"/>
          <w:color w:val="auto"/>
        </w:rPr>
        <w:t>Patent Challenge</w:t>
      </w:r>
      <w:r>
        <w:rPr>
          <w:rFonts w:ascii="Arial" w:cs="Arial" w:eastAsia="Arial" w:hAnsi="Arial"/>
          <w:sz w:val="16"/>
          <w:szCs w:val="16"/>
          <w:color w:val="auto"/>
        </w:rPr>
        <w:t>” means any direct or indirect dispute or challenge, or any knowing, willful, or reckless assistance in the dispute or</w:t>
      </w:r>
      <w:r>
        <w:rPr>
          <w:rFonts w:ascii="Arial" w:cs="Arial" w:eastAsia="Arial" w:hAnsi="Arial"/>
          <w:sz w:val="16"/>
          <w:szCs w:val="16"/>
          <w:b w:val="1"/>
          <w:bCs w:val="1"/>
          <w:color w:val="auto"/>
        </w:rPr>
        <w:t xml:space="preserve"> </w:t>
      </w:r>
      <w:r>
        <w:rPr>
          <w:rFonts w:ascii="Arial" w:cs="Arial" w:eastAsia="Arial" w:hAnsi="Arial"/>
          <w:sz w:val="16"/>
          <w:szCs w:val="16"/>
          <w:color w:val="auto"/>
        </w:rPr>
        <w:t>challenge, of the validity, patentability, scope, priority, construction, non-infringement, inventorship, ownership or enforceability of any Patent Right or any claim thereof, or opposition or assistance in the opposition of the grant of any letters patent within the Patent Rights, in any legal or administrative proceedings, including in a court of law, before the United States Patent and Trademark Office or other agency or tribunal in any jurisdiction, or in arbitration including, without limitation, by reexamination, inter partes review, opposition, interference, post-grant review, nullity proceeding, preissuance submission, third party submission, derivation proceeding or declaratory judgment action; provided, however, that the term Patent Challenge shall not include</w:t>
      </w:r>
    </w:p>
    <w:p>
      <w:pPr>
        <w:spacing w:after="0" w:line="4" w:lineRule="exact"/>
        <w:rPr>
          <w:sz w:val="20"/>
          <w:szCs w:val="20"/>
          <w:color w:val="auto"/>
        </w:rPr>
      </w:pPr>
    </w:p>
    <w:p>
      <w:pPr>
        <w:ind w:left="220" w:hanging="212"/>
        <w:spacing w:after="0"/>
        <w:tabs>
          <w:tab w:leader="none" w:pos="2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Company or its Affiliates being an essential party in any patent interference proceeding before the United States Patent and Trademark Office, which</w:t>
      </w:r>
    </w:p>
    <w:p>
      <w:pPr>
        <w:spacing w:after="0" w:line="20" w:lineRule="exact"/>
        <w:rPr>
          <w:rFonts w:ascii="Arial" w:cs="Arial" w:eastAsia="Arial" w:hAnsi="Arial"/>
          <w:sz w:val="17"/>
          <w:szCs w:val="17"/>
          <w:color w:val="auto"/>
        </w:rPr>
      </w:pPr>
    </w:p>
    <w:p>
      <w:pPr>
        <w:ind w:right="20"/>
        <w:spacing w:after="0" w:line="281" w:lineRule="auto"/>
        <w:rPr>
          <w:rFonts w:ascii="Arial" w:cs="Arial" w:eastAsia="Arial" w:hAnsi="Arial"/>
          <w:sz w:val="17"/>
          <w:szCs w:val="17"/>
          <w:color w:val="auto"/>
        </w:rPr>
      </w:pPr>
      <w:r>
        <w:rPr>
          <w:rFonts w:ascii="Arial" w:cs="Arial" w:eastAsia="Arial" w:hAnsi="Arial"/>
          <w:sz w:val="16"/>
          <w:szCs w:val="16"/>
          <w:color w:val="auto"/>
        </w:rPr>
        <w:t>interference Company or its Affiliates acts in good faith to try to settle, or (ii) Company, due to its status as an exclusive licensee of patent rights other than the Patent Rights, being named by the licensor of such patent rights as a real party in interest in such an interference, so long as Company either abstains from participation in, or acts in good faith to settle, the interference. For clarity, a Patent Challenge shall not include arguments made by Company that</w:t>
      </w:r>
    </w:p>
    <w:p>
      <w:pPr>
        <w:spacing w:after="0" w:line="2" w:lineRule="exact"/>
        <w:rPr>
          <w:rFonts w:ascii="Arial" w:cs="Arial" w:eastAsia="Arial" w:hAnsi="Arial"/>
          <w:sz w:val="17"/>
          <w:szCs w:val="17"/>
          <w:color w:val="auto"/>
        </w:rPr>
      </w:pPr>
    </w:p>
    <w:p>
      <w:pPr>
        <w:ind w:right="60" w:firstLine="8"/>
        <w:spacing w:after="0" w:line="253" w:lineRule="auto"/>
        <w:tabs>
          <w:tab w:leader="none" w:pos="24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distinguish the inventions claimed in patents or patent applications owned or controlled by Company (“</w:t>
      </w:r>
      <w:r>
        <w:rPr>
          <w:rFonts w:ascii="Arial" w:cs="Arial" w:eastAsia="Arial" w:hAnsi="Arial"/>
          <w:sz w:val="18"/>
          <w:szCs w:val="18"/>
          <w:b w:val="1"/>
          <w:bCs w:val="1"/>
          <w:color w:val="auto"/>
        </w:rPr>
        <w:t>Company Patents</w:t>
      </w:r>
      <w:r>
        <w:rPr>
          <w:rFonts w:ascii="Arial" w:cs="Arial" w:eastAsia="Arial" w:hAnsi="Arial"/>
          <w:sz w:val="18"/>
          <w:szCs w:val="18"/>
          <w:color w:val="auto"/>
        </w:rPr>
        <w:t>”) from those claimed in the Patent Rights but (b) do not disparage the Patent Rights or raise any issue of Patent Rights’ compliance with or sufficiency under applicable patent laws, regulations or administrative rules, in each case (i) in the ordinary course of ex parte prosecution of the Company Patents or (ii) in inter partes proceedings before the United States Patent and Trademark Office or other agency or tribunal in any jurisdiction (excluding interferences or derivation proceedings), or in arbitration, wherein the Company Patents have been challenged.</w:t>
      </w:r>
    </w:p>
    <w:p>
      <w:pPr>
        <w:spacing w:after="0" w:line="187"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1.104 “Patent Rights” </w:t>
      </w:r>
      <w:r>
        <w:rPr>
          <w:rFonts w:ascii="Arial" w:cs="Arial" w:eastAsia="Arial" w:hAnsi="Arial"/>
          <w:sz w:val="18"/>
          <w:szCs w:val="18"/>
          <w:color w:val="auto"/>
        </w:rPr>
        <w:t>means the patents and patent applications that are listed on the attached Exhibit 1.104 and any and all divisionals,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continuations, continuations-in-part (only to the extent of claims that are entitled to the priority date of and directed specifically to the subject matter claimed in the applications listed on the attached Exhibit 1.104), substitutes, counterparts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and foreign equivalents thereof filed in any country, and any patents issuing thereon (but in the case of patents issuing on continuations-in-part applications, only to the claims thereof that are entitled to the priority date of and directed specifically to the subject matter claimed in the applications listed on the attached Exhibit 1.104) and any reissues, reexaminations or extensions thereof.</w:t>
      </w:r>
    </w:p>
    <w:p>
      <w:pPr>
        <w:spacing w:after="0" w:line="17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1.105 “Patent Rights Categories” </w:t>
      </w:r>
      <w:r>
        <w:rPr>
          <w:rFonts w:ascii="Arial" w:cs="Arial" w:eastAsia="Arial" w:hAnsi="Arial"/>
          <w:sz w:val="18"/>
          <w:szCs w:val="18"/>
          <w:color w:val="auto"/>
        </w:rPr>
        <w:t>means the CRISPR Patent Rights, the TALE Patent Rights and the Delivery Patent Rights; provided that, if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reasonable interpretation of the claims of the Patent Rights within the foregoing categories requires that such Patent Rights be reclassified, then the Parties shall discuss such reclassification in good faith.</w:t>
      </w:r>
    </w:p>
    <w:p>
      <w:pPr>
        <w:spacing w:after="0" w:line="176" w:lineRule="exact"/>
        <w:rPr>
          <w:sz w:val="20"/>
          <w:szCs w:val="20"/>
          <w:color w:val="auto"/>
        </w:rPr>
      </w:pPr>
    </w:p>
    <w:p>
      <w:pPr>
        <w:ind w:right="460" w:firstLine="648"/>
        <w:spacing w:after="0" w:line="266" w:lineRule="auto"/>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business trust, joint stock company, trust, unincorporated association, joint venture or other similar entity or organization, including a government or political subdivision, department or agency of a government.</w:t>
      </w:r>
    </w:p>
    <w:p>
      <w:pPr>
        <w:spacing w:after="0" w:line="176" w:lineRule="exact"/>
        <w:rPr>
          <w:sz w:val="20"/>
          <w:szCs w:val="20"/>
          <w:color w:val="auto"/>
        </w:rPr>
      </w:pPr>
    </w:p>
    <w:p>
      <w:pPr>
        <w:ind w:right="100" w:firstLine="648"/>
        <w:spacing w:after="0" w:line="313" w:lineRule="auto"/>
        <w:rPr>
          <w:sz w:val="20"/>
          <w:szCs w:val="20"/>
          <w:color w:val="auto"/>
        </w:rPr>
      </w:pPr>
      <w:r>
        <w:rPr>
          <w:rFonts w:ascii="Arial" w:cs="Arial" w:eastAsia="Arial" w:hAnsi="Arial"/>
          <w:sz w:val="17"/>
          <w:szCs w:val="17"/>
          <w:b w:val="1"/>
          <w:bCs w:val="1"/>
          <w:color w:val="auto"/>
        </w:rPr>
        <w:t xml:space="preserve">1.107 </w:t>
      </w:r>
      <w:r>
        <w:rPr>
          <w:rFonts w:ascii="Arial" w:cs="Arial" w:eastAsia="Arial" w:hAnsi="Arial"/>
          <w:sz w:val="17"/>
          <w:szCs w:val="17"/>
          <w:color w:val="auto"/>
        </w:rPr>
        <w:t>“</w:t>
      </w:r>
      <w:r>
        <w:rPr>
          <w:rFonts w:ascii="Arial" w:cs="Arial" w:eastAsia="Arial" w:hAnsi="Arial"/>
          <w:sz w:val="17"/>
          <w:szCs w:val="17"/>
          <w:b w:val="1"/>
          <w:bCs w:val="1"/>
          <w:color w:val="auto"/>
        </w:rPr>
        <w:t>Phase I Clinical Study</w:t>
      </w:r>
      <w:r>
        <w:rPr>
          <w:rFonts w:ascii="Arial" w:cs="Arial" w:eastAsia="Arial" w:hAnsi="Arial"/>
          <w:sz w:val="17"/>
          <w:szCs w:val="17"/>
          <w:color w:val="auto"/>
        </w:rPr>
        <w:t>” means, as to a specific Licensed Product, a study of such product in humans designed to satisfy the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of 21 C.F.R. § 312.21(a), as amended from time to time, or the corresponding regulation in jurisdictions other than the United States.</w:t>
      </w:r>
    </w:p>
    <w:p>
      <w:pPr>
        <w:spacing w:after="0" w:line="138"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1.108 “Phase II Ag Trial” </w:t>
      </w:r>
      <w:r>
        <w:rPr>
          <w:rFonts w:ascii="Arial" w:cs="Arial" w:eastAsia="Arial" w:hAnsi="Arial"/>
          <w:sz w:val="18"/>
          <w:szCs w:val="18"/>
          <w:color w:val="auto"/>
        </w:rPr>
        <w:t>means the second phase of Field Trials for an Ag Product which is designed to test for the occurrence of a statistically</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level of desired Trait performance.</w:t>
      </w:r>
    </w:p>
    <w:p>
      <w:pPr>
        <w:spacing w:after="0" w:line="162"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 xml:space="preserve">1.109 “Phase II Clinical Study” </w:t>
      </w:r>
      <w:r>
        <w:rPr>
          <w:rFonts w:ascii="Arial" w:cs="Arial" w:eastAsia="Arial" w:hAnsi="Arial"/>
          <w:sz w:val="17"/>
          <w:szCs w:val="17"/>
          <w:color w:val="auto"/>
        </w:rPr>
        <w:t>means (a) a preliminary efficacy and safety human clinical study in any country conducted to evaluate a drug for</w:t>
      </w:r>
      <w:r>
        <w:rPr>
          <w:rFonts w:ascii="Arial" w:cs="Arial" w:eastAsia="Arial" w:hAnsi="Arial"/>
          <w:sz w:val="17"/>
          <w:szCs w:val="17"/>
          <w:b w:val="1"/>
          <w:bCs w:val="1"/>
          <w:color w:val="auto"/>
        </w:rPr>
        <w:t xml:space="preserve"> </w:t>
      </w:r>
      <w:r>
        <w:rPr>
          <w:rFonts w:ascii="Arial" w:cs="Arial" w:eastAsia="Arial" w:hAnsi="Arial"/>
          <w:sz w:val="17"/>
          <w:szCs w:val="17"/>
          <w:color w:val="auto"/>
        </w:rPr>
        <w:t>a particular indication or indications in patients with the disease or condition under study, where at least one of the primary endpoints of such study is an efficacy endpoint, or (b) any human clinical study that satisfies the requirements of 21 C.F.R. § 312.21(b) in the United States.</w:t>
      </w:r>
    </w:p>
    <w:p>
      <w:pPr>
        <w:spacing w:after="0" w:line="158"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1.110 “Phase III Clinical Study” </w:t>
      </w:r>
      <w:r>
        <w:rPr>
          <w:rFonts w:ascii="Arial" w:cs="Arial" w:eastAsia="Arial" w:hAnsi="Arial"/>
          <w:sz w:val="17"/>
          <w:szCs w:val="17"/>
          <w:color w:val="auto"/>
        </w:rPr>
        <w:t>means (a) a human clinical study in any country, whether controlled or uncontrolled, that is performed to obtain</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Approval of a drug after preliminary evidence suggesting effectiveness of the drug under evaluation has been obtained, and intended to confirm with statistical significance the efficacy and safety of a drug, to evaluate the overall benefit-risk relationship of the drug and to provide an adequate basis for physician labeling, or (b) a human clinical study that satisfies the requirements of 21 C.F.R. § 312.21(c) in the United States.</w:t>
      </w:r>
    </w:p>
    <w:p>
      <w:pPr>
        <w:spacing w:after="0" w:line="16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Potential Target</w:t>
      </w:r>
      <w:r>
        <w:rPr>
          <w:rFonts w:ascii="Arial" w:cs="Arial" w:eastAsia="Arial" w:hAnsi="Arial"/>
          <w:sz w:val="16"/>
          <w:szCs w:val="16"/>
          <w:color w:val="auto"/>
        </w:rPr>
        <w:t>” has the meaning set forth in Section 2.6.5.2.</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Potential Target Period</w:t>
      </w:r>
      <w:r>
        <w:rPr>
          <w:rFonts w:ascii="Arial" w:cs="Arial" w:eastAsia="Arial" w:hAnsi="Arial"/>
          <w:sz w:val="16"/>
          <w:szCs w:val="16"/>
          <w:color w:val="auto"/>
        </w:rPr>
        <w:t>” has the meaning set forth in Section 2.6.5.2.</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b w:val="1"/>
          <w:bCs w:val="1"/>
          <w:color w:val="auto"/>
        </w:rPr>
        <w:t xml:space="preserve">“Process” </w:t>
      </w:r>
      <w:r>
        <w:rPr>
          <w:rFonts w:ascii="Arial" w:cs="Arial" w:eastAsia="Arial" w:hAnsi="Arial"/>
          <w:sz w:val="16"/>
          <w:szCs w:val="16"/>
          <w:color w:val="auto"/>
        </w:rPr>
        <w:t>has the meaning set forth in Section 2.6.6.</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 xml:space="preserve">“Proposed Product” </w:t>
      </w:r>
      <w:r>
        <w:rPr>
          <w:rFonts w:ascii="Arial" w:cs="Arial" w:eastAsia="Arial" w:hAnsi="Arial"/>
          <w:sz w:val="16"/>
          <w:szCs w:val="16"/>
          <w:color w:val="auto"/>
        </w:rPr>
        <w:t>has the meaning set forth in Section 2.6.1.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316" w:gutter="0" w:footer="0" w:header="0"/>
        </w:sectPr>
      </w:pPr>
    </w:p>
    <w:bookmarkStart w:id="303" w:name="page304"/>
    <w:bookmarkEnd w:id="303"/>
    <w:p>
      <w:pPr>
        <w:ind w:left="660"/>
        <w:spacing w:after="0"/>
        <w:tabs>
          <w:tab w:leader="none" w:pos="126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 xml:space="preserve">“Proposed Product Collaboration Partner” </w:t>
      </w:r>
      <w:r>
        <w:rPr>
          <w:rFonts w:ascii="Arial" w:cs="Arial" w:eastAsia="Arial" w:hAnsi="Arial"/>
          <w:sz w:val="16"/>
          <w:szCs w:val="16"/>
          <w:color w:val="auto"/>
        </w:rPr>
        <w:t>has the meaning set forth in Section 2.6.3.2(a).</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 xml:space="preserve">“Proposed Product Extension Period” </w:t>
      </w:r>
      <w:r>
        <w:rPr>
          <w:rFonts w:ascii="Arial" w:cs="Arial" w:eastAsia="Arial" w:hAnsi="Arial"/>
          <w:sz w:val="16"/>
          <w:szCs w:val="16"/>
          <w:color w:val="auto"/>
        </w:rPr>
        <w:t>has the meaning set forth in Section 2.6.6.</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b w:val="1"/>
          <w:bCs w:val="1"/>
          <w:color w:val="auto"/>
        </w:rPr>
        <w:t xml:space="preserve">“Proposed Product License” </w:t>
      </w:r>
      <w:r>
        <w:rPr>
          <w:rFonts w:ascii="Arial" w:cs="Arial" w:eastAsia="Arial" w:hAnsi="Arial"/>
          <w:sz w:val="16"/>
          <w:szCs w:val="16"/>
          <w:color w:val="auto"/>
        </w:rPr>
        <w:t>has the meaning set forth in Section 2.6.4.</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 xml:space="preserve">“Proposed Product Notice” </w:t>
      </w:r>
      <w:r>
        <w:rPr>
          <w:rFonts w:ascii="Arial" w:cs="Arial" w:eastAsia="Arial" w:hAnsi="Arial"/>
          <w:sz w:val="16"/>
          <w:szCs w:val="16"/>
          <w:color w:val="auto"/>
        </w:rPr>
        <w:t>has the meaning set forth in Section 2.6.1.</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b w:val="1"/>
          <w:bCs w:val="1"/>
          <w:color w:val="auto"/>
        </w:rPr>
        <w:t xml:space="preserve">“Proposed Product Notice Date” </w:t>
      </w:r>
      <w:r>
        <w:rPr>
          <w:rFonts w:ascii="Arial" w:cs="Arial" w:eastAsia="Arial" w:hAnsi="Arial"/>
          <w:sz w:val="16"/>
          <w:szCs w:val="16"/>
          <w:color w:val="auto"/>
        </w:rPr>
        <w:t>has the meaning set forth in Section 2.6.1.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b w:val="1"/>
          <w:bCs w:val="1"/>
          <w:color w:val="auto"/>
        </w:rPr>
        <w:t xml:space="preserve">“Proposed Product Option” </w:t>
      </w:r>
      <w:r>
        <w:rPr>
          <w:rFonts w:ascii="Arial" w:cs="Arial" w:eastAsia="Arial" w:hAnsi="Arial"/>
          <w:sz w:val="16"/>
          <w:szCs w:val="16"/>
          <w:color w:val="auto"/>
        </w:rPr>
        <w:t>has the meaning set forth in Section 2.6.2.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 xml:space="preserve">“Proposing Party” </w:t>
      </w:r>
      <w:r>
        <w:rPr>
          <w:rFonts w:ascii="Arial" w:cs="Arial" w:eastAsia="Arial" w:hAnsi="Arial"/>
          <w:sz w:val="16"/>
          <w:szCs w:val="16"/>
          <w:color w:val="auto"/>
        </w:rPr>
        <w:t>has the meaning set forth in Section 2.6.1.</w:t>
      </w:r>
    </w:p>
    <w:p>
      <w:pPr>
        <w:spacing w:after="0" w:line="225" w:lineRule="exact"/>
        <w:rPr>
          <w:sz w:val="20"/>
          <w:szCs w:val="20"/>
          <w:color w:val="auto"/>
        </w:rPr>
      </w:pPr>
    </w:p>
    <w:p>
      <w:pPr>
        <w:ind w:right="380" w:firstLine="648"/>
        <w:spacing w:after="0" w:line="303" w:lineRule="auto"/>
        <w:rPr>
          <w:sz w:val="20"/>
          <w:szCs w:val="20"/>
          <w:color w:val="auto"/>
        </w:rPr>
      </w:pPr>
      <w:r>
        <w:rPr>
          <w:rFonts w:ascii="Arial" w:cs="Arial" w:eastAsia="Arial" w:hAnsi="Arial"/>
          <w:sz w:val="16"/>
          <w:szCs w:val="16"/>
          <w:b w:val="1"/>
          <w:bCs w:val="1"/>
          <w:color w:val="auto"/>
        </w:rPr>
        <w:t xml:space="preserve">1.122 </w:t>
      </w:r>
      <w:r>
        <w:rPr>
          <w:rFonts w:ascii="Arial" w:cs="Arial" w:eastAsia="Arial" w:hAnsi="Arial"/>
          <w:sz w:val="16"/>
          <w:szCs w:val="16"/>
          <w:color w:val="auto"/>
        </w:rPr>
        <w:t>“</w:t>
      </w:r>
      <w:r>
        <w:rPr>
          <w:rFonts w:ascii="Arial" w:cs="Arial" w:eastAsia="Arial" w:hAnsi="Arial"/>
          <w:sz w:val="16"/>
          <w:szCs w:val="16"/>
          <w:b w:val="1"/>
          <w:bCs w:val="1"/>
          <w:color w:val="auto"/>
        </w:rPr>
        <w:t>Prosecution</w:t>
      </w:r>
      <w:r>
        <w:rPr>
          <w:rFonts w:ascii="Arial" w:cs="Arial" w:eastAsia="Arial" w:hAnsi="Arial"/>
          <w:sz w:val="16"/>
          <w:szCs w:val="16"/>
          <w:color w:val="auto"/>
        </w:rPr>
        <w:t>” means the preparation, filing, prosecution, issuance and maintenance of the Patent Rights, including continuations,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continuations-in-part, divisionals, extensions,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reissues, supplemental examination, appeals, interferences, derivation proceedings, oppositions, all other proceedings before the United States Patent and Trademark Office (including the Patent Trial and Appeal Board) and foreign patent offices, and any judicial or other appeals of the foregoing. Cognates of the word “Prosecution” have their correlative meanings.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Record Retention Period</w:t>
      </w:r>
      <w:r>
        <w:rPr>
          <w:rFonts w:ascii="Arial" w:cs="Arial" w:eastAsia="Arial" w:hAnsi="Arial"/>
          <w:sz w:val="16"/>
          <w:szCs w:val="16"/>
          <w:color w:val="auto"/>
        </w:rPr>
        <w:t>” has the meaning set forth in Section 5.3.</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1.124 </w:t>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with respect to a particular product or service, receipt of all regulatory clearances or approvals (which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the E.U. may be through the centralized procedure) required in the jurisdiction in question for the sale of the applicable product or service in such jurisdiction, including receipt of pricing approval, if any, legally required for such sale.</w:t>
      </w:r>
    </w:p>
    <w:p>
      <w:pPr>
        <w:spacing w:after="0" w:line="176" w:lineRule="exact"/>
        <w:rPr>
          <w:sz w:val="20"/>
          <w:szCs w:val="20"/>
          <w:color w:val="auto"/>
        </w:rPr>
      </w:pPr>
    </w:p>
    <w:p>
      <w:pPr>
        <w:ind w:right="500" w:firstLine="648"/>
        <w:spacing w:after="0" w:line="347" w:lineRule="auto"/>
        <w:rPr>
          <w:sz w:val="20"/>
          <w:szCs w:val="20"/>
          <w:color w:val="auto"/>
        </w:rPr>
      </w:pPr>
      <w:r>
        <w:rPr>
          <w:rFonts w:ascii="Arial" w:cs="Arial" w:eastAsia="Arial" w:hAnsi="Arial"/>
          <w:sz w:val="16"/>
          <w:szCs w:val="16"/>
          <w:b w:val="1"/>
          <w:bCs w:val="1"/>
          <w:color w:val="auto"/>
        </w:rPr>
        <w:t xml:space="preserve">1.125 </w:t>
      </w:r>
      <w:r>
        <w:rPr>
          <w:rFonts w:ascii="Arial" w:cs="Arial" w:eastAsia="Arial" w:hAnsi="Arial"/>
          <w:sz w:val="16"/>
          <w:szCs w:val="16"/>
          <w:color w:val="auto"/>
        </w:rPr>
        <w:t>“</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any applicable government regulatory authority involved in granting clearances or approvals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and marketing of a Licensed Product, Licensed Service, Enabled Product or Enabled Service including, in the United States, the FDA.</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Replacement Product</w:t>
      </w:r>
      <w:r>
        <w:rPr>
          <w:rFonts w:ascii="Arial" w:cs="Arial" w:eastAsia="Arial" w:hAnsi="Arial"/>
          <w:sz w:val="16"/>
          <w:szCs w:val="16"/>
          <w:color w:val="auto"/>
        </w:rPr>
        <w:t>” has the meaning set forth in Section 4.4.5.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Response Notice</w:t>
      </w:r>
      <w:r>
        <w:rPr>
          <w:rFonts w:ascii="Arial" w:cs="Arial" w:eastAsia="Arial" w:hAnsi="Arial"/>
          <w:sz w:val="16"/>
          <w:szCs w:val="16"/>
          <w:color w:val="auto"/>
        </w:rPr>
        <w:t>” has the meaning set forth in Section 3.1.1.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Response Period</w:t>
      </w:r>
      <w:r>
        <w:rPr>
          <w:rFonts w:ascii="Arial" w:cs="Arial" w:eastAsia="Arial" w:hAnsi="Arial"/>
          <w:sz w:val="16"/>
          <w:szCs w:val="16"/>
          <w:color w:val="auto"/>
        </w:rPr>
        <w:t>” has the meaning set forth in Section 3.1.1.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Royalties</w:t>
      </w:r>
      <w:r>
        <w:rPr>
          <w:rFonts w:ascii="Arial" w:cs="Arial" w:eastAsia="Arial" w:hAnsi="Arial"/>
          <w:sz w:val="16"/>
          <w:szCs w:val="16"/>
          <w:color w:val="auto"/>
        </w:rPr>
        <w:t>” has the meaning set forth in Section 4.5.1.</w:t>
      </w:r>
    </w:p>
    <w:p>
      <w:pPr>
        <w:spacing w:after="0" w:line="225" w:lineRule="exact"/>
        <w:rPr>
          <w:sz w:val="20"/>
          <w:szCs w:val="20"/>
          <w:color w:val="auto"/>
        </w:rPr>
      </w:pPr>
    </w:p>
    <w:p>
      <w:pPr>
        <w:ind w:right="260" w:firstLine="648"/>
        <w:spacing w:after="0" w:line="313" w:lineRule="auto"/>
        <w:rPr>
          <w:sz w:val="20"/>
          <w:szCs w:val="20"/>
          <w:color w:val="auto"/>
        </w:rPr>
      </w:pPr>
      <w:r>
        <w:rPr>
          <w:rFonts w:ascii="Arial" w:cs="Arial" w:eastAsia="Arial" w:hAnsi="Arial"/>
          <w:sz w:val="17"/>
          <w:szCs w:val="17"/>
          <w:b w:val="1"/>
          <w:bCs w:val="1"/>
          <w:color w:val="auto"/>
        </w:rPr>
        <w:t xml:space="preserve">1.130 </w:t>
      </w:r>
      <w:r>
        <w:rPr>
          <w:rFonts w:ascii="Arial" w:cs="Arial" w:eastAsia="Arial" w:hAnsi="Arial"/>
          <w:sz w:val="17"/>
          <w:szCs w:val="17"/>
          <w:color w:val="auto"/>
        </w:rPr>
        <w:t>“</w:t>
      </w:r>
      <w:r>
        <w:rPr>
          <w:rFonts w:ascii="Arial" w:cs="Arial" w:eastAsia="Arial" w:hAnsi="Arial"/>
          <w:sz w:val="17"/>
          <w:szCs w:val="17"/>
          <w:b w:val="1"/>
          <w:bCs w:val="1"/>
          <w:color w:val="auto"/>
        </w:rPr>
        <w:t>Royalty Term</w:t>
      </w:r>
      <w:r>
        <w:rPr>
          <w:rFonts w:ascii="Arial" w:cs="Arial" w:eastAsia="Arial" w:hAnsi="Arial"/>
          <w:sz w:val="17"/>
          <w:szCs w:val="17"/>
          <w:color w:val="auto"/>
        </w:rPr>
        <w:t>” means, on a country-by-country and product/service-by-product/service basis, the period commencing on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and ending on the later of: (a) the expiration of the last Valid Claim within the Patent Rights Covering the Licensed Product</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or Licensed Service or (b) the tenth (10</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date of the First Commercial Sale of the Licensed Product, Licensed Service, Enabled Product or Enabled Service; provided that, for any Enabled Product or Enabled Service that was a Licensed Product or Licensed Service, the date of the First Commercial Sale in clause (b) shall be deemed to be the earlier of (i) the date of First Commercial Sale of the Enabled Product or Enabled Service that was a Licensed Product or Licensed Service and (ii) the date of the First Commercial Sale of the Licensed Product or Licensed Service that became such Enabled Product or Enabled Service.</w:t>
      </w:r>
    </w:p>
    <w:p>
      <w:pPr>
        <w:spacing w:after="0" w:line="200"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b w:val="1"/>
          <w:bCs w:val="1"/>
          <w:color w:val="auto"/>
        </w:rPr>
        <w:t xml:space="preserve">1.131 </w:t>
      </w:r>
      <w:r>
        <w:rPr>
          <w:rFonts w:ascii="Arial" w:cs="Arial" w:eastAsia="Arial" w:hAnsi="Arial"/>
          <w:sz w:val="17"/>
          <w:szCs w:val="17"/>
          <w:color w:val="auto"/>
        </w:rPr>
        <w:t>“</w:t>
      </w:r>
      <w:r>
        <w:rPr>
          <w:rFonts w:ascii="Arial" w:cs="Arial" w:eastAsia="Arial" w:hAnsi="Arial"/>
          <w:sz w:val="17"/>
          <w:szCs w:val="17"/>
          <w:b w:val="1"/>
          <w:bCs w:val="1"/>
          <w:color w:val="auto"/>
        </w:rPr>
        <w:t>Schedule 1 Product</w:t>
      </w:r>
      <w:r>
        <w:rPr>
          <w:rFonts w:ascii="Arial" w:cs="Arial" w:eastAsia="Arial" w:hAnsi="Arial"/>
          <w:sz w:val="17"/>
          <w:szCs w:val="17"/>
          <w:color w:val="auto"/>
        </w:rPr>
        <w:t>” means a Licensed Product or an Enabled Product, in each case for the prevention or treatment of human disease for</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incidence is fewer than [**] patients or prevalence is fewer than [**] patients in the U.S., or which Institutions and Company otherwise agree in writing shall be considered a Schedule 1 Product based on their review and assessment of the available information.</w:t>
      </w:r>
    </w:p>
    <w:p>
      <w:pPr>
        <w:spacing w:after="0" w:line="158" w:lineRule="exact"/>
        <w:rPr>
          <w:sz w:val="20"/>
          <w:szCs w:val="20"/>
          <w:color w:val="auto"/>
        </w:rPr>
      </w:pPr>
    </w:p>
    <w:p>
      <w:pPr>
        <w:jc w:val="both"/>
        <w:ind w:right="80" w:firstLine="648"/>
        <w:spacing w:after="0" w:line="282" w:lineRule="auto"/>
        <w:rPr>
          <w:sz w:val="20"/>
          <w:szCs w:val="20"/>
          <w:color w:val="auto"/>
        </w:rPr>
      </w:pPr>
      <w:r>
        <w:rPr>
          <w:rFonts w:ascii="Arial" w:cs="Arial" w:eastAsia="Arial" w:hAnsi="Arial"/>
          <w:sz w:val="18"/>
          <w:szCs w:val="18"/>
          <w:b w:val="1"/>
          <w:bCs w:val="1"/>
          <w:color w:val="auto"/>
        </w:rPr>
        <w:t xml:space="preserve">1.132 </w:t>
      </w:r>
      <w:r>
        <w:rPr>
          <w:rFonts w:ascii="Arial" w:cs="Arial" w:eastAsia="Arial" w:hAnsi="Arial"/>
          <w:sz w:val="18"/>
          <w:szCs w:val="18"/>
          <w:color w:val="auto"/>
        </w:rPr>
        <w:t>“</w:t>
      </w:r>
      <w:r>
        <w:rPr>
          <w:rFonts w:ascii="Arial" w:cs="Arial" w:eastAsia="Arial" w:hAnsi="Arial"/>
          <w:sz w:val="18"/>
          <w:szCs w:val="18"/>
          <w:b w:val="1"/>
          <w:bCs w:val="1"/>
          <w:color w:val="auto"/>
        </w:rPr>
        <w:t>Schedule 2 Product</w:t>
      </w:r>
      <w:r>
        <w:rPr>
          <w:rFonts w:ascii="Arial" w:cs="Arial" w:eastAsia="Arial" w:hAnsi="Arial"/>
          <w:sz w:val="18"/>
          <w:szCs w:val="18"/>
          <w:color w:val="auto"/>
        </w:rPr>
        <w:t>” means a Licensed Product or an Enabled Product, in each case for the prevention or treatment of human disease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prevalence is [**] patients or greater in the U.S.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has the meaning set forth in Section 4.8.3.2.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6"/>
          <w:szCs w:val="16"/>
          <w:b w:val="1"/>
          <w:bCs w:val="1"/>
          <w:color w:val="auto"/>
        </w:rPr>
        <w:t xml:space="preserve">“Selected Target” </w:t>
      </w:r>
      <w:r>
        <w:rPr>
          <w:rFonts w:ascii="Arial" w:cs="Arial" w:eastAsia="Arial" w:hAnsi="Arial"/>
          <w:sz w:val="16"/>
          <w:szCs w:val="16"/>
          <w:color w:val="auto"/>
        </w:rPr>
        <w:t>has the meaning set forth in Section 2.6.5.2.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6"/>
          <w:szCs w:val="16"/>
          <w:b w:val="1"/>
          <w:bCs w:val="1"/>
          <w:color w:val="auto"/>
        </w:rPr>
        <w:t xml:space="preserve">“Selection Date” </w:t>
      </w:r>
      <w:r>
        <w:rPr>
          <w:rFonts w:ascii="Arial" w:cs="Arial" w:eastAsia="Arial" w:hAnsi="Arial"/>
          <w:sz w:val="16"/>
          <w:szCs w:val="16"/>
          <w:color w:val="auto"/>
        </w:rPr>
        <w:t>has the meaning set forth in Section 2.6.5.2.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6"/>
          <w:szCs w:val="16"/>
          <w:b w:val="1"/>
          <w:bCs w:val="1"/>
          <w:color w:val="auto"/>
        </w:rPr>
        <w:t xml:space="preserve">“Shares” </w:t>
      </w:r>
      <w:r>
        <w:rPr>
          <w:rFonts w:ascii="Arial" w:cs="Arial" w:eastAsia="Arial" w:hAnsi="Arial"/>
          <w:sz w:val="16"/>
          <w:szCs w:val="16"/>
          <w:color w:val="auto"/>
        </w:rPr>
        <w:t>has the meaning set forth in Section 4.8.1.</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 xml:space="preserve">1.137 </w:t>
      </w:r>
      <w:r>
        <w:rPr>
          <w:rFonts w:ascii="Arial" w:cs="Arial" w:eastAsia="Arial" w:hAnsi="Arial"/>
          <w:sz w:val="18"/>
          <w:szCs w:val="18"/>
          <w:color w:val="auto"/>
        </w:rPr>
        <w:t>“</w:t>
      </w:r>
      <w:r>
        <w:rPr>
          <w:rFonts w:ascii="Arial" w:cs="Arial" w:eastAsia="Arial" w:hAnsi="Arial"/>
          <w:sz w:val="18"/>
          <w:szCs w:val="18"/>
          <w:b w:val="1"/>
          <w:bCs w:val="1"/>
          <w:color w:val="auto"/>
        </w:rPr>
        <w:t>Single Ag Product</w:t>
      </w:r>
      <w:r>
        <w:rPr>
          <w:rFonts w:ascii="Arial" w:cs="Arial" w:eastAsia="Arial" w:hAnsi="Arial"/>
          <w:sz w:val="18"/>
          <w:szCs w:val="18"/>
          <w:color w:val="auto"/>
        </w:rPr>
        <w:t>” means all Ag Products that are Licensed Products or Enabled Products and that contain the same Event and no other</w:t>
      </w:r>
      <w:r>
        <w:rPr>
          <w:rFonts w:ascii="Arial" w:cs="Arial" w:eastAsia="Arial" w:hAnsi="Arial"/>
          <w:sz w:val="18"/>
          <w:szCs w:val="18"/>
          <w:b w:val="1"/>
          <w:bCs w:val="1"/>
          <w:color w:val="auto"/>
        </w:rPr>
        <w:t xml:space="preserve"> </w:t>
      </w:r>
      <w:r>
        <w:rPr>
          <w:rFonts w:ascii="Arial" w:cs="Arial" w:eastAsia="Arial" w:hAnsi="Arial"/>
          <w:sz w:val="18"/>
          <w:szCs w:val="18"/>
          <w:color w:val="auto"/>
        </w:rPr>
        <w:t>Event, or contain the same combination of Events and no other Events, without regard to formulation, together with all clones, progeny and lines of such Ag Product.</w:t>
      </w:r>
    </w:p>
    <w:p>
      <w:pPr>
        <w:spacing w:after="0" w:line="17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1.138 “Single Schedule 1 Product” </w:t>
      </w:r>
      <w:r>
        <w:rPr>
          <w:rFonts w:ascii="Arial" w:cs="Arial" w:eastAsia="Arial" w:hAnsi="Arial"/>
          <w:sz w:val="18"/>
          <w:szCs w:val="18"/>
          <w:color w:val="auto"/>
        </w:rPr>
        <w:t>means all Schedule 1 Products that contain the same active ingredient and no other active ingredient,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the same combination of active ingredients and no other active ingredient, without regard to formulation or dosage.</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1.139 “Single Schedule 2 Product” </w:t>
      </w:r>
      <w:r>
        <w:rPr>
          <w:rFonts w:ascii="Arial" w:cs="Arial" w:eastAsia="Arial" w:hAnsi="Arial"/>
          <w:sz w:val="18"/>
          <w:szCs w:val="18"/>
          <w:color w:val="auto"/>
        </w:rPr>
        <w:t>means all Schedule 2 Products that contain the same active ingredient and no other active ingredient,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the same combination of active ingredients and no other active ingredient, without regard to formulation or dosage.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1.140</w:t>
      </w:r>
      <w:r>
        <w:rPr>
          <w:sz w:val="20"/>
          <w:szCs w:val="20"/>
          <w:color w:val="auto"/>
        </w:rPr>
        <w:tab/>
      </w:r>
      <w:r>
        <w:rPr>
          <w:rFonts w:ascii="Arial" w:cs="Arial" w:eastAsia="Arial" w:hAnsi="Arial"/>
          <w:sz w:val="16"/>
          <w:szCs w:val="16"/>
          <w:b w:val="1"/>
          <w:bCs w:val="1"/>
          <w:color w:val="auto"/>
        </w:rPr>
        <w:t xml:space="preserve">“Skipped Milestone” </w:t>
      </w:r>
      <w:r>
        <w:rPr>
          <w:rFonts w:ascii="Arial" w:cs="Arial" w:eastAsia="Arial" w:hAnsi="Arial"/>
          <w:sz w:val="16"/>
          <w:szCs w:val="16"/>
          <w:color w:val="auto"/>
        </w:rPr>
        <w:t>has the meaning set forth in Section 4.4.1.1.</w:t>
      </w:r>
    </w:p>
    <w:p>
      <w:pPr>
        <w:sectPr>
          <w:pgSz w:w="11900" w:h="16838" w:orient="portrait"/>
          <w:cols w:equalWidth="0" w:num="1">
            <w:col w:w="11360"/>
          </w:cols>
          <w:pgMar w:left="240" w:top="121" w:right="299" w:bottom="0" w:gutter="0" w:footer="0" w:header="0"/>
        </w:sectPr>
      </w:pPr>
    </w:p>
    <w:bookmarkStart w:id="304" w:name="page305"/>
    <w:bookmarkEnd w:id="304"/>
    <w:p>
      <w:pPr>
        <w:spacing w:after="0" w:line="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b w:val="1"/>
          <w:bCs w:val="1"/>
          <w:color w:val="auto"/>
        </w:rPr>
        <w:t xml:space="preserve">“Sublicense” </w:t>
      </w:r>
      <w:r>
        <w:rPr>
          <w:rFonts w:ascii="Arial" w:cs="Arial" w:eastAsia="Arial" w:hAnsi="Arial"/>
          <w:sz w:val="16"/>
          <w:szCs w:val="16"/>
          <w:color w:val="auto"/>
        </w:rPr>
        <w:t>means an agreement (other than an assignment of this Agreement in compliance with Section 11.14) in which Company</w:t>
      </w:r>
    </w:p>
    <w:p>
      <w:pPr>
        <w:spacing w:after="0" w:line="27" w:lineRule="exact"/>
        <w:rPr>
          <w:sz w:val="20"/>
          <w:szCs w:val="20"/>
          <w:color w:val="auto"/>
        </w:rPr>
      </w:pPr>
    </w:p>
    <w:p>
      <w:pPr>
        <w:ind w:firstLine="8"/>
        <w:spacing w:after="0" w:line="254" w:lineRule="auto"/>
        <w:tabs>
          <w:tab w:leader="none" w:pos="24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grants or otherwise transfers any of the rights licensed to Company hereunder or rights relating to Licensed Products, Licensed Services, Enabled Products or Enabled Services, (b) agrees not to assert such rights or to sue, prevent or seek a legal remedy for the practice of same, or (c) is under an obligation to grant, assign or transfer any such rights or non-assertion, or to forebear from granting or transferring such rights to any other entity, including by means of an option. Agreements expressly considered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Sublicenses include (i) licenses, option agreements, “lock up” agreements, right of first refusal agreements, non-assertion agreements, covenants not to sue, distribution agreements that grant or otherwise transfer any rights licensed to Company hereunder, or similar agreements, and (ii) agreements that grant or otherwise transfer rights licensed to Company under this Agreement along with rights owned by the Company or granted to the Company by a Third Party, but excluded from this definition of “Sublicense” is an assignment of this Agreement in compliance with Section 11.14. For the avoidance of doubt, if a Sublicense is entered into pursuant to an option or similar agreement that is also a Sublicense, then the date of execution of the Sublicense shall be the execution date of the option or similar agreement, not the date of the exercise of the option or similar agreement.</w:t>
      </w:r>
    </w:p>
    <w:p>
      <w:pPr>
        <w:spacing w:after="0" w:line="16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1.142 “Sublicense Income” </w:t>
      </w:r>
      <w:r>
        <w:rPr>
          <w:rFonts w:ascii="Arial" w:cs="Arial" w:eastAsia="Arial" w:hAnsi="Arial"/>
          <w:sz w:val="17"/>
          <w:szCs w:val="17"/>
          <w:color w:val="auto"/>
        </w:rPr>
        <w:t>means all consideration received by Company or its Affiliates for a Sublicense such as license or distribution fees,</w:t>
      </w:r>
      <w:r>
        <w:rPr>
          <w:rFonts w:ascii="Arial" w:cs="Arial" w:eastAsia="Arial" w:hAnsi="Arial"/>
          <w:sz w:val="17"/>
          <w:szCs w:val="17"/>
          <w:b w:val="1"/>
          <w:bCs w:val="1"/>
          <w:color w:val="auto"/>
        </w:rPr>
        <w:t xml:space="preserve"> </w:t>
      </w:r>
      <w:r>
        <w:rPr>
          <w:rFonts w:ascii="Arial" w:cs="Arial" w:eastAsia="Arial" w:hAnsi="Arial"/>
          <w:sz w:val="17"/>
          <w:szCs w:val="17"/>
          <w:color w:val="auto"/>
        </w:rPr>
        <w:t>milestone or option payments, or license maintenance fees, including any consideration received by Company under a Sublicense, but excluding equity investments at fair market value, loans, funding or reimbursement for costs of future research, development, process development and manufacture by the Company, reimbursement for patent expenses at their out-of-pocket cost, and royalties on net sales of Licensed Products, Licensed Services, Enabled Products or Enabled Services (provided, however, that with respect to Sublicenses in the field of agriculture, royalties on Net Sales of Licensed Products, Licensed Services, Enabled Products or Enabled Services made by Sublicensees of Company shall be included in the definition of Sublicense Income). In the event that non-cash consideration is received as Sublicense Income, Sublicense Income shall be calculated based on the fair market value of such non-cash consideration. For clarity, a license of intellectual property rights that are necessary for Company to make, have made use, have used, sell, offer for sale, have sold, export and import Licensed Products, Licensed Services, Enabled Product or Enabled Services, such as a license to intellectual property rights under a Cross-License, shall not be deemed non-cash consideration.</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1.143</w:t>
      </w:r>
      <w:r>
        <w:rPr>
          <w:sz w:val="20"/>
          <w:szCs w:val="20"/>
          <w:color w:val="auto"/>
        </w:rPr>
        <w:tab/>
      </w:r>
      <w:r>
        <w:rPr>
          <w:rFonts w:ascii="Arial" w:cs="Arial" w:eastAsia="Arial" w:hAnsi="Arial"/>
          <w:sz w:val="16"/>
          <w:szCs w:val="16"/>
          <w:b w:val="1"/>
          <w:bCs w:val="1"/>
          <w:color w:val="auto"/>
        </w:rPr>
        <w:t xml:space="preserve">“Sublicensee” </w:t>
      </w:r>
      <w:r>
        <w:rPr>
          <w:rFonts w:ascii="Arial" w:cs="Arial" w:eastAsia="Arial" w:hAnsi="Arial"/>
          <w:sz w:val="16"/>
          <w:szCs w:val="16"/>
          <w:color w:val="auto"/>
        </w:rPr>
        <w:t>means any Third Party of Company to which Company has granted a Sublicense.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1.144</w:t>
      </w:r>
      <w:r>
        <w:rPr>
          <w:sz w:val="20"/>
          <w:szCs w:val="20"/>
          <w:color w:val="auto"/>
        </w:rPr>
        <w:tab/>
      </w:r>
      <w:r>
        <w:rPr>
          <w:rFonts w:ascii="Arial" w:cs="Arial" w:eastAsia="Arial" w:hAnsi="Arial"/>
          <w:sz w:val="16"/>
          <w:szCs w:val="16"/>
          <w:b w:val="1"/>
          <w:bCs w:val="1"/>
          <w:color w:val="auto"/>
        </w:rPr>
        <w:t xml:space="preserve">“Suit” </w:t>
      </w:r>
      <w:r>
        <w:rPr>
          <w:rFonts w:ascii="Arial" w:cs="Arial" w:eastAsia="Arial" w:hAnsi="Arial"/>
          <w:sz w:val="16"/>
          <w:szCs w:val="16"/>
          <w:color w:val="auto"/>
        </w:rPr>
        <w:t>has the meaning set forth in Section 11.8.</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TALE Patent Rights</w:t>
      </w:r>
      <w:r>
        <w:rPr>
          <w:rFonts w:ascii="Arial" w:cs="Arial" w:eastAsia="Arial" w:hAnsi="Arial"/>
          <w:sz w:val="16"/>
          <w:szCs w:val="16"/>
          <w:color w:val="auto"/>
        </w:rPr>
        <w:t>” means the Patent Rights identified on Exhibit 1.105 as TALE Patent Rights.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1.146</w:t>
      </w:r>
      <w:r>
        <w:rPr>
          <w:sz w:val="20"/>
          <w:szCs w:val="20"/>
          <w:color w:val="auto"/>
        </w:rPr>
        <w:tab/>
      </w:r>
      <w:r>
        <w:rPr>
          <w:rFonts w:ascii="Arial" w:cs="Arial" w:eastAsia="Arial" w:hAnsi="Arial"/>
          <w:sz w:val="16"/>
          <w:szCs w:val="16"/>
          <w:b w:val="1"/>
          <w:bCs w:val="1"/>
          <w:color w:val="auto"/>
        </w:rPr>
        <w:t xml:space="preserve">“Target-Based Collaboration” </w:t>
      </w:r>
      <w:r>
        <w:rPr>
          <w:rFonts w:ascii="Arial" w:cs="Arial" w:eastAsia="Arial" w:hAnsi="Arial"/>
          <w:sz w:val="16"/>
          <w:szCs w:val="16"/>
          <w:color w:val="auto"/>
        </w:rPr>
        <w:t>has the meaning set forth in Section 2.6.5.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1.147</w:t>
      </w:r>
      <w:r>
        <w:rPr>
          <w:sz w:val="20"/>
          <w:szCs w:val="20"/>
          <w:color w:val="auto"/>
        </w:rPr>
        <w:tab/>
      </w:r>
      <w:r>
        <w:rPr>
          <w:rFonts w:ascii="Arial" w:cs="Arial" w:eastAsia="Arial" w:hAnsi="Arial"/>
          <w:sz w:val="16"/>
          <w:szCs w:val="16"/>
          <w:b w:val="1"/>
          <w:bCs w:val="1"/>
          <w:color w:val="auto"/>
        </w:rPr>
        <w:t xml:space="preserve">“Target-Based Collaborator” </w:t>
      </w:r>
      <w:r>
        <w:rPr>
          <w:rFonts w:ascii="Arial" w:cs="Arial" w:eastAsia="Arial" w:hAnsi="Arial"/>
          <w:sz w:val="16"/>
          <w:szCs w:val="16"/>
          <w:color w:val="auto"/>
        </w:rPr>
        <w:t>has the meaning set forth in Section 2.6.5.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1.148</w:t>
      </w:r>
      <w:r>
        <w:rPr>
          <w:sz w:val="20"/>
          <w:szCs w:val="20"/>
          <w:color w:val="auto"/>
        </w:rPr>
        <w:tab/>
      </w:r>
      <w:r>
        <w:rPr>
          <w:rFonts w:ascii="Arial" w:cs="Arial" w:eastAsia="Arial" w:hAnsi="Arial"/>
          <w:sz w:val="16"/>
          <w:szCs w:val="16"/>
          <w:b w:val="1"/>
          <w:bCs w:val="1"/>
          <w:color w:val="auto"/>
        </w:rPr>
        <w:t xml:space="preserve">“Target List” </w:t>
      </w:r>
      <w:r>
        <w:rPr>
          <w:rFonts w:ascii="Arial" w:cs="Arial" w:eastAsia="Arial" w:hAnsi="Arial"/>
          <w:sz w:val="16"/>
          <w:szCs w:val="16"/>
          <w:color w:val="auto"/>
        </w:rPr>
        <w:t>has the meaning set forth in Section 2.6.5.2.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Temporary Extension</w:t>
      </w:r>
      <w:r>
        <w:rPr>
          <w:rFonts w:ascii="Arial" w:cs="Arial" w:eastAsia="Arial" w:hAnsi="Arial"/>
          <w:sz w:val="16"/>
          <w:szCs w:val="16"/>
          <w:color w:val="auto"/>
        </w:rPr>
        <w:t>” has the meaning set forth in Section 10.3.1.2.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1.150</w:t>
      </w:r>
      <w:r>
        <w:rPr>
          <w:sz w:val="20"/>
          <w:szCs w:val="20"/>
          <w:color w:val="auto"/>
        </w:rPr>
        <w:tab/>
      </w:r>
      <w:r>
        <w:rPr>
          <w:rFonts w:ascii="Arial" w:cs="Arial" w:eastAsia="Arial" w:hAnsi="Arial"/>
          <w:sz w:val="16"/>
          <w:szCs w:val="16"/>
          <w:b w:val="1"/>
          <w:bCs w:val="1"/>
          <w:color w:val="auto"/>
        </w:rPr>
        <w:t xml:space="preserve">“Term” </w:t>
      </w:r>
      <w:r>
        <w:rPr>
          <w:rFonts w:ascii="Arial" w:cs="Arial" w:eastAsia="Arial" w:hAnsi="Arial"/>
          <w:sz w:val="16"/>
          <w:szCs w:val="16"/>
          <w:color w:val="auto"/>
        </w:rPr>
        <w:t>means the term of this Agreement as set forth in Section 10.1.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that is not (a) an Institution, (b) Company or (c) an Affiliate of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1.152 </w:t>
      </w:r>
      <w:r>
        <w:rPr>
          <w:rFonts w:ascii="Arial" w:cs="Arial" w:eastAsia="Arial" w:hAnsi="Arial"/>
          <w:sz w:val="18"/>
          <w:szCs w:val="18"/>
          <w:color w:val="auto"/>
        </w:rPr>
        <w:t>“</w:t>
      </w:r>
      <w:r>
        <w:rPr>
          <w:rFonts w:ascii="Arial" w:cs="Arial" w:eastAsia="Arial" w:hAnsi="Arial"/>
          <w:sz w:val="18"/>
          <w:szCs w:val="18"/>
          <w:b w:val="1"/>
          <w:bCs w:val="1"/>
          <w:color w:val="auto"/>
        </w:rPr>
        <w:t>Trait</w:t>
      </w:r>
      <w:r>
        <w:rPr>
          <w:rFonts w:ascii="Arial" w:cs="Arial" w:eastAsia="Arial" w:hAnsi="Arial"/>
          <w:sz w:val="18"/>
          <w:szCs w:val="18"/>
          <w:color w:val="auto"/>
        </w:rPr>
        <w:t>” means any biochemical, physiological, physical or other attribute or phenotype of a cell, plant or plant component, or animal or</w:t>
      </w:r>
      <w:r>
        <w:rPr>
          <w:rFonts w:ascii="Arial" w:cs="Arial" w:eastAsia="Arial" w:hAnsi="Arial"/>
          <w:sz w:val="18"/>
          <w:szCs w:val="18"/>
          <w:b w:val="1"/>
          <w:bCs w:val="1"/>
          <w:color w:val="auto"/>
        </w:rPr>
        <w:t xml:space="preserve"> </w:t>
      </w:r>
      <w:r>
        <w:rPr>
          <w:rFonts w:ascii="Arial" w:cs="Arial" w:eastAsia="Arial" w:hAnsi="Arial"/>
          <w:sz w:val="18"/>
          <w:szCs w:val="18"/>
          <w:color w:val="auto"/>
        </w:rPr>
        <w:t>animal component.</w:t>
      </w:r>
    </w:p>
    <w:p>
      <w:pPr>
        <w:spacing w:after="0" w:line="1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1.153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 claim of an issued and unexpired patent within the Patent Rights that has not been (i) held permanently</w:t>
      </w:r>
      <w:r>
        <w:rPr>
          <w:rFonts w:ascii="Arial" w:cs="Arial" w:eastAsia="Arial" w:hAnsi="Arial"/>
          <w:sz w:val="16"/>
          <w:szCs w:val="16"/>
          <w:b w:val="1"/>
          <w:bCs w:val="1"/>
          <w:color w:val="auto"/>
        </w:rPr>
        <w:t xml:space="preserve"> </w:t>
      </w:r>
      <w:r>
        <w:rPr>
          <w:rFonts w:ascii="Arial" w:cs="Arial" w:eastAsia="Arial" w:hAnsi="Arial"/>
          <w:sz w:val="16"/>
          <w:szCs w:val="16"/>
          <w:color w:val="auto"/>
        </w:rPr>
        <w:t>revoked, unenforceable, unpatentable or invalid by a decision of a court or governmental body of competent jurisdiction, unappealable or unappealed within the time allowed for appeal, (ii) disclaimed or rendered unenforceable through disclaimer or otherwise, or (iii) abandoned, or (b) a pending claim of a pending patent application within the Patent Rights, which claim has not been pending for more than [**] years from the first substantive office action with respect to the pending claim and has not been abandoned or finally rejected without the possibility of appeal or refiling or without such appeal having been taken or refiling having been made within the applicable time periods. Notwithstanding the foregoing, (i) the [**] year pendency period set forth in clause (b) above shall only apply if, after [**] years of prosecution on the merits of a given application, Company notifies Institutions in writing that it does not believe that Institutions should continue to prosecute such application and Institutions continue to do so at their discretion, and (ii) if the prosecution of a given application is interrupted and/or delayed (A) by a patent office or (B) due to a Patent Challenge or a patent office proceeding such as an interference, appeal or opposition, then in each case (A) and (B) the pendency of such Patent Challenge or proceeding(s) shall not be included in the [**] year time period set forth above. The invalidity of a particular claim in one or more countries shall not invalidate such claim in any remaining countries. For the avoidance of doubt, a pending claim of a patent application filed pursuant to the Patent Cooperation Treaty shall be considered pending in all designated jurisdictions.</w:t>
      </w:r>
    </w:p>
    <w:p>
      <w:pPr>
        <w:spacing w:after="0" w:line="169" w:lineRule="exact"/>
        <w:rPr>
          <w:sz w:val="20"/>
          <w:szCs w:val="20"/>
          <w:color w:val="auto"/>
        </w:rPr>
      </w:pPr>
    </w:p>
    <w:p>
      <w:pPr>
        <w:ind w:left="660" w:hanging="652"/>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License Grants</w:t>
      </w:r>
    </w:p>
    <w:p>
      <w:pPr>
        <w:spacing w:after="0" w:line="229"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2.1.1.</w:t>
      </w:r>
      <w:r>
        <w:rPr>
          <w:rFonts w:ascii="Arial" w:cs="Arial" w:eastAsia="Arial" w:hAnsi="Arial"/>
          <w:sz w:val="16"/>
          <w:szCs w:val="16"/>
          <w:u w:val="single" w:color="auto"/>
          <w:color w:val="auto"/>
        </w:rPr>
        <w:t>Exclusive License Grant</w:t>
      </w:r>
      <w:r>
        <w:rPr>
          <w:rFonts w:ascii="Arial" w:cs="Arial" w:eastAsia="Arial" w:hAnsi="Arial"/>
          <w:sz w:val="16"/>
          <w:szCs w:val="16"/>
          <w:color w:val="auto"/>
        </w:rPr>
        <w:t>.Subject to Section 2.2 and the other terms and conditions of this Agreement, each Institution hereby grants to Company an exclusive, worldwide, royalty-bearing license, sublicensable solely in accordance with Section 2.5 below, under each Institution’s respective interest in the Patent Rights, solely to make, have made, use, have used, sell, offer for sale, have sold, export and import Licensed Products, solely for use in the Field, except that (a) the license granted by Broad is non-exclusive with respect to the treatment of medullary cystic kidney disease 1, and (b) the license granted by both Institutions excludes (i) the field of modifying animals or animal cells for the creation, making, having made, use, sale, offer for sale, having sold, exportation and importation of organs suitable for xenotransplantation into humans and (ii) research and development, and commercialization and other</w:t>
      </w:r>
    </w:p>
    <w:p>
      <w:pPr>
        <w:sectPr>
          <w:pgSz w:w="11900" w:h="16934" w:orient="portrait"/>
          <w:cols w:equalWidth="0" w:num="1">
            <w:col w:w="11400"/>
          </w:cols>
          <w:pgMar w:left="240" w:top="121" w:right="259" w:bottom="0" w:gutter="0" w:footer="0" w:header="0"/>
        </w:sectPr>
      </w:pPr>
    </w:p>
    <w:bookmarkStart w:id="305" w:name="page306"/>
    <w:bookmarkEnd w:id="305"/>
    <w:p>
      <w:pPr>
        <w:ind w:right="220"/>
        <w:spacing w:after="0" w:line="277" w:lineRule="auto"/>
        <w:rPr>
          <w:sz w:val="20"/>
          <w:szCs w:val="20"/>
          <w:color w:val="auto"/>
        </w:rPr>
      </w:pPr>
      <w:r>
        <w:rPr>
          <w:rFonts w:ascii="Arial" w:cs="Arial" w:eastAsia="Arial" w:hAnsi="Arial"/>
          <w:sz w:val="18"/>
          <w:szCs w:val="18"/>
          <w:color w:val="auto"/>
        </w:rPr>
        <w:t>use or exploitation, of products or services in the field of Livestock Applications. For the avoidance of doubt, the exclusive license under this Section 2.1.1 does not include a license for Licensed Services (a non-exclusive license for which is granted under Section 2.1.2 hereof).</w:t>
      </w:r>
    </w:p>
    <w:p>
      <w:pPr>
        <w:spacing w:after="0" w:line="170"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2.1.2.</w:t>
      </w:r>
      <w:r>
        <w:rPr>
          <w:rFonts w:ascii="Arial" w:cs="Arial" w:eastAsia="Arial" w:hAnsi="Arial"/>
          <w:sz w:val="18"/>
          <w:szCs w:val="18"/>
          <w:u w:val="single" w:color="auto"/>
          <w:color w:val="auto"/>
        </w:rPr>
        <w:t>Non-Exclusive License Grant</w:t>
      </w:r>
      <w:r>
        <w:rPr>
          <w:rFonts w:ascii="Arial" w:cs="Arial" w:eastAsia="Arial" w:hAnsi="Arial"/>
          <w:sz w:val="18"/>
          <w:szCs w:val="18"/>
          <w:color w:val="auto"/>
        </w:rPr>
        <w:t>. Subject to Section 2.2 and the other terms and conditions of this Agreement, each Institution hereby grants to Company a non-exclusive, worldwide, royalty-bearing license, sublicensable solely in accordance with Section 2.5 below, under each Institution’s respective interest in the Patent Rights and the Institution Information, for all purposes, including without limitation (a) for internal research and development purposes,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8"/>
        <w:spacing w:after="0" w:line="254" w:lineRule="auto"/>
        <w:tabs>
          <w:tab w:leader="none" w:pos="2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for research, development and commercialization of research products and research tools, (c) for research, development and commercialization of bioprocess products, (d) for research, development and commercialization of Enabled Products and Enabled Services, (e) for research, development and commercialization of agricultural products, (f) for treatment of animal disease, (g) to perform or provide Licensed Services and Enabled Services, (h) for research, development and commercialization of diagnostic products, and (i) for research, development and commercialization of products for the treatment and prevention of human disease outside the Field; provided that the license granted by Harvard under the Church IP excludes (A) the field of modifying animals or animal cells for the creation, making, having made, use, sale, offer for sale, having sold, exportation and importation of organs suitable for xenotransplantation into humans and (B) research and development, and commercialization and other use or exploitation of products or services, in the field of Livestock Applications.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Reservation of Rights</w:t>
      </w:r>
      <w:r>
        <w:rPr>
          <w:rFonts w:ascii="Arial" w:cs="Arial" w:eastAsia="Arial" w:hAnsi="Arial"/>
          <w:sz w:val="16"/>
          <w:szCs w:val="16"/>
          <w:color w:val="auto"/>
        </w:rPr>
        <w:t>. Notwithstanding anything herein to the contrary: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2.2.1.</w:t>
      </w:r>
      <w:r>
        <w:rPr>
          <w:rFonts w:ascii="Arial" w:cs="Arial" w:eastAsia="Arial" w:hAnsi="Arial"/>
          <w:sz w:val="16"/>
          <w:szCs w:val="16"/>
          <w:u w:val="single" w:color="auto"/>
          <w:color w:val="auto"/>
        </w:rPr>
        <w:t>Government and Non-Profit Rights</w:t>
      </w:r>
      <w:r>
        <w:rPr>
          <w:rFonts w:ascii="Arial" w:cs="Arial" w:eastAsia="Arial" w:hAnsi="Arial"/>
          <w:sz w:val="16"/>
          <w:szCs w:val="16"/>
          <w:color w:val="auto"/>
        </w:rPr>
        <w:t>. Any and all licenses and other rights granted under this Agreement are limited by and subject to</w:t>
      </w:r>
    </w:p>
    <w:p>
      <w:pPr>
        <w:spacing w:after="0" w:line="46" w:lineRule="exact"/>
        <w:rPr>
          <w:sz w:val="20"/>
          <w:szCs w:val="20"/>
          <w:color w:val="auto"/>
        </w:rPr>
      </w:pPr>
    </w:p>
    <w:p>
      <w:pPr>
        <w:ind w:right="20" w:firstLine="8"/>
        <w:spacing w:after="0" w:line="287" w:lineRule="auto"/>
        <w:tabs>
          <w:tab w:leader="none" w:pos="24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rights or obligations of the Institutions and United States government under 35 U.S.C. §§ 200-212 and 37 CFR Part 401 et seq.; any right granted in this Agreement greater than that permitted under 35 U.S.C. §§ 200-212 and 37 CFR Part 401 et seq. shall be subject to modification as may be required to conform to the provisions of those statutes and regulations, and (b) Institutions’ and MIT’s reservation of the right, for each of them and other academic, government and non-profit entities, to make, use and practice the Patent Rights for research, teaching, or educational purposes. Further, Company acknowledges that it has been informed that the Patent Rights and Institution Technology Transfer Materials were developed, at least in part, by employees of HHMI and that HHMI has a fully paid-up, non-exclusive, irrevocable, worldwide license to exercise any intellectual property rights with respect to such Patent Rights and Institution Technology Transfer Materials for research purposes, with the right to sublicense to non-profit and governmental entities (the “</w:t>
      </w:r>
      <w:r>
        <w:rPr>
          <w:rFonts w:ascii="Arial" w:cs="Arial" w:eastAsia="Arial" w:hAnsi="Arial"/>
          <w:sz w:val="16"/>
          <w:szCs w:val="16"/>
          <w:b w:val="1"/>
          <w:bCs w:val="1"/>
          <w:color w:val="auto"/>
        </w:rPr>
        <w:t>HHMI License”</w:t>
      </w:r>
      <w:r>
        <w:rPr>
          <w:rFonts w:ascii="Arial" w:cs="Arial" w:eastAsia="Arial" w:hAnsi="Arial"/>
          <w:sz w:val="16"/>
          <w:szCs w:val="16"/>
          <w:color w:val="auto"/>
        </w:rPr>
        <w:t>). Any and all licenses and other rights granted under this Agreement are explicitly made subject to the HHMI License.</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2.2.2.</w:t>
      </w:r>
      <w:r>
        <w:rPr>
          <w:rFonts w:ascii="Arial" w:cs="Arial" w:eastAsia="Arial" w:hAnsi="Arial"/>
          <w:sz w:val="18"/>
          <w:szCs w:val="18"/>
          <w:u w:val="single" w:color="auto"/>
          <w:color w:val="auto"/>
        </w:rPr>
        <w:t>Research Reservation</w:t>
      </w:r>
      <w:r>
        <w:rPr>
          <w:rFonts w:ascii="Arial" w:cs="Arial" w:eastAsia="Arial" w:hAnsi="Arial"/>
          <w:sz w:val="18"/>
          <w:szCs w:val="18"/>
          <w:color w:val="auto"/>
        </w:rPr>
        <w:t>. In addition to the reservation of rights under Section 2.2.1, the exclusive license granted to Company in the Field under Section 2.1.1 of this Agreement is subject to Institutions’ and MIT’s reservation of the right, for each of them and any Third Party (including non-profit and for-profit entities, subject to Section 2.2.3), to research, develop, make, have made, use, offer for sale, sell, have sold, import or otherwise exploit the Patent Rights and Licensed Products as research products or research tools, or for research purposes, in the Field. Without otherwise limiting or expanding the foregoing, for the purposes of this Section 2.2.2, “research purposes” shall not be interpreted to include the administration of Licensed Products into humans.</w:t>
      </w:r>
    </w:p>
    <w:p>
      <w:pPr>
        <w:spacing w:after="0" w:line="193"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2.2.3.</w:t>
      </w:r>
      <w:r>
        <w:rPr>
          <w:rFonts w:ascii="Arial" w:cs="Arial" w:eastAsia="Arial" w:hAnsi="Arial"/>
          <w:sz w:val="18"/>
          <w:szCs w:val="18"/>
          <w:u w:val="single" w:color="auto"/>
          <w:color w:val="auto"/>
        </w:rPr>
        <w:t>Listed Companies</w:t>
      </w:r>
      <w:r>
        <w:rPr>
          <w:rFonts w:ascii="Arial" w:cs="Arial" w:eastAsia="Arial" w:hAnsi="Arial"/>
          <w:sz w:val="18"/>
          <w:szCs w:val="18"/>
          <w:color w:val="auto"/>
        </w:rPr>
        <w:t>. Notwithstanding anything in Section 2.2.2 to the contrary, any license granted by Institutions under the Patent Rights to a Listed Company must be in compliance with (a) Section 2.2.3.1, with respect to licenses under the Patent Rights for research purposes within the Field, and (b) Section 2.2.3.2, with respect licenses under the Patent Rights for a Non-Exclusive Purpose.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firstLine="1945"/>
        <w:spacing w:after="0" w:line="285" w:lineRule="auto"/>
        <w:rPr>
          <w:sz w:val="20"/>
          <w:szCs w:val="20"/>
          <w:color w:val="auto"/>
        </w:rPr>
      </w:pPr>
      <w:r>
        <w:rPr>
          <w:rFonts w:ascii="Arial" w:cs="Arial" w:eastAsia="Arial" w:hAnsi="Arial"/>
          <w:sz w:val="16"/>
          <w:szCs w:val="16"/>
          <w:color w:val="auto"/>
        </w:rPr>
        <w:t>2.2.3.1.</w:t>
      </w:r>
      <w:r>
        <w:rPr>
          <w:rFonts w:ascii="Arial" w:cs="Arial" w:eastAsia="Arial" w:hAnsi="Arial"/>
          <w:sz w:val="16"/>
          <w:szCs w:val="16"/>
          <w:i w:val="1"/>
          <w:iCs w:val="1"/>
          <w:color w:val="auto"/>
        </w:rPr>
        <w:t>Licenses for Research Purposes within the Field</w:t>
      </w:r>
      <w:r>
        <w:rPr>
          <w:rFonts w:ascii="Arial" w:cs="Arial" w:eastAsia="Arial" w:hAnsi="Arial"/>
          <w:sz w:val="16"/>
          <w:szCs w:val="16"/>
          <w:color w:val="auto"/>
        </w:rPr>
        <w:t>. In the event that a Listed Company seeks a license under the Patent Rights from Institution(s) for research purposes within the Field, such Institution(s) shall refer such Listed Company to Company and shall notify Company of such referral. If such Listed Company then seeks a Sublicense from Company of its licenses under the Patent Rights for research purposes in the Field, Company agrees to (a) negotiate in good faith the terms of such Sublicense under which Listed Company would receive a sublicense for research purposes within the Field on commercially reasonable terms and (b) report to Institutions from time to time on the status and terms of such negotiation. If after a period of [**] months after the date such Listed Company first contacted Company to obtain such Sublicense, Company and such Listed Company have not entered into a mutually acceptable Cross-License, then Company shall so notify Institutions. If at any time during such [**] month period, such Listed Company informs Company that such Listed Company is not interested in such a Sublicense from Company, Company shall so notify Institutions, Company shall have no further obligation to negotiate with such Listed Company and Institution(s) shall not grant any license under the Patent Rights for research purposes within the Field to such Listed Company. If such Listed Company has acted in good faith in connection with and throughout such negotiations with Company, which shall require, without limiting the generality of the foregoing, that such Listed Company has made a good faith offer to grant to Company a Cross-License, Institutions may grant to such Listed Company a license under the Patent Rights for research purposes in the Field if Institutions secure for Company a Cross-License. Nothing in this Section 2.2.3.1 shall be construed as (A) limiting the ability of any Listed Company to (i) purchase Licensed Products that are research tools or research products from any Third Party that is making and selling such research tools or research products pursuant to a license from an Institution or (ii) use Licensed Products so purchased for research purposes or Non-Exclusive Purposes, or (B) limiting the right or ability of Institutions to grant licenses to Third Parties other than a Listed Company to make or sell Licensed Products that are research tools or research products, or imposing any obligations or limitations on Institutions with respect thereto.</w:t>
      </w:r>
    </w:p>
    <w:p>
      <w:pPr>
        <w:spacing w:after="0" w:line="175" w:lineRule="exact"/>
        <w:rPr>
          <w:sz w:val="20"/>
          <w:szCs w:val="20"/>
          <w:color w:val="auto"/>
        </w:rPr>
      </w:pPr>
    </w:p>
    <w:p>
      <w:pPr>
        <w:ind w:right="260" w:firstLine="1945"/>
        <w:spacing w:after="0" w:line="286" w:lineRule="auto"/>
        <w:rPr>
          <w:sz w:val="20"/>
          <w:szCs w:val="20"/>
          <w:color w:val="auto"/>
        </w:rPr>
      </w:pPr>
      <w:r>
        <w:rPr>
          <w:rFonts w:ascii="Arial" w:cs="Arial" w:eastAsia="Arial" w:hAnsi="Arial"/>
          <w:sz w:val="16"/>
          <w:szCs w:val="16"/>
          <w:color w:val="auto"/>
        </w:rPr>
        <w:t>2.2.3.2.</w:t>
      </w:r>
      <w:r>
        <w:rPr>
          <w:rFonts w:ascii="Arial" w:cs="Arial" w:eastAsia="Arial" w:hAnsi="Arial"/>
          <w:sz w:val="16"/>
          <w:szCs w:val="16"/>
          <w:i w:val="1"/>
          <w:iCs w:val="1"/>
          <w:color w:val="auto"/>
        </w:rPr>
        <w:t>Licenses outside of the Field</w:t>
      </w:r>
      <w:r>
        <w:rPr>
          <w:rFonts w:ascii="Arial" w:cs="Arial" w:eastAsia="Arial" w:hAnsi="Arial"/>
          <w:sz w:val="16"/>
          <w:szCs w:val="16"/>
          <w:color w:val="auto"/>
        </w:rPr>
        <w:t>. In the event that a Listed Company seeks a license under the Patent Rights from Institution(s) for any Non-Exclusive Purpose, such Institution(s) shall refer such Listed Company to Company and shall notify Company of such referral. Company shall have an initial period of [**] months after the date such Listed Company first contacted Company to obtain such Sublicense to negotiate in good faith to enter into a Sublicense under which Listed Company would receive a sublicense under the Patent Rights for the Non-Exclusive</w:t>
      </w:r>
    </w:p>
    <w:p>
      <w:pPr>
        <w:spacing w:after="0" w:line="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Purpose(s) initially sought by such Listed Company from Institutions (or such lesser scope of Non-Exclusive Purpose(s) as may have been identified by such Listed Company in writing to Company) on commercially reasonable terms and Company would receive a Cross-License from such Listed Company, during which time Institutions shall not grant a license under the Patent Rights outside the Field to such Listed Company, which [**] month period may be extended one time by an additional [**] month period if, upon expiration of such initial [**] month period, Company and Listed Company are in active negotiations and Company reasonably believes that a Cross-License is likely to be executed within such additional [**] month period. If after such initial [**] month period (as may be extended one time for an additional [**] months in accordance with the foregoing sentence), Company and such Listed Company have not</w:t>
      </w:r>
    </w:p>
    <w:p>
      <w:pPr>
        <w:sectPr>
          <w:pgSz w:w="11900" w:h="16838" w:orient="portrait"/>
          <w:cols w:equalWidth="0" w:num="1">
            <w:col w:w="11400"/>
          </w:cols>
          <w:pgMar w:left="240" w:top="125" w:right="259" w:bottom="0" w:gutter="0" w:footer="0" w:header="0"/>
        </w:sectPr>
      </w:pPr>
    </w:p>
    <w:bookmarkStart w:id="306" w:name="page307"/>
    <w:bookmarkEnd w:id="306"/>
    <w:p>
      <w:pPr>
        <w:ind w:right="800"/>
        <w:spacing w:after="0" w:line="277" w:lineRule="auto"/>
        <w:rPr>
          <w:sz w:val="20"/>
          <w:szCs w:val="20"/>
          <w:color w:val="auto"/>
        </w:rPr>
      </w:pPr>
      <w:r>
        <w:rPr>
          <w:rFonts w:ascii="Arial" w:cs="Arial" w:eastAsia="Arial" w:hAnsi="Arial"/>
          <w:sz w:val="18"/>
          <w:szCs w:val="18"/>
          <w:color w:val="auto"/>
        </w:rPr>
        <w:t>entered into either a Cross-License or a Sublicense, Institutions shall have the right to grant a license under the Patent Rights for the Non-Exclusive Purpose(s) last sought by such Listed Company from Company. Nothing in this Section 2.2.3.2 shall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construed as (A) limiting the ability of any Listed Company to (i) purchase Licensed Products that are research tools or research products from any Third Party that is making and selling such research tools or research products pursuant to a license from an Institution or (ii) use Licensed Products so purchased for research purposes or Non-Exclusive Purposes, or (B) limiting the right or ability of Institutions to grant licenses to Third Parties other than a Listed Company to make or sell Licensed Products that are research tools or research products, or imposing any obligations or limitations on Institutions with respect thereto.</w:t>
      </w:r>
    </w:p>
    <w:p>
      <w:pPr>
        <w:spacing w:after="0" w:line="184" w:lineRule="exact"/>
        <w:rPr>
          <w:sz w:val="20"/>
          <w:szCs w:val="20"/>
          <w:color w:val="auto"/>
        </w:rPr>
      </w:pPr>
    </w:p>
    <w:p>
      <w:pPr>
        <w:ind w:right="360" w:firstLine="648"/>
        <w:spacing w:after="0" w:line="313" w:lineRule="auto"/>
        <w:rPr>
          <w:sz w:val="20"/>
          <w:szCs w:val="20"/>
          <w:color w:val="auto"/>
        </w:rPr>
      </w:pPr>
      <w:r>
        <w:rPr>
          <w:rFonts w:ascii="Arial" w:cs="Arial" w:eastAsia="Arial" w:hAnsi="Arial"/>
          <w:sz w:val="17"/>
          <w:szCs w:val="17"/>
          <w:b w:val="1"/>
          <w:bCs w:val="1"/>
          <w:color w:val="auto"/>
        </w:rPr>
        <w:t xml:space="preserve">2.3. Affiliates. </w:t>
      </w:r>
      <w:r>
        <w:rPr>
          <w:rFonts w:ascii="Arial" w:cs="Arial" w:eastAsia="Arial" w:hAnsi="Arial"/>
          <w:sz w:val="17"/>
          <w:szCs w:val="17"/>
          <w:color w:val="auto"/>
        </w:rPr>
        <w:t>The licenses granted to Company under Section 2.1 include the right to have some or all of Company’s rights or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exercised or performed by one or more of Company’s Affiliates on Company’s behalf; provided, however, that:</w:t>
      </w:r>
    </w:p>
    <w:p>
      <w:pPr>
        <w:spacing w:after="0" w:line="14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2.3.1.Company shall notify Institutions in writing [**] days in advance of any Affiliate exercising or performing any of Company’s rights or obligations under this Agreement;</w:t>
      </w:r>
    </w:p>
    <w:p>
      <w:pPr>
        <w:spacing w:after="0" w:line="170"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2.3.2.prior to any Affiliate exercising or performing any of Company’s rights or obligations under this Agreement, such Affiliate shall agree in writing with Company to be bound by the terms and conditions of this Agreement as if it were Company hereunder, including specific written agreement</w:t>
      </w:r>
    </w:p>
    <w:p>
      <w:pPr>
        <w:ind w:right="260" w:firstLine="8"/>
        <w:spacing w:after="0" w:line="261" w:lineRule="auto"/>
        <w:tabs>
          <w:tab w:leader="none" w:pos="24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indemnify, defend and hold Indemnitees and HHMI Indemnitees harmless, and carry insurance, under the same terms as Article 9 of this Agreement, and (b) that Institutions and HHMI are express third party beneficiaries of such writing;</w:t>
      </w:r>
    </w:p>
    <w:p>
      <w:pPr>
        <w:spacing w:after="0" w:line="184"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2.3.3.no such Affiliate shall be entitled to grant, directly or indirectly, to any Person any right of whatever nature under, or with respect to, or permitting any use or exploitation of, any of the Patent Rights or the Institution Technology Transfer Materials, including any right to develop, manufacture, market or sell Licensed Products or to perform Licensed Services;</w:t>
      </w:r>
    </w:p>
    <w:p>
      <w:pPr>
        <w:spacing w:after="0" w:line="181"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2.3.4.any act or omission by an Affiliate of Company shall be deemed an act or omission by Company hereunder, and Company shall be responsible for each of its Affiliates complying with all obligations of Company under this Agreement (including without limitation all restrictions placed on Company herein);</w:t>
      </w:r>
    </w:p>
    <w:p>
      <w:pPr>
        <w:spacing w:after="0" w:line="181"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2.3.5.any assumption of rights or obligations by Affiliates of Company under this Agreement shall not relieve Company of any of its obligations under this Agreement;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2.3.6.without the prior written consent of Institutions, Company’s Affiliates shall not have any rights to use any Institution Materials.</w:t>
      </w:r>
    </w:p>
    <w:p>
      <w:pPr>
        <w:spacing w:after="0" w:line="233"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b w:val="1"/>
          <w:bCs w:val="1"/>
          <w:color w:val="auto"/>
        </w:rPr>
        <w:t>2.4. Right to Subcontract</w:t>
      </w:r>
      <w:r>
        <w:rPr>
          <w:rFonts w:ascii="Arial" w:cs="Arial" w:eastAsia="Arial" w:hAnsi="Arial"/>
          <w:sz w:val="16"/>
          <w:szCs w:val="16"/>
          <w:color w:val="auto"/>
        </w:rPr>
        <w:t>. If Company desires to exercise any of the rights or obligations that Company may have under this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subcontracting the exercise or performance of all or any portion of such rights and obligations on Company’s behalf, Company shall be entitled to do so, provided that (a) such contract service providers obtain no rights in or to Patent Rights or the Institution Technology Transfer Materials, (b) any subcontract granted or entered into by Company as contemplated by this Section 2.4 of the exercise or performance of all or any portion of the rights or obligations that Company may have under this Agreement shall not relieve Company from any of its obligations under this Agreement, (c) any act or omission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by a subcontractor of Company shall be deemed an act or omission by Company hereunder, and (d) Company shall be responsible for each of its subcontractors complying with all obligations of Company under this Agreement (including without limitation all restrictions placed on Company herein); provided that any subcontract or other agreement that, in whole or in part, grants or otherwise transfers any of the rights licensed to Company hereunder, or otherwise falls under the definition of a Sublicense, shall be deemed a Sublicense and not a subcontract hereunder and shall be subject to all restrictions and requirements applicable to Sublicenses under this Agreement.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Sublicenses.</w:t>
      </w:r>
    </w:p>
    <w:p>
      <w:pPr>
        <w:spacing w:after="0" w:line="229"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2.5.1.</w:t>
      </w:r>
      <w:r>
        <w:rPr>
          <w:rFonts w:ascii="Arial" w:cs="Arial" w:eastAsia="Arial" w:hAnsi="Arial"/>
          <w:sz w:val="18"/>
          <w:szCs w:val="18"/>
          <w:u w:val="single" w:color="auto"/>
          <w:color w:val="auto"/>
        </w:rPr>
        <w:t>Sublicense Rights</w:t>
      </w:r>
      <w:r>
        <w:rPr>
          <w:rFonts w:ascii="Arial" w:cs="Arial" w:eastAsia="Arial" w:hAnsi="Arial"/>
          <w:sz w:val="18"/>
          <w:szCs w:val="18"/>
          <w:color w:val="auto"/>
        </w:rPr>
        <w:t>.Company shall be entitled to sublicense the rights granted to it under Section 2.1 hereof to Third Parties subject to the terms of this Section 2.5.</w:t>
      </w:r>
    </w:p>
    <w:p>
      <w:pPr>
        <w:spacing w:after="0" w:line="170" w:lineRule="exact"/>
        <w:rPr>
          <w:sz w:val="20"/>
          <w:szCs w:val="20"/>
          <w:color w:val="auto"/>
        </w:rPr>
      </w:pPr>
    </w:p>
    <w:p>
      <w:pPr>
        <w:ind w:right="80" w:firstLine="1297"/>
        <w:spacing w:after="0" w:line="268" w:lineRule="auto"/>
        <w:rPr>
          <w:sz w:val="20"/>
          <w:szCs w:val="20"/>
          <w:color w:val="auto"/>
        </w:rPr>
      </w:pPr>
      <w:r>
        <w:rPr>
          <w:rFonts w:ascii="Arial" w:cs="Arial" w:eastAsia="Arial" w:hAnsi="Arial"/>
          <w:sz w:val="17"/>
          <w:szCs w:val="17"/>
          <w:color w:val="auto"/>
        </w:rPr>
        <w:t>2.5.2.</w:t>
      </w:r>
      <w:r>
        <w:rPr>
          <w:rFonts w:ascii="Arial" w:cs="Arial" w:eastAsia="Arial" w:hAnsi="Arial"/>
          <w:sz w:val="17"/>
          <w:szCs w:val="17"/>
          <w:u w:val="single" w:color="auto"/>
          <w:color w:val="auto"/>
        </w:rPr>
        <w:t>Sublicense Agreements</w:t>
      </w:r>
      <w:r>
        <w:rPr>
          <w:rFonts w:ascii="Arial" w:cs="Arial" w:eastAsia="Arial" w:hAnsi="Arial"/>
          <w:sz w:val="17"/>
          <w:szCs w:val="17"/>
          <w:color w:val="auto"/>
        </w:rPr>
        <w:t>. Company shall ensure that any Sublicense shall be on terms and conditions in compliance with and not inconsistent with the terms of this Agreement. Notwithstanding any Sublicense, Company shall remain primarily liable to Institutions for all of Company’s duties and obligations contained in this Agreement, and any act or omission of a Sublicensee which would be a breach of this Agreement if performed by Company shall be deemed to be a breach by Company of this Agreement. Any Sublicenses granted by Company shall not include the right to grant any further Sublicenses (other than to Affiliates of the Sublicensee and other than may be agreed in writing by Institutions, in each case subject to all restrictions on the granting of Sublicenses herein). Subject to the provisions of Section 10.3.1.2 hereof, all Sublicenses shall automatically terminate effective upon termination of this Agreement unless otherwise agreed in writing by Institutions or as provided in Section 10.3.1.2. Company shall furnish Institutions with a fully-executed, unredacted copy of any Sublicense agreement, promptly upon execution of such Sublicense; provided that Company may redact from such copy (a) the identity of a Gene Target selected for research, development or commercialization under the Sublicense and (b) other proprietary non-public technical information of Company or the applicable Sublicensee. Notwithstanding the foregoing, Company shall not redact any information reasonably necessary for Institutions to evaluate and confirm compliance of such Sublicense with the terms and conditions of this Agreement. Institutions shall use such copies solely for the purpose of monitoring Company’s and its Sublicensees’ compliance with their obligations, and enforcing Institutions’ rights, under this Agreement. Any Sublicense shall require a written agreement, which shall be subject and subordinate to the terms and conditions of this Agreement, and shall contain, among other things, the following:</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2.5.2.1.all provisions necessary to ensure Company’s ability to perform its obligations under this Agreement;</w:t>
      </w:r>
    </w:p>
    <w:p>
      <w:pPr>
        <w:sectPr>
          <w:pgSz w:w="11900" w:h="16838" w:orient="portrait"/>
          <w:cols w:equalWidth="0" w:num="1">
            <w:col w:w="11420"/>
          </w:cols>
          <w:pgMar w:left="240" w:top="125" w:right="239" w:bottom="32" w:gutter="0" w:footer="0" w:header="0"/>
        </w:sectPr>
      </w:pPr>
    </w:p>
    <w:bookmarkStart w:id="307" w:name="page308"/>
    <w:bookmarkEnd w:id="307"/>
    <w:p>
      <w:pPr>
        <w:spacing w:after="0" w:line="79" w:lineRule="exact"/>
        <w:rPr>
          <w:sz w:val="20"/>
          <w:szCs w:val="20"/>
          <w:color w:val="auto"/>
        </w:rPr>
      </w:pPr>
    </w:p>
    <w:p>
      <w:pPr>
        <w:ind w:right="340" w:firstLine="1945"/>
        <w:spacing w:after="0" w:line="277" w:lineRule="auto"/>
        <w:rPr>
          <w:sz w:val="20"/>
          <w:szCs w:val="20"/>
          <w:color w:val="auto"/>
        </w:rPr>
      </w:pPr>
      <w:r>
        <w:rPr>
          <w:rFonts w:ascii="Arial" w:cs="Arial" w:eastAsia="Arial" w:hAnsi="Arial"/>
          <w:sz w:val="18"/>
          <w:szCs w:val="18"/>
          <w:color w:val="auto"/>
        </w:rPr>
        <w:t>2.5.2.2.a section requiring Sublicensee to indemnify, defend and hold Indemnitees and HHMI Indemnitees harmless, and carry insurance, under the same terms set forth in Article 9 of this Agreement;</w:t>
      </w:r>
    </w:p>
    <w:p>
      <w:pPr>
        <w:spacing w:after="0" w:line="170" w:lineRule="exact"/>
        <w:rPr>
          <w:sz w:val="20"/>
          <w:szCs w:val="20"/>
          <w:color w:val="auto"/>
        </w:rPr>
      </w:pPr>
    </w:p>
    <w:p>
      <w:pPr>
        <w:ind w:right="80" w:firstLine="1945"/>
        <w:spacing w:after="0" w:line="277" w:lineRule="auto"/>
        <w:rPr>
          <w:sz w:val="20"/>
          <w:szCs w:val="20"/>
          <w:color w:val="auto"/>
        </w:rPr>
      </w:pPr>
      <w:r>
        <w:rPr>
          <w:rFonts w:ascii="Arial" w:cs="Arial" w:eastAsia="Arial" w:hAnsi="Arial"/>
          <w:sz w:val="18"/>
          <w:szCs w:val="18"/>
          <w:color w:val="auto"/>
        </w:rPr>
        <w:t>2.5.2.3.a statement that Institutions are intended third party beneficiaries of such Sublicense for the purpose of enforcing all patent challenge, indemnification,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insurance provisions of such Sublicense and enforcing the right to terminate such Sublicense for breach of the patent challenge, indemnification and insurance provisions of such Sublicense; and a statement that HHMI and MIT are intended third party beneficiaries of such Sublicense for the purpose of enforcing HHMI’s and MIT’s respective rights, including indemnification and insurance provisions, under this Agreement;</w:t>
      </w:r>
    </w:p>
    <w:p>
      <w:pPr>
        <w:spacing w:after="0" w:line="166" w:lineRule="exact"/>
        <w:rPr>
          <w:sz w:val="20"/>
          <w:szCs w:val="20"/>
          <w:color w:val="auto"/>
        </w:rPr>
      </w:pPr>
    </w:p>
    <w:p>
      <w:pPr>
        <w:ind w:right="400" w:firstLine="1945"/>
        <w:spacing w:after="0" w:line="277" w:lineRule="auto"/>
        <w:rPr>
          <w:sz w:val="20"/>
          <w:szCs w:val="20"/>
          <w:color w:val="auto"/>
        </w:rPr>
      </w:pPr>
      <w:r>
        <w:rPr>
          <w:rFonts w:ascii="Arial" w:cs="Arial" w:eastAsia="Arial" w:hAnsi="Arial"/>
          <w:sz w:val="18"/>
          <w:szCs w:val="18"/>
          <w:color w:val="auto"/>
        </w:rPr>
        <w:t>2.5.2.4.a provision stating that in the event Sublicensee directly or indirectly brings, assumes, or participates in, or knowingly, willfully or recklessly assists in bringing, a Patent Challenge then Company shall be entitled to terminate the Sublicense;</w:t>
      </w:r>
    </w:p>
    <w:p>
      <w:pPr>
        <w:spacing w:after="0" w:line="170" w:lineRule="exact"/>
        <w:rPr>
          <w:sz w:val="20"/>
          <w:szCs w:val="20"/>
          <w:color w:val="auto"/>
        </w:rPr>
      </w:pPr>
    </w:p>
    <w:p>
      <w:pPr>
        <w:ind w:right="20" w:firstLine="1945"/>
        <w:spacing w:after="0" w:line="286" w:lineRule="auto"/>
        <w:rPr>
          <w:sz w:val="20"/>
          <w:szCs w:val="20"/>
          <w:color w:val="auto"/>
        </w:rPr>
      </w:pPr>
      <w:r>
        <w:rPr>
          <w:rFonts w:ascii="Arial" w:cs="Arial" w:eastAsia="Arial" w:hAnsi="Arial"/>
          <w:sz w:val="17"/>
          <w:szCs w:val="17"/>
          <w:color w:val="auto"/>
        </w:rPr>
        <w:t>2.5.2.5.a provision specifying that, in the event of termination of the licenses set forth in Sections 2.1 in whole or in part (e.g., as to one license or the other, or termination in a particular country), any existing Sublicense agreement shall terminate to the same extent of such terminated license, subject to Sublicensee’s right to receive a Direct License from Institutions in accordance with Section 10.3.1.2 hereof;</w:t>
      </w:r>
    </w:p>
    <w:p>
      <w:pPr>
        <w:spacing w:after="0" w:line="166" w:lineRule="exact"/>
        <w:rPr>
          <w:sz w:val="20"/>
          <w:szCs w:val="20"/>
          <w:color w:val="auto"/>
        </w:rPr>
      </w:pPr>
    </w:p>
    <w:p>
      <w:pPr>
        <w:ind w:right="380" w:firstLine="1945"/>
        <w:spacing w:after="0" w:line="264" w:lineRule="auto"/>
        <w:rPr>
          <w:sz w:val="20"/>
          <w:szCs w:val="20"/>
          <w:color w:val="auto"/>
        </w:rPr>
      </w:pPr>
      <w:r>
        <w:rPr>
          <w:rFonts w:ascii="Arial" w:cs="Arial" w:eastAsia="Arial" w:hAnsi="Arial"/>
          <w:sz w:val="18"/>
          <w:szCs w:val="18"/>
          <w:color w:val="auto"/>
        </w:rPr>
        <w:t>2.5.2.6.a provision prohibiting the Sublicensee from sublicensing its rights under such Sublicense agreement (other than to Affiliates of the Sublicensee and other than may be agreed in writing by Institutions, in each case subject to all restrictions on the granting of Sublicenses herein);</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2.5.2.7.a provision requiring Sublicensee to comply with Section 8.1 (Compliance with Law) and Section 11.2 (Use of Name)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and</w:t>
      </w:r>
    </w:p>
    <w:p>
      <w:pPr>
        <w:spacing w:after="0" w:line="211" w:lineRule="exact"/>
        <w:rPr>
          <w:sz w:val="20"/>
          <w:szCs w:val="20"/>
          <w:color w:val="auto"/>
        </w:rPr>
      </w:pPr>
    </w:p>
    <w:p>
      <w:pPr>
        <w:ind w:right="320" w:firstLine="1945"/>
        <w:spacing w:after="0" w:line="264" w:lineRule="auto"/>
        <w:rPr>
          <w:sz w:val="20"/>
          <w:szCs w:val="20"/>
          <w:color w:val="auto"/>
        </w:rPr>
      </w:pPr>
      <w:r>
        <w:rPr>
          <w:rFonts w:ascii="Arial" w:cs="Arial" w:eastAsia="Arial" w:hAnsi="Arial"/>
          <w:sz w:val="18"/>
          <w:szCs w:val="18"/>
          <w:color w:val="auto"/>
        </w:rPr>
        <w:t>2.5.2.8.a provision prohibiting the Sublicensee from assigning the Sublicense agreement without the prior written consent of Institutions, except that Sublicensee may assign the Sublicense agreement without such prior written consent to the same extent Company may assign this Agreement under Section 11.14.</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Third Party Proposed Products.</w:t>
      </w:r>
    </w:p>
    <w:p>
      <w:pPr>
        <w:spacing w:after="0" w:line="225"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2.6.1.</w:t>
      </w:r>
      <w:r>
        <w:rPr>
          <w:rFonts w:ascii="Arial" w:cs="Arial" w:eastAsia="Arial" w:hAnsi="Arial"/>
          <w:sz w:val="16"/>
          <w:szCs w:val="16"/>
          <w:u w:val="single" w:color="auto"/>
          <w:color w:val="auto"/>
        </w:rPr>
        <w:t>Notice of Proposed Product</w:t>
      </w:r>
      <w:r>
        <w:rPr>
          <w:rFonts w:ascii="Arial" w:cs="Arial" w:eastAsia="Arial" w:hAnsi="Arial"/>
          <w:sz w:val="16"/>
          <w:szCs w:val="16"/>
          <w:color w:val="auto"/>
        </w:rPr>
        <w:t>. If, at any time following the second anniversary of the Effective Date, a Third Party (“</w:t>
      </w:r>
      <w:r>
        <w:rPr>
          <w:rFonts w:ascii="Arial" w:cs="Arial" w:eastAsia="Arial" w:hAnsi="Arial"/>
          <w:sz w:val="16"/>
          <w:szCs w:val="16"/>
          <w:b w:val="1"/>
          <w:bCs w:val="1"/>
          <w:color w:val="auto"/>
        </w:rPr>
        <w:t>Proposing Party</w:t>
      </w:r>
      <w:r>
        <w:rPr>
          <w:rFonts w:ascii="Arial" w:cs="Arial" w:eastAsia="Arial" w:hAnsi="Arial"/>
          <w:sz w:val="16"/>
          <w:szCs w:val="16"/>
          <w:color w:val="auto"/>
        </w:rPr>
        <w:t>”) identifies a potential Licensed Product in the Field that is directed to a particular Gene Target (“</w:t>
      </w:r>
      <w:r>
        <w:rPr>
          <w:rFonts w:ascii="Arial" w:cs="Arial" w:eastAsia="Arial" w:hAnsi="Arial"/>
          <w:sz w:val="16"/>
          <w:szCs w:val="16"/>
          <w:b w:val="1"/>
          <w:bCs w:val="1"/>
          <w:color w:val="auto"/>
        </w:rPr>
        <w:t>Proposed Product</w:t>
      </w:r>
      <w:r>
        <w:rPr>
          <w:rFonts w:ascii="Arial" w:cs="Arial" w:eastAsia="Arial" w:hAnsi="Arial"/>
          <w:sz w:val="16"/>
          <w:szCs w:val="16"/>
          <w:color w:val="auto"/>
        </w:rPr>
        <w:t>”) and makes a Bona Fide Proposal to Institutions for the development and commercialization of such Proposed Product, then Institutions may (after inquiry regarding the availability of such Gene Target with the Gatekeeper in accordance with Section 2.6.5.4) give written notice thereof to Company (such notice, “</w:t>
      </w:r>
      <w:r>
        <w:rPr>
          <w:rFonts w:ascii="Arial" w:cs="Arial" w:eastAsia="Arial" w:hAnsi="Arial"/>
          <w:sz w:val="16"/>
          <w:szCs w:val="16"/>
          <w:b w:val="1"/>
          <w:bCs w:val="1"/>
          <w:color w:val="auto"/>
        </w:rPr>
        <w:t>Proposed Product Notice</w:t>
      </w:r>
      <w:r>
        <w:rPr>
          <w:rFonts w:ascii="Arial" w:cs="Arial" w:eastAsia="Arial" w:hAnsi="Arial"/>
          <w:sz w:val="16"/>
          <w:szCs w:val="16"/>
          <w:color w:val="auto"/>
        </w:rPr>
        <w:t>,” the date of such notice, the “</w:t>
      </w:r>
      <w:r>
        <w:rPr>
          <w:rFonts w:ascii="Arial" w:cs="Arial" w:eastAsia="Arial" w:hAnsi="Arial"/>
          <w:sz w:val="16"/>
          <w:szCs w:val="16"/>
          <w:b w:val="1"/>
          <w:bCs w:val="1"/>
          <w:color w:val="auto"/>
        </w:rPr>
        <w:t>Proposed Product Notice Date</w:t>
      </w:r>
      <w:r>
        <w:rPr>
          <w:rFonts w:ascii="Arial" w:cs="Arial" w:eastAsia="Arial" w:hAnsi="Arial"/>
          <w:sz w:val="16"/>
          <w:szCs w:val="16"/>
          <w:color w:val="auto"/>
        </w:rPr>
        <w:t>”), which Proposed Product Notice shall include the identity of the applicable Gene Target to which the Proposed Product is directed. Institutions shall not be required to include in any Proposed Product Notice any information, other than the identity of such applicable Gene Target, that is subject to restrictions of confidentiality. For the avoidance of doubt, for the purposes of this Section 2.6, (a) with respect to cellular products (e.g., a cell used as a product for the purposes of cell therapy), a product directed to a Gene Target may be a cellular product that includes a modification of the Gene Target, and (b) “directed to a Gene Target” includes targeting of Genetic Material to modify associated chromatin.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284" w:lineRule="auto"/>
        <w:rPr>
          <w:sz w:val="20"/>
          <w:szCs w:val="20"/>
          <w:color w:val="auto"/>
        </w:rPr>
      </w:pPr>
      <w:r>
        <w:rPr>
          <w:rFonts w:ascii="Arial" w:cs="Arial" w:eastAsia="Arial" w:hAnsi="Arial"/>
          <w:sz w:val="16"/>
          <w:szCs w:val="16"/>
          <w:color w:val="auto"/>
        </w:rPr>
        <w:t>2.6.2.</w:t>
      </w:r>
      <w:r>
        <w:rPr>
          <w:rFonts w:ascii="Arial" w:cs="Arial" w:eastAsia="Arial" w:hAnsi="Arial"/>
          <w:sz w:val="16"/>
          <w:szCs w:val="16"/>
          <w:u w:val="single" w:color="auto"/>
          <w:color w:val="auto"/>
        </w:rPr>
        <w:t>Current Company Products</w:t>
      </w:r>
      <w:r>
        <w:rPr>
          <w:rFonts w:ascii="Arial" w:cs="Arial" w:eastAsia="Arial" w:hAnsi="Arial"/>
          <w:sz w:val="16"/>
          <w:szCs w:val="16"/>
          <w:color w:val="auto"/>
        </w:rPr>
        <w:t>. If the Proposed Product is directed to a Gene Target for which the Company, directly or through any of its Affiliates or Sublicensees, is not researching, developing and/or commercializing a product in the Field, then the Company shall have the option to either internally pursue the Proposed Product or enter into a Collaboration Agreement with respect to the Proposed Product, in accordance with Section 2.6.3 below (each, a “</w:t>
      </w:r>
      <w:r>
        <w:rPr>
          <w:rFonts w:ascii="Arial" w:cs="Arial" w:eastAsia="Arial" w:hAnsi="Arial"/>
          <w:sz w:val="16"/>
          <w:szCs w:val="16"/>
          <w:b w:val="1"/>
          <w:bCs w:val="1"/>
          <w:color w:val="auto"/>
        </w:rPr>
        <w:t>Proposed Product Option”</w:t>
      </w:r>
      <w:r>
        <w:rPr>
          <w:rFonts w:ascii="Arial" w:cs="Arial" w:eastAsia="Arial" w:hAnsi="Arial"/>
          <w:sz w:val="16"/>
          <w:szCs w:val="16"/>
          <w:color w:val="auto"/>
        </w:rPr>
        <w:t>); provided, however that (a) if the Proposed Product is directed to a Gene Target that has been selected as a Selected Target under a Target-Based Collaboration, then the provisions of Section 2.6.5 shall apply, and (b) if Company demonstrates (in accordance with the following sentence) that Company, directly or through any of its Affiliates or Sublicensees, is currently researching, developing and/or commercializing a product directed to the Gene Target of the Proposed Product, then Company shall not be required to elect a Proposed Product Option, Institutions shall have no right to grant a Proposed Product License and the provisions of Section 2.6.3 do not apply. Demonstration that the Company (directly or through any of its Affiliates or Sublicensees) is currently researching, developing and/or commercializing a product directed to the Gene Target of the Proposed Product shall require Company to (A) within [**] days of the Proposed Product Notice Date, (i) provide Institutions with the Company’s or its applicable Affiliate’s or Sublicensee’s research, development and/or commercialization plan (including Development Milestones) for the product directed to the Gene Target to which the applicable Proposed Product is directed (“</w:t>
      </w:r>
      <w:r>
        <w:rPr>
          <w:rFonts w:ascii="Arial" w:cs="Arial" w:eastAsia="Arial" w:hAnsi="Arial"/>
          <w:sz w:val="16"/>
          <w:szCs w:val="16"/>
          <w:b w:val="1"/>
          <w:bCs w:val="1"/>
          <w:color w:val="auto"/>
        </w:rPr>
        <w:t>Current Plan</w:t>
      </w:r>
      <w:r>
        <w:rPr>
          <w:rFonts w:ascii="Arial" w:cs="Arial" w:eastAsia="Arial" w:hAnsi="Arial"/>
          <w:sz w:val="16"/>
          <w:szCs w:val="16"/>
          <w:color w:val="auto"/>
        </w:rPr>
        <w:t>”), which Current Plan must be commercially reasonable and reasonably satisfactory to Institutions, and shall include evidence that the Company or its applicable Affiliate or Sublicensee has, or reasonably expects to have, access to any intellectual property (other than any intellectual property owned or controlled by the Proposing Party) that would be necessary to research, develop and commercialize such product and has, or reasonably expects to have, funding available to advance such Current Plan, and (ii) provide Institutions with evidence that the Company, or its applicable Affiliate or Sublicensee, has commenced research, development and/or commercialization of such product under such Current Plan, (B) continue to use commercially reasonable efforts, itself or through its applicable Affiliate or Sublicensee, to implement such Current Plan, and (C) provide a written report to Institutions describing progress under the Current Plan at least [**] until First Commercial Sale of such product (A through C, a “</w:t>
      </w:r>
      <w:r>
        <w:rPr>
          <w:rFonts w:ascii="Arial" w:cs="Arial" w:eastAsia="Arial" w:hAnsi="Arial"/>
          <w:sz w:val="16"/>
          <w:szCs w:val="16"/>
          <w:b w:val="1"/>
          <w:bCs w:val="1"/>
          <w:color w:val="auto"/>
        </w:rPr>
        <w:t>Current Development Demonstration</w:t>
      </w:r>
      <w:r>
        <w:rPr>
          <w:rFonts w:ascii="Arial" w:cs="Arial" w:eastAsia="Arial" w:hAnsi="Arial"/>
          <w:sz w:val="16"/>
          <w:szCs w:val="16"/>
          <w:color w:val="auto"/>
        </w:rPr>
        <w:t>”). Institutions shall notify Company whether the Current Plan is reasonably satisfactory to Institutions within [**] days of Institutions receipt of such plan, which time period may be extended by an additional [**] days to address questions or concerns of the Institutions. Company may, on [**] basis concurrently with the delivery of each [**]diligence report to be provided by Company to Institutions under Section 3.3 hereof, make such commercially reasonable adjustments to the applicable Current Plan as necessary to improve Company’s ability to meet its research, development and/or commercialization obligations under such Current Plan; provided that such adjustments shall be subject to review and approval by Institutions, such approval not to be unreasonably withheld, conditioned or delayed.</w:t>
      </w:r>
    </w:p>
    <w:p>
      <w:pPr>
        <w:spacing w:after="0" w:line="177"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2.6.3.</w:t>
      </w:r>
      <w:r>
        <w:rPr>
          <w:rFonts w:ascii="Arial" w:cs="Arial" w:eastAsia="Arial" w:hAnsi="Arial"/>
          <w:sz w:val="18"/>
          <w:szCs w:val="18"/>
          <w:u w:val="single" w:color="auto"/>
          <w:color w:val="auto"/>
        </w:rPr>
        <w:t>Proposed Product Options</w:t>
      </w:r>
      <w:r>
        <w:rPr>
          <w:rFonts w:ascii="Arial" w:cs="Arial" w:eastAsia="Arial" w:hAnsi="Arial"/>
          <w:sz w:val="18"/>
          <w:szCs w:val="18"/>
          <w:color w:val="auto"/>
        </w:rPr>
        <w:t>. If Company does not timely provide a Current Development Demonstration with respect to a particular Proposed Product, then Company shall have the option to either internally pursue the Proposed Product or enter into a Collaboration Agreement with respect to the Proposed Product in accordance with Sections 2.6.3.1 and 2.6.3.2 as follows:</w:t>
      </w:r>
    </w:p>
    <w:p>
      <w:pPr>
        <w:sectPr>
          <w:pgSz w:w="11900" w:h="16918" w:orient="portrait"/>
          <w:cols w:equalWidth="0" w:num="1">
            <w:col w:w="11420"/>
          </w:cols>
          <w:pgMar w:left="240" w:top="125" w:right="239" w:bottom="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945"/>
        <w:spacing w:after="0" w:line="277" w:lineRule="auto"/>
        <w:rPr>
          <w:sz w:val="20"/>
          <w:szCs w:val="20"/>
          <w:color w:val="auto"/>
        </w:rPr>
      </w:pPr>
      <w:r>
        <w:rPr>
          <w:rFonts w:ascii="Arial" w:cs="Arial" w:eastAsia="Arial" w:hAnsi="Arial"/>
          <w:sz w:val="18"/>
          <w:szCs w:val="18"/>
          <w:color w:val="auto"/>
        </w:rPr>
        <w:t>2.6.3.1.</w:t>
      </w:r>
      <w:r>
        <w:rPr>
          <w:rFonts w:ascii="Arial" w:cs="Arial" w:eastAsia="Arial" w:hAnsi="Arial"/>
          <w:sz w:val="18"/>
          <w:szCs w:val="18"/>
          <w:i w:val="1"/>
          <w:iCs w:val="1"/>
          <w:color w:val="auto"/>
        </w:rPr>
        <w:t>Internal Development and Commercialization</w:t>
      </w:r>
      <w:r>
        <w:rPr>
          <w:rFonts w:ascii="Arial" w:cs="Arial" w:eastAsia="Arial" w:hAnsi="Arial"/>
          <w:sz w:val="18"/>
          <w:szCs w:val="18"/>
          <w:color w:val="auto"/>
        </w:rPr>
        <w:t>. If Company elects to internally pursue the Proposed Product, then Company shall be required to do both of the following:</w:t>
      </w:r>
    </w:p>
    <w:p>
      <w:pPr>
        <w:spacing w:after="0" w:line="170" w:lineRule="exact"/>
        <w:rPr>
          <w:sz w:val="20"/>
          <w:szCs w:val="20"/>
          <w:color w:val="auto"/>
        </w:rPr>
      </w:pPr>
    </w:p>
    <w:p>
      <w:pPr>
        <w:ind w:left="2600" w:right="20" w:hanging="323"/>
        <w:spacing w:after="0" w:line="264" w:lineRule="auto"/>
        <w:tabs>
          <w:tab w:leader="none" w:pos="259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Within [**] months of the Proposed Product Notice Date, indicate in writing to the Institutions that the Company, either directly or through an Affiliate or Sublicensee, is interested in pursuing research, development and commercialization of a product directed to the Gene Target of the Proposed Product; </w:t>
      </w:r>
      <w:r>
        <w:rPr>
          <w:rFonts w:ascii="Arial" w:cs="Arial" w:eastAsia="Arial" w:hAnsi="Arial"/>
          <w:sz w:val="18"/>
          <w:szCs w:val="18"/>
          <w:i w:val="1"/>
          <w:iCs w:val="1"/>
          <w:color w:val="auto"/>
        </w:rPr>
        <w:t>and</w:t>
      </w:r>
    </w:p>
    <w:p>
      <w:pPr>
        <w:spacing w:after="0" w:line="181" w:lineRule="exact"/>
        <w:rPr>
          <w:rFonts w:ascii="Arial" w:cs="Arial" w:eastAsia="Arial" w:hAnsi="Arial"/>
          <w:sz w:val="18"/>
          <w:szCs w:val="18"/>
          <w:color w:val="auto"/>
        </w:rPr>
      </w:pPr>
    </w:p>
    <w:p>
      <w:pPr>
        <w:ind w:left="2600" w:right="60" w:hanging="323"/>
        <w:spacing w:after="0" w:line="285" w:lineRule="auto"/>
        <w:tabs>
          <w:tab w:leader="none" w:pos="260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Within [**] months of the Proposed Product Notice Date (a) prepare, or have prepared, a commercially reasonable research, development and commercialization plan (including Development Milestones) (an “</w:t>
      </w:r>
      <w:r>
        <w:rPr>
          <w:rFonts w:ascii="Arial" w:cs="Arial" w:eastAsia="Arial" w:hAnsi="Arial"/>
          <w:sz w:val="16"/>
          <w:szCs w:val="16"/>
          <w:b w:val="1"/>
          <w:bCs w:val="1"/>
          <w:color w:val="auto"/>
        </w:rPr>
        <w:t>Internal Development</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for the product directed to the Gene Target of the Proposed Product, such plan being reasonably satisfactory to</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including evidence that the Company or its applicable Affiliate or Sublicensee has, or reasonably expects to have, access to any intellectual property (other than any intellectual property owned or controlled by the Proposing Party) that would be necessary to develop and commercialize such product and has, or reasonably expects to have, funding available to advance such Internal Development Plan and (b) commence research and/or development activities for such product pursuant to such Internal Development Plan. Thereafter the Company or its applicable Affiliate or Sublicensee must (i) continue to use commercially reasonable efforts to implement such Internal Development Plan for such product and (ii) provide a written report to Institutions describing progress under such Internal Development Plan at least [**] until First Commercial Sale of such product. Institutions shall notify Company whether the Internal Development Plan is satisfactory to Institutions within [**] days of Institutions receipt of such plan, which time period may be extended by an additional [**] days to address questions or concerns of the Institutions.Company may, on [**] basis concurrently with the delivery of each [**] diligence report to be provided by Company to Institutions under Section 3.3 hereof, make such commercially reasonable adjustments to the applicable Internal Development Plan as necessary to improve Company’s ability to meet its research, development and/or commercialization obligations under such Internal Development Plan; provided that such adjustments shall be subject to review and approval by Institutions, such approval not to be unreasonably withheld, conditioned or delayed.</w:t>
      </w:r>
    </w:p>
    <w:p>
      <w:pPr>
        <w:spacing w:after="0" w:line="173" w:lineRule="exact"/>
        <w:rPr>
          <w:sz w:val="20"/>
          <w:szCs w:val="20"/>
          <w:color w:val="auto"/>
        </w:rPr>
      </w:pPr>
    </w:p>
    <w:p>
      <w:pPr>
        <w:ind w:right="260" w:firstLine="1945"/>
        <w:spacing w:after="0" w:line="277" w:lineRule="auto"/>
        <w:rPr>
          <w:sz w:val="20"/>
          <w:szCs w:val="20"/>
          <w:color w:val="auto"/>
        </w:rPr>
      </w:pPr>
      <w:r>
        <w:rPr>
          <w:rFonts w:ascii="Arial" w:cs="Arial" w:eastAsia="Arial" w:hAnsi="Arial"/>
          <w:sz w:val="18"/>
          <w:szCs w:val="18"/>
          <w:color w:val="auto"/>
        </w:rPr>
        <w:t>2.6.3.2.</w:t>
      </w:r>
      <w:r>
        <w:rPr>
          <w:rFonts w:ascii="Arial" w:cs="Arial" w:eastAsia="Arial" w:hAnsi="Arial"/>
          <w:sz w:val="18"/>
          <w:szCs w:val="18"/>
          <w:i w:val="1"/>
          <w:iCs w:val="1"/>
          <w:color w:val="auto"/>
        </w:rPr>
        <w:t>Collaboration</w:t>
      </w:r>
      <w:r>
        <w:rPr>
          <w:rFonts w:ascii="Arial" w:cs="Arial" w:eastAsia="Arial" w:hAnsi="Arial"/>
          <w:sz w:val="18"/>
          <w:szCs w:val="18"/>
          <w:color w:val="auto"/>
        </w:rPr>
        <w:t>. Alternatively, if Company elects not to pursue the Proposed Product internally, but instead elects to enter into a Collaboration Agreement with respect to the Proposed Product, then Company shall do both of the following: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60" w:hanging="323"/>
        <w:spacing w:after="0" w:line="279" w:lineRule="auto"/>
        <w:tabs>
          <w:tab w:leader="none" w:pos="259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Within [**] months of the Proposed Product Notice Date, indicate in writing to the Institutions that the Company, directly or through any of its Affiliates or Sublicensees, is interested in entering into a Collaboration Agreement to research, develop and commercialize a product directed to the Gene Target of the Proposed Product with a Third Party (either the Proposing Party or another Third Party) (a “</w:t>
      </w:r>
      <w:r>
        <w:rPr>
          <w:rFonts w:ascii="Arial" w:cs="Arial" w:eastAsia="Arial" w:hAnsi="Arial"/>
          <w:sz w:val="17"/>
          <w:szCs w:val="17"/>
          <w:b w:val="1"/>
          <w:bCs w:val="1"/>
          <w:color w:val="auto"/>
        </w:rPr>
        <w:t>Proposed Product Collaboration Partner</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left="2600" w:hanging="323"/>
        <w:spacing w:after="0" w:line="283" w:lineRule="auto"/>
        <w:tabs>
          <w:tab w:leader="none" w:pos="260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Within [**] months after the Proposed Product Notice Date, Company or its applicable Affiliate or Sublicensee, shall enter into such a Collaboration Agreement and the Company, its applicable Affiliate or Sublicensee, or the Proposed Product Collaboration Partner shall commence research and development activities for a product directed to the Gene Target of the Proposed Product, pursuant to a commercially reasonable research, development and commercialization plan (including Development Milestones) (a “</w:t>
      </w:r>
      <w:r>
        <w:rPr>
          <w:rFonts w:ascii="Arial" w:cs="Arial" w:eastAsia="Arial" w:hAnsi="Arial"/>
          <w:sz w:val="16"/>
          <w:szCs w:val="16"/>
          <w:b w:val="1"/>
          <w:bCs w:val="1"/>
          <w:color w:val="auto"/>
        </w:rPr>
        <w:t>Collaboration Plan</w:t>
      </w:r>
      <w:r>
        <w:rPr>
          <w:rFonts w:ascii="Arial" w:cs="Arial" w:eastAsia="Arial" w:hAnsi="Arial"/>
          <w:sz w:val="16"/>
          <w:szCs w:val="16"/>
          <w:color w:val="auto"/>
        </w:rPr>
        <w:t>”) that is reasonably satisfactory to Institutions which Collaboration Plan shall include evidence that the Company, its applicable Affiliate or Sublicensee, or the Proposed Product Collaboration Partner have, or reasonably expect to have, (A) access to any intellectual property (other than any intellectual owned or controlled by the Proposing Party if Proposing Party is not the Proposed Product Collaboration Partner) that would be necessary to develop or commercialize a product directed to the Gene Target of the Proposed Product under such Collaboration Plan and (B) funding available to advance such product under such Collaboration Plan. Thereafter the Company, its applicable Affiliate or Sublicense, or the Proposed Product Collaboration Partner, must</w:t>
      </w:r>
    </w:p>
    <w:p>
      <w:pPr>
        <w:spacing w:after="0" w:line="4" w:lineRule="exact"/>
        <w:rPr>
          <w:rFonts w:ascii="Arial" w:cs="Arial" w:eastAsia="Arial" w:hAnsi="Arial"/>
          <w:sz w:val="16"/>
          <w:szCs w:val="16"/>
          <w:color w:val="auto"/>
        </w:rPr>
      </w:pPr>
    </w:p>
    <w:p>
      <w:pPr>
        <w:ind w:left="2820" w:hanging="219"/>
        <w:spacing w:after="0"/>
        <w:tabs>
          <w:tab w:leader="none" w:pos="28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continue to use commercially reasonable efforts to implement such Collaboration Plan for such product and</w:t>
      </w:r>
    </w:p>
    <w:p>
      <w:pPr>
        <w:spacing w:after="0" w:line="9" w:lineRule="exact"/>
        <w:rPr>
          <w:rFonts w:ascii="Arial" w:cs="Arial" w:eastAsia="Arial" w:hAnsi="Arial"/>
          <w:sz w:val="18"/>
          <w:szCs w:val="18"/>
          <w:color w:val="auto"/>
        </w:rPr>
      </w:pPr>
    </w:p>
    <w:p>
      <w:pPr>
        <w:ind w:left="2600" w:right="60" w:firstLine="1"/>
        <w:spacing w:after="0" w:line="251" w:lineRule="auto"/>
        <w:tabs>
          <w:tab w:leader="none" w:pos="2865" w:val="left"/>
        </w:tabs>
        <w:numPr>
          <w:ilvl w:val="1"/>
          <w:numId w:val="219"/>
        </w:numPr>
        <w:rPr>
          <w:rFonts w:ascii="Arial" w:cs="Arial" w:eastAsia="Arial" w:hAnsi="Arial"/>
          <w:sz w:val="18"/>
          <w:szCs w:val="18"/>
          <w:color w:val="auto"/>
        </w:rPr>
      </w:pPr>
      <w:r>
        <w:rPr>
          <w:rFonts w:ascii="Arial" w:cs="Arial" w:eastAsia="Arial" w:hAnsi="Arial"/>
          <w:sz w:val="18"/>
          <w:szCs w:val="18"/>
          <w:color w:val="auto"/>
        </w:rPr>
        <w:t>provide a written report to Institutions describing progress under such Collaboration Plan at least [**] until First Commercial Sale of such product. Institutions shall notify Company whether the Collaboration Plan is satisfactory to Institutions within [**] days of Institutions receipt of such plan, which time period may be extended by an additional [**] days to address questions or concerns of the Institutions. Company may, on [**] basis concurrently with the delivery of each [**] diligence report to be provided by Company to Institutions under Section 3.3 hereof, make such commercially reasonable adjustments to the applicable Collaboration Plan as necessary to improve Company’s ability to meet its research, development and/or commercialization obligations under such Collaboration Plan; provided that such adjustments shall be subject to review and approval by Institutions, such approval not to be unreasonably withheld, conditioned or delayed,.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2.6.4.</w:t>
      </w:r>
      <w:r>
        <w:rPr>
          <w:rFonts w:ascii="Arial" w:cs="Arial" w:eastAsia="Arial" w:hAnsi="Arial"/>
          <w:sz w:val="16"/>
          <w:szCs w:val="16"/>
          <w:u w:val="single" w:color="auto"/>
          <w:color w:val="auto"/>
        </w:rPr>
        <w:t>Proposed Product License</w:t>
      </w:r>
      <w:r>
        <w:rPr>
          <w:rFonts w:ascii="Arial" w:cs="Arial" w:eastAsia="Arial" w:hAnsi="Arial"/>
          <w:sz w:val="16"/>
          <w:szCs w:val="16"/>
          <w:color w:val="auto"/>
        </w:rPr>
        <w:t>. If Company fails to satisfy the requirements of Section 2.6.3 above within the time periods set forth therein (as such time periods may be extended in accordance with Section 2.6.6 hereof), or if at any time thereafter Company otherwise fails to use commercially reasonable efforts to implement any Current Plan, Internal Development Plan or Collaboration Plan then in effect, then Institutions shall be entitled to grant, at their sole option, an exclusive or non-exclusive license under the Patent Rights to the Proposing Party to develop and commercialize the Proposed Product (“</w:t>
      </w:r>
      <w:r>
        <w:rPr>
          <w:rFonts w:ascii="Arial" w:cs="Arial" w:eastAsia="Arial" w:hAnsi="Arial"/>
          <w:sz w:val="16"/>
          <w:szCs w:val="16"/>
          <w:b w:val="1"/>
          <w:bCs w:val="1"/>
          <w:color w:val="auto"/>
        </w:rPr>
        <w:t>Proposed Product License</w:t>
      </w:r>
      <w:r>
        <w:rPr>
          <w:rFonts w:ascii="Arial" w:cs="Arial" w:eastAsia="Arial" w:hAnsi="Arial"/>
          <w:sz w:val="16"/>
          <w:szCs w:val="16"/>
          <w:color w:val="auto"/>
        </w:rPr>
        <w:t>”). Such Proposed Product License shall be on a Gene Target by Gene Target basis and not for gene families, pathways, or disease fields. Any exclusive Proposed Product License granted by Institutions to the Proposing Party shall (i) be on milestone and royalty terms that taken as</w:t>
      </w:r>
    </w:p>
    <w:p>
      <w:pPr>
        <w:sectPr>
          <w:pgSz w:w="11900" w:h="16838" w:orient="portrait"/>
          <w:cols w:equalWidth="0" w:num="1">
            <w:col w:w="11420"/>
          </w:cols>
          <w:pgMar w:left="240" w:top="341" w:right="239" w:bottom="0" w:gutter="0" w:footer="0" w:header="0"/>
        </w:sectPr>
      </w:pPr>
    </w:p>
    <w:bookmarkStart w:id="309" w:name="page310"/>
    <w:bookmarkEnd w:id="309"/>
    <w:p>
      <w:pPr>
        <w:spacing w:after="0" w:line="113"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a whole are no more favorable to the Proposing Party than those provided to Company pursuant to Sections 4.4 and 4.5 hereof, and (ii) require the Proposing Party to use commercially reasonable efforts to implement the research, development and commercialization plan provided as part of the Bona Fide Proposal.</w:t>
      </w:r>
    </w:p>
    <w:p>
      <w:pPr>
        <w:spacing w:after="0" w:line="124"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2.6.5.</w:t>
      </w:r>
      <w:r>
        <w:rPr>
          <w:rFonts w:ascii="Arial" w:cs="Arial" w:eastAsia="Arial" w:hAnsi="Arial"/>
          <w:sz w:val="16"/>
          <w:szCs w:val="16"/>
          <w:u w:val="single" w:color="auto"/>
          <w:color w:val="auto"/>
        </w:rPr>
        <w:t>Target-Based Collaborations</w:t>
      </w:r>
      <w:r>
        <w:rPr>
          <w:rFonts w:ascii="Arial" w:cs="Arial" w:eastAsia="Arial" w:hAnsi="Arial"/>
          <w:sz w:val="16"/>
          <w:szCs w:val="16"/>
          <w:color w:val="auto"/>
        </w:rPr>
        <w:t>. Company shall not be required to provide a Current Development Demonstration in accordance with Section 2.6.2 hereof, or elect a Proposed Product Option in accordance with Section 2.6.3 hereof, and Institutions shall have no right to grant a Proposed Product License, for Proposed Products directed to certain Gene Targets that have been selected for research, development and commercialization pursuant to a Collaboration Agreement between Company or its Affiliates and any Third Party (such Collaboration Agreement, a “</w:t>
      </w:r>
      <w:r>
        <w:rPr>
          <w:rFonts w:ascii="Arial" w:cs="Arial" w:eastAsia="Arial" w:hAnsi="Arial"/>
          <w:sz w:val="16"/>
          <w:szCs w:val="16"/>
          <w:b w:val="1"/>
          <w:bCs w:val="1"/>
          <w:color w:val="auto"/>
        </w:rPr>
        <w:t>Target-Based Collaboration,</w:t>
      </w:r>
      <w:r>
        <w:rPr>
          <w:rFonts w:ascii="Arial" w:cs="Arial" w:eastAsia="Arial" w:hAnsi="Arial"/>
          <w:sz w:val="16"/>
          <w:szCs w:val="16"/>
          <w:color w:val="auto"/>
        </w:rPr>
        <w:t>” such Third Party, a “</w:t>
      </w:r>
      <w:r>
        <w:rPr>
          <w:rFonts w:ascii="Arial" w:cs="Arial" w:eastAsia="Arial" w:hAnsi="Arial"/>
          <w:sz w:val="16"/>
          <w:szCs w:val="16"/>
          <w:b w:val="1"/>
          <w:bCs w:val="1"/>
          <w:color w:val="auto"/>
        </w:rPr>
        <w:t>Target-Based Collaborator</w:t>
      </w:r>
      <w:r>
        <w:rPr>
          <w:rFonts w:ascii="Arial" w:cs="Arial" w:eastAsia="Arial" w:hAnsi="Arial"/>
          <w:sz w:val="16"/>
          <w:szCs w:val="16"/>
          <w:color w:val="auto"/>
        </w:rPr>
        <w:t>”), in accordance with, and subject to, the following terms and conditions:</w:t>
      </w:r>
    </w:p>
    <w:p>
      <w:pPr>
        <w:spacing w:after="0" w:line="154" w:lineRule="exact"/>
        <w:rPr>
          <w:sz w:val="20"/>
          <w:szCs w:val="20"/>
          <w:color w:val="auto"/>
        </w:rPr>
      </w:pPr>
    </w:p>
    <w:p>
      <w:pPr>
        <w:ind w:right="120" w:firstLine="1945"/>
        <w:spacing w:after="0" w:line="290" w:lineRule="auto"/>
        <w:rPr>
          <w:sz w:val="20"/>
          <w:szCs w:val="20"/>
          <w:color w:val="auto"/>
        </w:rPr>
      </w:pPr>
      <w:r>
        <w:rPr>
          <w:rFonts w:ascii="Arial" w:cs="Arial" w:eastAsia="Arial" w:hAnsi="Arial"/>
          <w:sz w:val="16"/>
          <w:szCs w:val="16"/>
          <w:color w:val="auto"/>
        </w:rPr>
        <w:t>2.6.5.1.</w:t>
      </w:r>
      <w:r>
        <w:rPr>
          <w:rFonts w:ascii="Arial" w:cs="Arial" w:eastAsia="Arial" w:hAnsi="Arial"/>
          <w:sz w:val="16"/>
          <w:szCs w:val="16"/>
          <w:i w:val="1"/>
          <w:iCs w:val="1"/>
          <w:color w:val="auto"/>
        </w:rPr>
        <w:t>Gatekeeper.</w:t>
      </w:r>
      <w:r>
        <w:rPr>
          <w:rFonts w:ascii="Arial" w:cs="Arial" w:eastAsia="Arial" w:hAnsi="Arial"/>
          <w:sz w:val="16"/>
          <w:szCs w:val="16"/>
          <w:color w:val="auto"/>
        </w:rPr>
        <w:t xml:space="preserve"> Company shall provide Institutions by written notice (the “</w:t>
      </w:r>
      <w:r>
        <w:rPr>
          <w:rFonts w:ascii="Arial" w:cs="Arial" w:eastAsia="Arial" w:hAnsi="Arial"/>
          <w:sz w:val="16"/>
          <w:szCs w:val="16"/>
          <w:b w:val="1"/>
          <w:bCs w:val="1"/>
          <w:color w:val="auto"/>
        </w:rPr>
        <w:t>Proposed Gatekeeper Notice</w:t>
      </w:r>
      <w:r>
        <w:rPr>
          <w:rFonts w:ascii="Arial" w:cs="Arial" w:eastAsia="Arial" w:hAnsi="Arial"/>
          <w:sz w:val="16"/>
          <w:szCs w:val="16"/>
          <w:color w:val="auto"/>
        </w:rPr>
        <w:t>”) with a list of at least [**] independent attorneys registered to practice before the United States Patent and Trademark Office of whom neither Company nor either Institution is a client, who are experienced in intellectual property matters in the biopharmaceutical industry and who are able to take on an obligation of confidentiality to both Parties. Within [**] days after the date of the Proposed Gatekeeper Notice, Institutions shall select by written notice to Company (the “</w:t>
      </w:r>
      <w:r>
        <w:rPr>
          <w:rFonts w:ascii="Arial" w:cs="Arial" w:eastAsia="Arial" w:hAnsi="Arial"/>
          <w:sz w:val="16"/>
          <w:szCs w:val="16"/>
          <w:b w:val="1"/>
          <w:bCs w:val="1"/>
          <w:color w:val="auto"/>
        </w:rPr>
        <w:t>Gatekeeper</w:t>
      </w:r>
      <w:r>
        <w:rPr>
          <w:rFonts w:ascii="Arial" w:cs="Arial" w:eastAsia="Arial" w:hAnsi="Arial"/>
          <w:sz w:val="16"/>
          <w:szCs w:val="16"/>
          <w:color w:val="auto"/>
        </w:rPr>
        <w:t xml:space="preserve"> </w:t>
      </w:r>
      <w:r>
        <w:rPr>
          <w:rFonts w:ascii="Arial" w:cs="Arial" w:eastAsia="Arial" w:hAnsi="Arial"/>
          <w:sz w:val="16"/>
          <w:szCs w:val="16"/>
          <w:b w:val="1"/>
          <w:bCs w:val="1"/>
          <w:color w:val="auto"/>
        </w:rPr>
        <w:t>Selection Notice</w:t>
      </w:r>
      <w:r>
        <w:rPr>
          <w:rFonts w:ascii="Arial" w:cs="Arial" w:eastAsia="Arial" w:hAnsi="Arial"/>
          <w:sz w:val="16"/>
          <w:szCs w:val="16"/>
          <w:color w:val="auto"/>
        </w:rPr>
        <w:t>”) one of the individuals named in the Proposed Gatekeeper Notice. Such individual selected by Institutions shall be the “</w:t>
      </w:r>
      <w:r>
        <w:rPr>
          <w:rFonts w:ascii="Arial" w:cs="Arial" w:eastAsia="Arial" w:hAnsi="Arial"/>
          <w:sz w:val="16"/>
          <w:szCs w:val="16"/>
          <w:b w:val="1"/>
          <w:bCs w:val="1"/>
          <w:color w:val="auto"/>
        </w:rPr>
        <w:t>Gatekeeper</w:t>
      </w:r>
      <w:r>
        <w:rPr>
          <w:rFonts w:ascii="Arial" w:cs="Arial" w:eastAsia="Arial" w:hAnsi="Arial"/>
          <w:sz w:val="16"/>
          <w:szCs w:val="16"/>
          <w:color w:val="auto"/>
        </w:rPr>
        <w:t>.” If</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do not select such individual in a Gatekeeper Selection Notice within such [**] day period, the individual selected by Company from among the individuals named in the Proposed Gatekeeper Notice and identified by Company in writing to Institutions shall be the Gatekeeper. The Gatekeeper shall be bound by confidentiality obligations to both Parties. In the event a Gatekeeper is no longer able or willing to serve in such role, the Parties shall appoint a new Gatekeeper by again following the procedures set forth in this Section 2.6.5.1.</w:t>
      </w:r>
    </w:p>
    <w:p>
      <w:pPr>
        <w:spacing w:after="0" w:line="164" w:lineRule="exact"/>
        <w:rPr>
          <w:sz w:val="20"/>
          <w:szCs w:val="20"/>
          <w:color w:val="auto"/>
        </w:rPr>
      </w:pPr>
    </w:p>
    <w:p>
      <w:pPr>
        <w:ind w:right="100" w:firstLine="1945"/>
        <w:spacing w:after="0" w:line="257" w:lineRule="auto"/>
        <w:rPr>
          <w:sz w:val="20"/>
          <w:szCs w:val="20"/>
          <w:color w:val="auto"/>
        </w:rPr>
      </w:pPr>
      <w:r>
        <w:rPr>
          <w:rFonts w:ascii="Arial" w:cs="Arial" w:eastAsia="Arial" w:hAnsi="Arial"/>
          <w:sz w:val="18"/>
          <w:szCs w:val="18"/>
          <w:color w:val="auto"/>
        </w:rPr>
        <w:t>2.6.5.2.</w:t>
      </w:r>
      <w:r>
        <w:rPr>
          <w:rFonts w:ascii="Arial" w:cs="Arial" w:eastAsia="Arial" w:hAnsi="Arial"/>
          <w:sz w:val="18"/>
          <w:szCs w:val="18"/>
          <w:i w:val="1"/>
          <w:iCs w:val="1"/>
          <w:color w:val="auto"/>
        </w:rPr>
        <w:t>Selected Target List</w:t>
      </w:r>
      <w:r>
        <w:rPr>
          <w:rFonts w:ascii="Arial" w:cs="Arial" w:eastAsia="Arial" w:hAnsi="Arial"/>
          <w:sz w:val="18"/>
          <w:szCs w:val="18"/>
          <w:color w:val="auto"/>
        </w:rPr>
        <w:t>. A Gene Target that has been selected for research, development and/or commercialization pursuant to a Target-Based Collaboration Agreement may be added by Company, on a Target-Based Collaboration-by-Target-Based Collaboration basis, at the time of execution of such Target-Based Collaboration or at any time within [**] years thereafter, up to that number of Gene Targets specified in Section 2.6.5.3, to a list of Gene Targets (“</w:t>
      </w:r>
      <w:r>
        <w:rPr>
          <w:rFonts w:ascii="Arial" w:cs="Arial" w:eastAsia="Arial" w:hAnsi="Arial"/>
          <w:sz w:val="18"/>
          <w:szCs w:val="18"/>
          <w:b w:val="1"/>
          <w:bCs w:val="1"/>
          <w:color w:val="auto"/>
        </w:rPr>
        <w:t>Target List</w:t>
      </w:r>
      <w:r>
        <w:rPr>
          <w:rFonts w:ascii="Arial" w:cs="Arial" w:eastAsia="Arial" w:hAnsi="Arial"/>
          <w:sz w:val="18"/>
          <w:szCs w:val="18"/>
          <w:color w:val="auto"/>
        </w:rPr>
        <w:t>”) maintained by the Gatekeeper. The compensation, costs and expenses for the Gatekeeper shall be incurred and paid solely by Company. A Gene Target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that is included on the Target List shall be deemed a “</w:t>
      </w:r>
      <w:r>
        <w:rPr>
          <w:rFonts w:ascii="Arial" w:cs="Arial" w:eastAsia="Arial" w:hAnsi="Arial"/>
          <w:sz w:val="16"/>
          <w:szCs w:val="16"/>
          <w:b w:val="1"/>
          <w:bCs w:val="1"/>
          <w:color w:val="auto"/>
        </w:rPr>
        <w:t>Selected Target</w:t>
      </w:r>
      <w:r>
        <w:rPr>
          <w:rFonts w:ascii="Arial" w:cs="Arial" w:eastAsia="Arial" w:hAnsi="Arial"/>
          <w:sz w:val="16"/>
          <w:szCs w:val="16"/>
          <w:color w:val="auto"/>
        </w:rPr>
        <w:t>” for the purposes of this Section 2.6.5 and only those Gene Targets that are included on the Target List shall be deemed Selected Targets for the purposes of this Section 2.6.5. For the avoidance of doubt, a specific target sequence or cleavage site within a gene shall not by itself constitute a Selected Target. Except as noted below with respect to Potential Targets, the effective date of addition of any Selected Target to the Target List (“</w:t>
      </w:r>
      <w:r>
        <w:rPr>
          <w:rFonts w:ascii="Arial" w:cs="Arial" w:eastAsia="Arial" w:hAnsi="Arial"/>
          <w:sz w:val="16"/>
          <w:szCs w:val="16"/>
          <w:b w:val="1"/>
          <w:bCs w:val="1"/>
          <w:color w:val="auto"/>
        </w:rPr>
        <w:t>Selection Date</w:t>
      </w:r>
      <w:r>
        <w:rPr>
          <w:rFonts w:ascii="Arial" w:cs="Arial" w:eastAsia="Arial" w:hAnsi="Arial"/>
          <w:sz w:val="16"/>
          <w:szCs w:val="16"/>
          <w:color w:val="auto"/>
        </w:rPr>
        <w:t>”) shall be [**] business days prior to the date on which the Gatekeeper receives written notice from Company that a given Selected Target is to be added to the Target List. Except as noted below in connection with Potential Targets, a Gene Target shall be deemed a Selected Target for a period of [**] years from the Selection Date for such Gene Target. In addition to the foregoing, Company may add to the Target List the Gene Targets that are the subject of a bona fide offer for Committed Funding from a prospective Target-Based Collaborator in connection with active discussions at any time and from time to time between Company and such Target-Based Collaborator regarding a potential Target-Based Collaboration(s) (collectively, the “</w:t>
      </w:r>
      <w:r>
        <w:rPr>
          <w:rFonts w:ascii="Arial" w:cs="Arial" w:eastAsia="Arial" w:hAnsi="Arial"/>
          <w:sz w:val="16"/>
          <w:szCs w:val="16"/>
          <w:b w:val="1"/>
          <w:bCs w:val="1"/>
          <w:color w:val="auto"/>
        </w:rPr>
        <w:t>Potential Targets</w:t>
      </w:r>
      <w:r>
        <w:rPr>
          <w:rFonts w:ascii="Arial" w:cs="Arial" w:eastAsia="Arial" w:hAnsi="Arial"/>
          <w:sz w:val="16"/>
          <w:szCs w:val="16"/>
          <w:color w:val="auto"/>
        </w:rPr>
        <w:t>”). A Potential Target that is included on the Target List shall be deemed a “</w:t>
      </w:r>
      <w:r>
        <w:rPr>
          <w:rFonts w:ascii="Arial" w:cs="Arial" w:eastAsia="Arial" w:hAnsi="Arial"/>
          <w:sz w:val="16"/>
          <w:szCs w:val="16"/>
          <w:b w:val="1"/>
          <w:bCs w:val="1"/>
          <w:color w:val="auto"/>
        </w:rPr>
        <w:t>Selected Target</w:t>
      </w:r>
      <w:r>
        <w:rPr>
          <w:rFonts w:ascii="Arial" w:cs="Arial" w:eastAsia="Arial" w:hAnsi="Arial"/>
          <w:sz w:val="16"/>
          <w:szCs w:val="16"/>
          <w:color w:val="auto"/>
        </w:rPr>
        <w:t>” for the purposes of this Section 2.6.5 during the Potential Target Period (as defined below), and the date on which the Gatekeeper receives written notice from Company that a given Potential Target is to be added to the Target List shall be deemed the “</w:t>
      </w:r>
      <w:r>
        <w:rPr>
          <w:rFonts w:ascii="Arial" w:cs="Arial" w:eastAsia="Arial" w:hAnsi="Arial"/>
          <w:sz w:val="16"/>
          <w:szCs w:val="16"/>
          <w:b w:val="1"/>
          <w:bCs w:val="1"/>
          <w:color w:val="auto"/>
        </w:rPr>
        <w:t>Selection Date</w:t>
      </w:r>
      <w:r>
        <w:rPr>
          <w:rFonts w:ascii="Arial" w:cs="Arial" w:eastAsia="Arial" w:hAnsi="Arial"/>
          <w:sz w:val="16"/>
          <w:szCs w:val="16"/>
          <w:color w:val="auto"/>
        </w:rPr>
        <w:t>” for such Potential Target. The number of Potential Targets that Company may add to the Target List in connection with any such active discussions with a Third Party is the number of Selected Targets as Company would be eligible to add to the Target List if Company and such Third Party entered into such Target-Based Collaboration, as determined based on a bona fide offer for Committed Funding by such prospective Target-Based Collaborator in connection with such active discussions. Company shall clearly identify in its notice to the Gatekeeper those Gene Targets that are Potential Targets. Company shall notify the Gatekeeper promptly if any Selected Target that is a Potential Target should be removed from the Target List because Company determines that the circumstances of the discussions with the relevant Third Party have changed and that such Potential Target is no longer the subject of bona fide discussions with a Third Party, in which case such Potential Target shall be deemed not to have been nominated as a Potential Target or Selected Target for the purposes of this Section 2.6.5. A Selected Target that is a Potential Target shall remain a Potential Target, a Selected Target and on the Target List for [**] months (the “</w:t>
      </w:r>
      <w:r>
        <w:rPr>
          <w:rFonts w:ascii="Arial" w:cs="Arial" w:eastAsia="Arial" w:hAnsi="Arial"/>
          <w:sz w:val="16"/>
          <w:szCs w:val="16"/>
          <w:b w:val="1"/>
          <w:bCs w:val="1"/>
          <w:color w:val="auto"/>
        </w:rPr>
        <w:t>Potential Target Period</w:t>
      </w:r>
      <w:r>
        <w:rPr>
          <w:rFonts w:ascii="Arial" w:cs="Arial" w:eastAsia="Arial" w:hAnsi="Arial"/>
          <w:sz w:val="16"/>
          <w:szCs w:val="16"/>
          <w:color w:val="auto"/>
        </w:rPr>
        <w:t>”) from the Selection Date for such Potential Target, subject to up to one (1) extension of an additional [**] months by Company upon notice to the Gatekeeper if Company determines in good faith that such Potential Target remains the subject of bona fide discussions between Company and the relevant Third Party regarding a Target-Based Collaboration at the time of such extension notice. The Gatekeeper shall notify Institutions that Company has extended the period of time that a Potential Target shall remain on the Target List. Such notice shall not identify the Potential Target by name nor include any other identifiable information but shall include a unique identifier for such Potential Target which shall enable Institutions to track and monitor the status of such Potential Target. The purpose of such notice is to permit Institutions to initiate communications with Company and to monitor compliance by Company with the terms of this Agreement. If Company enters into a Target-Based Collaboration with respect to a Potential Target, Company shall notify the Gatekeeper within [**] business days thereof, and such Potential Target shall remain a Selected Target and the Selection Date for such Selected Target shall remain the date on which the Gatekeeper received written notice from Company that a such Potential Target was to be added to the Target List. If a Potential Target was removed from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Target List prior to execution of the applicable Target-Based Collaboration and that Potential Target was the subject of a Gatekeeper Notice during the Potential Target Period for such Potential Target, then Gatekeeper shall notify Institutions that Company has removed such Potential Target from the Target List and Institutions shall be entitled to inform the applicable Proposing Party that such Potential Target may be available for a renewed Bona Fide Proposal and Institutions may provide a Proposed Product Notice on behalf of such Proposing Party in accordance with Section 2.6.1, in which event the provisions of Sections 2.6.1 - 2.6.4 shall apply to such Proposed Product Notice. The Gatekeeper shall notify Company within [**] if any Gene Target that Company notifies Gatekeeper to add to the Target List is already at the time of such notice the subject of a Gatekeeper Inquiry having a Gatekeeper Inquiry Date more than [**] business days prior to such notice from Company. No Gene Target shall become a Selected Target and be added to the Target List if such Gene Target is the subject of a Gatekeeper Inquiry having a Gatekeeper Inquiry Date more than [**] business days prior to the time Company notifies the Gatekeeper that Company is designating such Gene Target for inclusion on the Target List.</w:t>
      </w:r>
    </w:p>
    <w:p>
      <w:pPr>
        <w:spacing w:after="0" w:line="182" w:lineRule="exact"/>
        <w:rPr>
          <w:sz w:val="20"/>
          <w:szCs w:val="20"/>
          <w:color w:val="auto"/>
        </w:rPr>
      </w:pPr>
    </w:p>
    <w:p>
      <w:pPr>
        <w:ind w:right="140" w:firstLine="1945"/>
        <w:spacing w:after="0" w:line="312" w:lineRule="auto"/>
        <w:rPr>
          <w:sz w:val="20"/>
          <w:szCs w:val="20"/>
          <w:color w:val="auto"/>
        </w:rPr>
      </w:pPr>
      <w:r>
        <w:rPr>
          <w:rFonts w:ascii="Arial" w:cs="Arial" w:eastAsia="Arial" w:hAnsi="Arial"/>
          <w:sz w:val="16"/>
          <w:szCs w:val="16"/>
          <w:color w:val="auto"/>
        </w:rPr>
        <w:t xml:space="preserve">2.6.5.3. </w:t>
      </w:r>
      <w:r>
        <w:rPr>
          <w:rFonts w:ascii="Arial" w:cs="Arial" w:eastAsia="Arial" w:hAnsi="Arial"/>
          <w:sz w:val="16"/>
          <w:szCs w:val="16"/>
          <w:i w:val="1"/>
          <w:iCs w:val="1"/>
          <w:color w:val="auto"/>
        </w:rPr>
        <w:t>Permitted Number of Selected Targets</w:t>
      </w:r>
      <w:r>
        <w:rPr>
          <w:rFonts w:ascii="Arial" w:cs="Arial" w:eastAsia="Arial" w:hAnsi="Arial"/>
          <w:sz w:val="16"/>
          <w:szCs w:val="16"/>
          <w:color w:val="auto"/>
        </w:rPr>
        <w:t>. The number of Gene Targets that may selected as Selected Targets for a given Target-Based Collaboration is dependent on the amount of Committed Funding under the Target-Based Collaboration, in accordance with the following provisions of this Section 2.6.5.3. On a Target-Based Collaboration-by-Target-Based Collaboration basis, Company may select as Selected Targets up to that</w:t>
      </w:r>
    </w:p>
    <w:p>
      <w:pPr>
        <w:sectPr>
          <w:pgSz w:w="11900" w:h="16952" w:orient="portrait"/>
          <w:cols w:equalWidth="0" w:num="1">
            <w:col w:w="11420"/>
          </w:cols>
          <w:pgMar w:left="240" w:top="125" w:right="239" w:bottom="0" w:gutter="0" w:footer="0" w:header="0"/>
        </w:sectPr>
      </w:pPr>
    </w:p>
    <w:bookmarkStart w:id="310" w:name="page311"/>
    <w:bookmarkEnd w:id="310"/>
    <w:p>
      <w:pPr>
        <w:spacing w:after="0" w:line="1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number of Gene Targets that is proportionate to the total amount of Committed Funding under a given Target-Based Collaboration at a rate of no less than $[**] per Selected Target. By way of example, (a) if the Committed Funding under the Target-Based Collaboration is $[**], Company may add up to [**] Gene Targets to the Target List for that Target-Based Collaboration, which Gene Targets shall be deemed Selected Targets, and (b) if the Committed Funding under the Target-Based Collaboration is $[**], Company may add up to [**] Gene Targets to the Target List for that Target-Based Collaboration, which Gene Targets shall be deemed Selected Targets. If at any point during the Collaboration Period, there is a reduction in the levels of Committed Funding under a given Target-Based Collaboration, Company shall notify Institutions of such reduction and the Target List for such Target-Based Collaboration shall be adjusted accordingly to reflect such reduction in Committed Funding.Promptly after the date of execution of any Target-Based Collaboration under which Selected Targets are to be selected, Company shall notify Institutions and the Gatekeeper thereof, and shall include in such notice the amount of Committed Funding under such Target-Based Collaboration.</w:t>
      </w:r>
    </w:p>
    <w:p>
      <w:pPr>
        <w:spacing w:after="0" w:line="18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2.6.5.4.</w:t>
      </w:r>
      <w:r>
        <w:rPr>
          <w:rFonts w:ascii="Arial" w:cs="Arial" w:eastAsia="Arial" w:hAnsi="Arial"/>
          <w:sz w:val="16"/>
          <w:szCs w:val="16"/>
          <w:i w:val="1"/>
          <w:iCs w:val="1"/>
          <w:color w:val="auto"/>
        </w:rPr>
        <w:t>Gatekeeper Inquiry</w:t>
      </w:r>
      <w:r>
        <w:rPr>
          <w:rFonts w:ascii="Arial" w:cs="Arial" w:eastAsia="Arial" w:hAnsi="Arial"/>
          <w:sz w:val="16"/>
          <w:szCs w:val="16"/>
          <w:color w:val="auto"/>
        </w:rPr>
        <w:t>. For any Proposed Product for which a Bona Fide Proposal has been provided to Institutions, prior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providing a Proposed Product Notice with respect to such Proposed Product to Company in accordance with Section 2.6.1, Institutions shall inquire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Gatekeeper in writing whether or not the Gene Target to which the applicable Proposed Product is directed is a Selected Target (such inquiry,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Gatekeeper Inquiry</w:t>
      </w:r>
      <w:r>
        <w:rPr>
          <w:rFonts w:ascii="Arial" w:cs="Arial" w:eastAsia="Arial" w:hAnsi="Arial"/>
          <w:sz w:val="16"/>
          <w:szCs w:val="16"/>
          <w:color w:val="auto"/>
        </w:rPr>
        <w:t>,” the date of such inquiry, the “</w:t>
      </w:r>
      <w:r>
        <w:rPr>
          <w:rFonts w:ascii="Arial" w:cs="Arial" w:eastAsia="Arial" w:hAnsi="Arial"/>
          <w:sz w:val="16"/>
          <w:szCs w:val="16"/>
          <w:b w:val="1"/>
          <w:bCs w:val="1"/>
          <w:color w:val="auto"/>
        </w:rPr>
        <w:t>Gatekeeper Inquiry Date</w:t>
      </w:r>
      <w:r>
        <w:rPr>
          <w:rFonts w:ascii="Arial" w:cs="Arial" w:eastAsia="Arial" w:hAnsi="Arial"/>
          <w:sz w:val="16"/>
          <w:szCs w:val="16"/>
          <w:color w:val="auto"/>
        </w:rPr>
        <w:t>”); provided that, if no Gatekeeper is appointed at such time, then Institutions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provide a Proposed Product Notice directly to Company under Section 2.6.1 without the requirement of submitting a Gatekeeper Inquiry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provisions of Section 2.6.5 shall not apply. The Gatekeeper shall, within the period beginning on the [**] business day and ending on the [**]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Institutions’ request, notify Institutions in writing whether or not such Gene Target is a Selected Target (such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notice, the “</w:t>
      </w:r>
      <w:r>
        <w:rPr>
          <w:rFonts w:ascii="Arial" w:cs="Arial" w:eastAsia="Arial" w:hAnsi="Arial"/>
          <w:sz w:val="16"/>
          <w:szCs w:val="16"/>
          <w:b w:val="1"/>
          <w:bCs w:val="1"/>
          <w:color w:val="auto"/>
        </w:rPr>
        <w:t>Gatekeeper Notice</w:t>
      </w:r>
      <w:r>
        <w:rPr>
          <w:rFonts w:ascii="Arial" w:cs="Arial" w:eastAsia="Arial" w:hAnsi="Arial"/>
          <w:sz w:val="16"/>
          <w:szCs w:val="16"/>
          <w:color w:val="auto"/>
        </w:rPr>
        <w:t>”). The Gatekeeper Notice shall note if a Selected Target is a Potential Target. If such Gene Target is a Selected Target, the Gatekeeper Notice shall include the Selection Date for such Selected Target, and the provisions of Section 2.6.5.5 and 2.6.5.6 shall apply. If such Gene Target is not a Selected Target, then Institutions may provide Company with a Proposed Product Notice with respect to the Proposed Product that is directed to the applicable Gene Target and the provisions of Sections 2.6.2 - 2.6.4 shall apply. If the Gatekeeper does not timely provide a Gatekeeper Notice to Institutions, then Institutions may notify Company in writing thereof (“</w:t>
      </w:r>
      <w:r>
        <w:rPr>
          <w:rFonts w:ascii="Arial" w:cs="Arial" w:eastAsia="Arial" w:hAnsi="Arial"/>
          <w:sz w:val="16"/>
          <w:szCs w:val="16"/>
          <w:b w:val="1"/>
          <w:bCs w:val="1"/>
          <w:color w:val="auto"/>
        </w:rPr>
        <w:t>Gatekeeper Non-Performance Notice</w:t>
      </w:r>
      <w:r>
        <w:rPr>
          <w:rFonts w:ascii="Arial" w:cs="Arial" w:eastAsia="Arial" w:hAnsi="Arial"/>
          <w:sz w:val="16"/>
          <w:szCs w:val="16"/>
          <w:color w:val="auto"/>
        </w:rPr>
        <w:t>”) and Company may notify the Gatekeeper of such non-performance. If Institutions do not receive a Gatekeeper Notice within [**] business days of the date of the Gatekeeper Non-Performance Notice, then Institutions may provide a Proposed Product Notice directly to Company under Section 2.6.1 and the provisions of Section 2.6.5 shall not apply. Gatekeeper shall not disclose the existence or nature of a Gatekeeper Inquiry to Company until after the [**] business day following such Gatekeeper Inquiry, at which time Gatekeeper shall notify Company of each Gene Target that is the subject of such Gatekeeper Inquiry. Institutions shall not disclose to any Third Party whether a Gene Target is a Selected Target or otherwise is under research, development and/or commercialization by Company or its Affiliate or Sublicensee; provided, however, that for any Selected Target that is the subject of a Gatekeeper Inquiry during the Collaboration Period for such Selected</w:t>
      </w:r>
    </w:p>
    <w:p>
      <w:pPr>
        <w:ind w:right="240"/>
        <w:spacing w:after="0" w:line="253" w:lineRule="auto"/>
        <w:rPr>
          <w:sz w:val="20"/>
          <w:szCs w:val="20"/>
          <w:color w:val="auto"/>
        </w:rPr>
      </w:pPr>
      <w:r>
        <w:rPr>
          <w:rFonts w:ascii="Arial" w:cs="Arial" w:eastAsia="Arial" w:hAnsi="Arial"/>
          <w:sz w:val="18"/>
          <w:szCs w:val="18"/>
          <w:color w:val="auto"/>
        </w:rPr>
        <w:t>Target, Institutions shall be entitled to inform the Proposing Party that provided the Bona Fide Proposal for the Proposed Product directed at the applicable Selected Target of the date on which such Gene Target that is a Selected Target may become available for a renewed Bona Fide Proposal, such date to correspond with the expiration of the Collaboration Period for the applicable Selected Target. If such Proposing Party provides such renewed Bona Fide Proposal, and Institutions provide to Company a corresponding Proposed Product Notice based on such Bona Fide Proposal, then the provisions of Section 2.6.5.5(b) shall apply to such Proposed Product Notice.</w:t>
      </w:r>
    </w:p>
    <w:p>
      <w:pPr>
        <w:spacing w:after="0" w:line="19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2.6.5.5.</w:t>
      </w:r>
      <w:r>
        <w:rPr>
          <w:rFonts w:ascii="Arial" w:cs="Arial" w:eastAsia="Arial" w:hAnsi="Arial"/>
          <w:sz w:val="18"/>
          <w:szCs w:val="18"/>
          <w:i w:val="1"/>
          <w:iCs w:val="1"/>
          <w:color w:val="auto"/>
        </w:rPr>
        <w:t>Time-Limited Preclusion of March-In for Selected Targets</w:t>
      </w:r>
      <w:r>
        <w:rPr>
          <w:rFonts w:ascii="Arial" w:cs="Arial" w:eastAsia="Arial" w:hAnsi="Arial"/>
          <w:sz w:val="18"/>
          <w:szCs w:val="18"/>
          <w:color w:val="auto"/>
        </w:rPr>
        <w:t>.</w:t>
      </w:r>
    </w:p>
    <w:p>
      <w:pPr>
        <w:spacing w:after="0" w:line="221" w:lineRule="exact"/>
        <w:rPr>
          <w:sz w:val="20"/>
          <w:szCs w:val="20"/>
          <w:color w:val="auto"/>
        </w:rPr>
      </w:pPr>
    </w:p>
    <w:p>
      <w:pPr>
        <w:ind w:right="80" w:firstLine="2439"/>
        <w:spacing w:after="0" w:line="258" w:lineRule="auto"/>
        <w:tabs>
          <w:tab w:leader="none" w:pos="323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a period of [**] from the Selection Date (the “</w:t>
      </w:r>
      <w:r>
        <w:rPr>
          <w:rFonts w:ascii="Arial" w:cs="Arial" w:eastAsia="Arial" w:hAnsi="Arial"/>
          <w:sz w:val="18"/>
          <w:szCs w:val="18"/>
          <w:b w:val="1"/>
          <w:bCs w:val="1"/>
          <w:color w:val="auto"/>
        </w:rPr>
        <w:t>Collaboration Period</w:t>
      </w:r>
      <w:r>
        <w:rPr>
          <w:rFonts w:ascii="Arial" w:cs="Arial" w:eastAsia="Arial" w:hAnsi="Arial"/>
          <w:sz w:val="18"/>
          <w:szCs w:val="18"/>
          <w:color w:val="auto"/>
        </w:rPr>
        <w:t>”), Company shall not be required to provide a Current Development Demonstration in accordance with Section 2.6.2 hereof, or elect a Proposed Product Option in accordance with Section 2.6.3 hereof, and Institutions shall have no right to grant a Proposed Product License, for any Proposed Product directed to a Selected Target, provided that the Selection Date for such Selected Target is within [**] from the execution date of the Target-Based Collaboration under which the Selected Target has been selected.</w:t>
      </w:r>
    </w:p>
    <w:p>
      <w:pPr>
        <w:spacing w:after="0" w:line="187" w:lineRule="exact"/>
        <w:rPr>
          <w:rFonts w:ascii="Arial" w:cs="Arial" w:eastAsia="Arial" w:hAnsi="Arial"/>
          <w:sz w:val="18"/>
          <w:szCs w:val="18"/>
          <w:color w:val="auto"/>
        </w:rPr>
      </w:pPr>
    </w:p>
    <w:p>
      <w:pPr>
        <w:ind w:right="60" w:firstLine="2439"/>
        <w:spacing w:after="0" w:line="279" w:lineRule="auto"/>
        <w:tabs>
          <w:tab w:leader="none" w:pos="324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Upon expiration of the Collaboration Period for a given Selected Target, if Institutions provide Company with a Proposed Product Notice for a Proposed Product directed to such Selected Target, Company shall be required to provide to Institutions a Current Development Demonstration for such Proposed Product. If Company fails to provide a Current Development Demonstration for such Proposed Product, then Institutions shall be entitled to grant the Proposing Party a Proposed Product License for such Proposed Product.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2.6.5.6.</w:t>
      </w:r>
      <w:r>
        <w:rPr>
          <w:rFonts w:ascii="Arial" w:cs="Arial" w:eastAsia="Arial" w:hAnsi="Arial"/>
          <w:sz w:val="18"/>
          <w:szCs w:val="18"/>
          <w:i w:val="1"/>
          <w:iCs w:val="1"/>
          <w:color w:val="auto"/>
        </w:rPr>
        <w:t>Other Limitations on Selected Targets</w:t>
      </w:r>
      <w:r>
        <w:rPr>
          <w:rFonts w:ascii="Arial" w:cs="Arial" w:eastAsia="Arial" w:hAnsi="Arial"/>
          <w:sz w:val="18"/>
          <w:szCs w:val="18"/>
          <w:color w:val="auto"/>
        </w:rPr>
        <w:t>.</w:t>
      </w:r>
    </w:p>
    <w:p>
      <w:pPr>
        <w:spacing w:after="0" w:line="225" w:lineRule="exact"/>
        <w:rPr>
          <w:sz w:val="20"/>
          <w:szCs w:val="20"/>
          <w:color w:val="auto"/>
        </w:rPr>
      </w:pPr>
    </w:p>
    <w:p>
      <w:pPr>
        <w:ind w:right="60" w:firstLine="2277"/>
        <w:spacing w:after="0" w:line="259" w:lineRule="auto"/>
        <w:tabs>
          <w:tab w:leader="none" w:pos="25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Once a given Gene Target has been selected as a Selected Target under a given Target-Based Collaboration, such Gene Target may not be selected as a Selected Target under any other Target-Based Collaboration if such Gene Target has been the subject of a Gatekeeper Inquiry. The foregoing provision shall not apply to a Potential Target that was removed from the Target List prior to the execution of the Target-Based Collaboration under which such Potential Target was selected.</w:t>
      </w:r>
    </w:p>
    <w:p>
      <w:pPr>
        <w:spacing w:after="0" w:line="186" w:lineRule="exact"/>
        <w:rPr>
          <w:rFonts w:ascii="Arial" w:cs="Arial" w:eastAsia="Arial" w:hAnsi="Arial"/>
          <w:sz w:val="18"/>
          <w:szCs w:val="18"/>
          <w:color w:val="auto"/>
        </w:rPr>
      </w:pPr>
    </w:p>
    <w:p>
      <w:pPr>
        <w:jc w:val="both"/>
        <w:ind w:right="220" w:firstLine="2277"/>
        <w:spacing w:after="0" w:line="264" w:lineRule="auto"/>
        <w:tabs>
          <w:tab w:leader="none" w:pos="26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Collaboration Period shall apply in lieu of, and not in addition to, the [**]month periods set forth in Section 2.6.3. Once a given Gene Target has been selected as a Selected Target under a given Target-Based Collaboration, the Proposed Product Option shall not apply to Proposed Products directed to such Gene Target.</w:t>
      </w:r>
    </w:p>
    <w:p>
      <w:pPr>
        <w:spacing w:after="0" w:line="181" w:lineRule="exact"/>
        <w:rPr>
          <w:rFonts w:ascii="Arial" w:cs="Arial" w:eastAsia="Arial" w:hAnsi="Arial"/>
          <w:sz w:val="18"/>
          <w:szCs w:val="18"/>
          <w:color w:val="auto"/>
        </w:rPr>
      </w:pPr>
    </w:p>
    <w:p>
      <w:pPr>
        <w:ind w:right="300" w:firstLine="2277"/>
        <w:spacing w:after="0" w:line="264" w:lineRule="auto"/>
        <w:tabs>
          <w:tab w:leader="none" w:pos="260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Selected Targets may be dropped from the Target List upon notice by Company to Gatekeeper; provided that, once a Selected Target has been dropped from the Target List for a given Target-Based Collaboration (other than a Selected Target that is a Potential Target at the time it is dropped), it may not again be selected to the Target List for such Target-Based Collaboration.</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2.6.6.</w:t>
      </w:r>
      <w:r>
        <w:rPr>
          <w:rFonts w:ascii="Arial" w:cs="Arial" w:eastAsia="Arial" w:hAnsi="Arial"/>
          <w:sz w:val="16"/>
          <w:szCs w:val="16"/>
          <w:u w:val="single" w:color="auto"/>
          <w:color w:val="auto"/>
        </w:rPr>
        <w:t>Processing of Proposed Products</w:t>
      </w:r>
      <w:r>
        <w:rPr>
          <w:rFonts w:ascii="Arial" w:cs="Arial" w:eastAsia="Arial" w:hAnsi="Arial"/>
          <w:sz w:val="16"/>
          <w:szCs w:val="16"/>
          <w:color w:val="auto"/>
        </w:rPr>
        <w:t>. Company shall not be required to simultaneously prepare or carry-out an Internal Development Plan or Collaboration Plan under Section 2.6.3 (to “</w:t>
      </w:r>
      <w:r>
        <w:rPr>
          <w:rFonts w:ascii="Arial" w:cs="Arial" w:eastAsia="Arial" w:hAnsi="Arial"/>
          <w:sz w:val="16"/>
          <w:szCs w:val="16"/>
          <w:b w:val="1"/>
          <w:bCs w:val="1"/>
          <w:color w:val="auto"/>
        </w:rPr>
        <w:t>Process</w:t>
      </w:r>
      <w:r>
        <w:rPr>
          <w:rFonts w:ascii="Arial" w:cs="Arial" w:eastAsia="Arial" w:hAnsi="Arial"/>
          <w:sz w:val="16"/>
          <w:szCs w:val="16"/>
          <w:color w:val="auto"/>
        </w:rPr>
        <w:t>”) for more than [**] Proposed Products in accordance with the timing requirements set forth in Section 2.6.3 at any one time. If Institutions provide a Proposed Product Notice for which Company fails to make a Current Development Demonstration, and Company is currently Processing [**] other Proposed Products on the Proposed Product Notice Date for the Proposed Product that is the subject of such Proposed Product Notice, then the time periods set forth in Section 2.6.3 for Processing of any such additional Proposed Product Notice by Company shall</w:t>
      </w:r>
    </w:p>
    <w:p>
      <w:pPr>
        <w:sectPr>
          <w:pgSz w:w="11900" w:h="16941" w:orient="portrait"/>
          <w:cols w:equalWidth="0" w:num="1">
            <w:col w:w="11400"/>
          </w:cols>
          <w:pgMar w:left="240" w:top="125" w:right="259" w:bottom="0" w:gutter="0" w:footer="0" w:header="0"/>
        </w:sectPr>
      </w:pPr>
    </w:p>
    <w:bookmarkStart w:id="311" w:name="page312"/>
    <w:bookmarkEnd w:id="311"/>
    <w:p>
      <w:pPr>
        <w:spacing w:after="0" w:line="9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each be extended by a period equal to the result of multiplying (a) [**] months times (b) (i) [**] if the number of Proposed Products being Processed by Company on the relevant Proposed Product Notice Date is more than [**] and less than or equal to [**], (ii) [**] if the number of Proposed Products being Processed by Company on the relevant Proposed Product Notice Date is more than [**] and less than or equal to [**], (iii) [**] if the number of Proposed Products being Processed by Company on the relevant Proposed Product Notice Date is more than [**] and less than or equal to [**], and (iv) [**] if the number of Proposed Products being Processed by Company on the relevant Proposed Product Notice Date is more than [**] (“</w:t>
      </w:r>
      <w:r>
        <w:rPr>
          <w:rFonts w:ascii="Arial" w:cs="Arial" w:eastAsia="Arial" w:hAnsi="Arial"/>
          <w:sz w:val="16"/>
          <w:szCs w:val="16"/>
          <w:b w:val="1"/>
          <w:bCs w:val="1"/>
          <w:color w:val="auto"/>
        </w:rPr>
        <w:t>Proposed Product 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During such Proposed Product Extension Period for a given Proposed Product, Institutions shall not be permitted to grant a Proposed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to such Proposed Product. If the number of Proposed Products being Processed by Company on the relevant Proposed Product Notice Date is more than [**], Company shall have no obligation to Process additional Proposed Products until the number of Proposed Products being Processed by Company is fewer than [**], and the Proposed Product Extension Period shall be extended until, and shall be recalculated at, such time.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2.6.7.</w:t>
      </w:r>
      <w:r>
        <w:rPr>
          <w:rFonts w:ascii="Arial" w:cs="Arial" w:eastAsia="Arial" w:hAnsi="Arial"/>
          <w:sz w:val="18"/>
          <w:szCs w:val="18"/>
          <w:u w:val="single" w:color="auto"/>
          <w:color w:val="auto"/>
        </w:rPr>
        <w:t>Listed Companies</w:t>
      </w:r>
      <w:r>
        <w:rPr>
          <w:rFonts w:ascii="Arial" w:cs="Arial" w:eastAsia="Arial" w:hAnsi="Arial"/>
          <w:sz w:val="18"/>
          <w:szCs w:val="18"/>
          <w:color w:val="auto"/>
        </w:rPr>
        <w:t>. Institutions may not grant a Proposed Product License to any Listed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Technology Transfer</w:t>
      </w:r>
    </w:p>
    <w:p>
      <w:pPr>
        <w:spacing w:after="0" w:line="229"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2.7.1.</w:t>
      </w:r>
      <w:r>
        <w:rPr>
          <w:rFonts w:ascii="Arial" w:cs="Arial" w:eastAsia="Arial" w:hAnsi="Arial"/>
          <w:sz w:val="17"/>
          <w:szCs w:val="17"/>
          <w:u w:val="single" w:color="auto"/>
          <w:color w:val="auto"/>
        </w:rPr>
        <w:t>Transfer and Use</w:t>
      </w:r>
      <w:r>
        <w:rPr>
          <w:rFonts w:ascii="Arial" w:cs="Arial" w:eastAsia="Arial" w:hAnsi="Arial"/>
          <w:sz w:val="17"/>
          <w:szCs w:val="17"/>
          <w:color w:val="auto"/>
        </w:rPr>
        <w:t>. Within [**] days of the Effective Date, Institutions shall deliver to Company the Institution Materials. Company shall reimburse Institutions for the reasonable cost of providing the Institution Materials including costs incurred in the production and shipment of such materials. Institutions hereby grant Company the non-exclusive right to use the Institution Materials solely for purposes of researching, developing or commercializing Licensed Products, Licensed Services, Enabled Products and Enabled Services in accordance with the terms and conditions of this Agreement and otherwise for any purpose in conjunction with the exercise by the Company of its rights under the licenses granted to Company pursuant to Section 2.1. Company may sublicense its rights to use the Institution Materials in connection with any Sublicense and may subcontract its rights to use the Institution Materials in connection with any subcontract of other rights pursuant to Section 2.4. Unless Institutions otherwise give express written consent, Company shall not (a) use the Institution Materials for any purpose other than for the foregoing purposes or (b) use the Institution Materials for testing in, treatment of, or any administration to, humans. Upon termination of this Agreement, at the request of the Institution from which the applicable Institution Materials originated, Company shall either return all quantities of such Institution Materials in its possession or control to such Institution or else destroy such Institution Materials and immediately certify such destruction to Institution in writing. Company shall cause its employees and agents to comply with its obligations under this Section 2.7.</w:t>
      </w:r>
    </w:p>
    <w:p>
      <w:pPr>
        <w:spacing w:after="0" w:line="180"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2.7.2.</w:t>
      </w:r>
      <w:r>
        <w:rPr>
          <w:rFonts w:ascii="Arial" w:cs="Arial" w:eastAsia="Arial" w:hAnsi="Arial"/>
          <w:sz w:val="18"/>
          <w:szCs w:val="18"/>
          <w:u w:val="single" w:color="auto"/>
          <w:color w:val="auto"/>
        </w:rPr>
        <w:t>Structure / Identity</w:t>
      </w:r>
      <w:r>
        <w:rPr>
          <w:rFonts w:ascii="Arial" w:cs="Arial" w:eastAsia="Arial" w:hAnsi="Arial"/>
          <w:sz w:val="18"/>
          <w:szCs w:val="18"/>
          <w:color w:val="auto"/>
        </w:rPr>
        <w:t>. Notwithstanding anything in this Agreement to the contrary, Institutions shall not be obligated to disclose at any time the structure or composition of the Institution Materials. Company acknowledges that the Institution Materials are experimental in nature and Company shall comply with all laws and regulations applicable to the handling and use of the Institution Materials.</w:t>
      </w:r>
    </w:p>
    <w:p>
      <w:pPr>
        <w:spacing w:after="0" w:line="181" w:lineRule="exact"/>
        <w:rPr>
          <w:sz w:val="20"/>
          <w:szCs w:val="20"/>
          <w:color w:val="auto"/>
        </w:rPr>
      </w:pPr>
    </w:p>
    <w:p>
      <w:pPr>
        <w:ind w:right="40" w:firstLine="1297"/>
        <w:spacing w:after="0" w:line="253" w:lineRule="auto"/>
        <w:rPr>
          <w:sz w:val="20"/>
          <w:szCs w:val="20"/>
          <w:color w:val="auto"/>
        </w:rPr>
      </w:pPr>
      <w:r>
        <w:rPr>
          <w:rFonts w:ascii="Arial" w:cs="Arial" w:eastAsia="Arial" w:hAnsi="Arial"/>
          <w:sz w:val="18"/>
          <w:szCs w:val="18"/>
          <w:color w:val="auto"/>
        </w:rPr>
        <w:t>2.7.3.</w:t>
      </w:r>
      <w:r>
        <w:rPr>
          <w:rFonts w:ascii="Arial" w:cs="Arial" w:eastAsia="Arial" w:hAnsi="Arial"/>
          <w:sz w:val="18"/>
          <w:szCs w:val="18"/>
          <w:u w:val="single" w:color="auto"/>
          <w:color w:val="auto"/>
        </w:rPr>
        <w:t>Ownership of Breach Inventions</w:t>
      </w:r>
      <w:r>
        <w:rPr>
          <w:rFonts w:ascii="Arial" w:cs="Arial" w:eastAsia="Arial" w:hAnsi="Arial"/>
          <w:sz w:val="18"/>
          <w:szCs w:val="18"/>
          <w:color w:val="auto"/>
        </w:rPr>
        <w:t>. In the event that Company uses or permits any use of the Institution Materials for a purpose or in a manner in breach of Section 2.7.1, the results of such unauthorized use, and any discoveries or inventions which arise from any such use, whether patentable or not, shall belong solely and exclusively to such Institution(s) (and/or MIT, if applicable) (“</w:t>
      </w:r>
      <w:r>
        <w:rPr>
          <w:rFonts w:ascii="Arial" w:cs="Arial" w:eastAsia="Arial" w:hAnsi="Arial"/>
          <w:sz w:val="18"/>
          <w:szCs w:val="18"/>
          <w:b w:val="1"/>
          <w:bCs w:val="1"/>
          <w:color w:val="auto"/>
        </w:rPr>
        <w:t>Breach Inventions</w:t>
      </w:r>
      <w:r>
        <w:rPr>
          <w:rFonts w:ascii="Arial" w:cs="Arial" w:eastAsia="Arial" w:hAnsi="Arial"/>
          <w:sz w:val="18"/>
          <w:szCs w:val="18"/>
          <w:color w:val="auto"/>
        </w:rPr>
        <w:t>”). Company shall and hereby does assign to such Institution(s) (and/or MIT, if applicable) all of its right, title and interest in and to all such Breach Inventions. Company shall cooperate with such Institution(s) (and/or MIT, if applicable) to execute and deliver any and all documents that such Institution(s) (and/or MIT, if applicable) deems reasonably necessary to perfect and enforce its rights hereunder to such Breach Inventions. Prior to the effectuation of such assignment, Company shall and hereby does grant to such Institution(s) (and/or MIT, if applicable) an exclusive, worldwide, perpetual, fully-paid up, royalty-free, irrevocable license (with the right to grant sublicenses) to make, use, sell, have made, have sold, offer for sale, and import such Breach Inventions and otherwise exploit all intellectual property rights therein.</w:t>
      </w:r>
    </w:p>
    <w:p>
      <w:pPr>
        <w:spacing w:after="0" w:line="193"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2.8. US Manufacturing. </w:t>
      </w:r>
      <w:r>
        <w:rPr>
          <w:rFonts w:ascii="Arial" w:cs="Arial" w:eastAsia="Arial" w:hAnsi="Arial"/>
          <w:sz w:val="18"/>
          <w:szCs w:val="18"/>
          <w:color w:val="auto"/>
        </w:rPr>
        <w:t>Company agrees that any Licensed Products used or sold in the United States that are subject to 35 U.S.C. §§ 201-211</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regulations promulgated thereunder, as amended, or any successor statutes or regulations shall, to the extent required by law, be manufactured substantially in the United States.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2.9. No Other Grant of Rights. </w:t>
      </w:r>
      <w:r>
        <w:rPr>
          <w:rFonts w:ascii="Arial" w:cs="Arial" w:eastAsia="Arial" w:hAnsi="Arial"/>
          <w:sz w:val="18"/>
          <w:szCs w:val="18"/>
          <w:color w:val="auto"/>
        </w:rPr>
        <w:t>Except as expressly provided herein, nothing in this Agreement shall be construed to confer any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license or other rights upon Company or its Affiliates or Sublicensees by implication, estoppel or otherwise as to any technology, intellectual property rights, products or biological materials of Institutions or MIT, or any other entity, regardless of whether such technology, intellectual property rights, products or biological materials are dominant, subordinate or otherwise related to any Patent Rights.</w:t>
      </w:r>
    </w:p>
    <w:p>
      <w:pPr>
        <w:spacing w:after="0" w:line="180"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AND COMMERCIALIZATION.</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3.1. Diligence; Development Milestones. </w:t>
      </w:r>
      <w:r>
        <w:rPr>
          <w:rFonts w:ascii="Arial" w:cs="Arial" w:eastAsia="Arial" w:hAnsi="Arial"/>
          <w:sz w:val="16"/>
          <w:szCs w:val="16"/>
          <w:color w:val="auto"/>
        </w:rPr>
        <w:t>Company shall use commercially reasonable efforts and shall cause its Affiliates and Sublicensees to</w:t>
      </w:r>
      <w:r>
        <w:rPr>
          <w:rFonts w:ascii="Arial" w:cs="Arial" w:eastAsia="Arial" w:hAnsi="Arial"/>
          <w:sz w:val="16"/>
          <w:szCs w:val="16"/>
          <w:b w:val="1"/>
          <w:bCs w:val="1"/>
          <w:color w:val="auto"/>
        </w:rPr>
        <w:t xml:space="preserve"> </w:t>
      </w:r>
      <w:r>
        <w:rPr>
          <w:rFonts w:ascii="Arial" w:cs="Arial" w:eastAsia="Arial" w:hAnsi="Arial"/>
          <w:sz w:val="16"/>
          <w:szCs w:val="16"/>
          <w:color w:val="auto"/>
        </w:rPr>
        <w:t>use commercially reasonable efforts: (a) to research and develop Licensed Products within the Field; (b) to introduce Licensed Products within the Field into the commercial market; and (c) to market Licensed Products within the Field following such introduction into the market and make such Licensed Products reasonably available to the public. In addition, Company, by itself or through its Affiliates or Sublicensees, shall achieve each of the Development Milestones within the time periods specified in Exhibit 3.1. In order for Company to satisfy a given Development Milestone, at least one Valid Claim of at least one Patent Right within each Patent Rights Category must Cover a Licensed Product that achieves such Development Milestone. If at least one Valid Claim of at least one Patent Right within a given Patent Rights Category does not Cover a Licensed Product that achieves the applicable Development Milestone, then Company shall be deemed not to have achieved such Development Milestone with respect to such Patent Rights Category (the “</w:t>
      </w:r>
      <w:r>
        <w:rPr>
          <w:rFonts w:ascii="Arial" w:cs="Arial" w:eastAsia="Arial" w:hAnsi="Arial"/>
          <w:sz w:val="16"/>
          <w:szCs w:val="16"/>
          <w:b w:val="1"/>
          <w:bCs w:val="1"/>
          <w:color w:val="auto"/>
        </w:rPr>
        <w:t>Non-Achieved Category</w:t>
      </w:r>
      <w:r>
        <w:rPr>
          <w:rFonts w:ascii="Arial" w:cs="Arial" w:eastAsia="Arial" w:hAnsi="Arial"/>
          <w:sz w:val="16"/>
          <w:szCs w:val="16"/>
          <w:color w:val="auto"/>
        </w:rPr>
        <w:t>”).</w:t>
      </w:r>
    </w:p>
    <w:p>
      <w:pPr>
        <w:spacing w:after="0" w:line="164"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3.1.1.</w:t>
      </w:r>
      <w:r>
        <w:rPr>
          <w:rFonts w:ascii="Arial" w:cs="Arial" w:eastAsia="Arial" w:hAnsi="Arial"/>
          <w:sz w:val="16"/>
          <w:szCs w:val="16"/>
          <w:u w:val="single" w:color="auto"/>
          <w:color w:val="auto"/>
        </w:rPr>
        <w:t>CRISPR Patent Rights or TALE Patent Rights</w:t>
      </w:r>
      <w:r>
        <w:rPr>
          <w:rFonts w:ascii="Arial" w:cs="Arial" w:eastAsia="Arial" w:hAnsi="Arial"/>
          <w:sz w:val="16"/>
          <w:szCs w:val="16"/>
          <w:color w:val="auto"/>
        </w:rPr>
        <w:t>. If such Non-Achieved Category is the CRISPR Patent Rights category or the TALE Patent Rights category, each Institution may give written notice to Company stating such Institution’s intention to terminate the license granted hereunder with respect to the Patent Rights included in such Non-Achieved Category (the CRISPR Patent Rights or the TALE Patent Rights) and controlled by such Institution (such notice, the “</w:t>
      </w:r>
      <w:r>
        <w:rPr>
          <w:rFonts w:ascii="Arial" w:cs="Arial" w:eastAsia="Arial" w:hAnsi="Arial"/>
          <w:sz w:val="16"/>
          <w:szCs w:val="16"/>
          <w:b w:val="1"/>
          <w:bCs w:val="1"/>
          <w:color w:val="auto"/>
        </w:rPr>
        <w:t>Category Termination Notice</w:t>
      </w:r>
      <w:r>
        <w:rPr>
          <w:rFonts w:ascii="Arial" w:cs="Arial" w:eastAsia="Arial" w:hAnsi="Arial"/>
          <w:sz w:val="16"/>
          <w:szCs w:val="16"/>
          <w:color w:val="auto"/>
        </w:rPr>
        <w:t>”). Company may, within [**] business days of receipt of the Category Termination Notice, provide a list, on a country-by country basis, of Valid Claims within the applicable Patent Rights Category to be terminated that Company reasonably believes would, if presented on a stand-alone basis, be included in either the CRISPR Patent Rights category or the TALE Patent Rights category (if such Patent Rights Category is not a Non-Achieved Category) and together with such list shall provide a reasonably detailed written explanation of the basis for the proposed</w:t>
      </w:r>
    </w:p>
    <w:p>
      <w:pPr>
        <w:sectPr>
          <w:pgSz w:w="11900" w:h="16932" w:orient="portrait"/>
          <w:cols w:equalWidth="0" w:num="1">
            <w:col w:w="11420"/>
          </w:cols>
          <w:pgMar w:left="240" w:top="125" w:right="239" w:bottom="0" w:gutter="0" w:footer="0" w:header="0"/>
        </w:sectPr>
      </w:pPr>
    </w:p>
    <w:bookmarkStart w:id="312" w:name="page313"/>
    <w:bookmarkEnd w:id="312"/>
    <w:p>
      <w:pPr>
        <w:spacing w:after="0" w:line="292" w:lineRule="auto"/>
        <w:rPr>
          <w:sz w:val="20"/>
          <w:szCs w:val="20"/>
          <w:color w:val="auto"/>
        </w:rPr>
      </w:pPr>
      <w:r>
        <w:rPr>
          <w:rFonts w:ascii="Arial" w:cs="Arial" w:eastAsia="Arial" w:hAnsi="Arial"/>
          <w:sz w:val="16"/>
          <w:szCs w:val="16"/>
          <w:color w:val="auto"/>
        </w:rPr>
        <w:t>recategorization of each such Valid Claim (the “</w:t>
      </w:r>
      <w:r>
        <w:rPr>
          <w:rFonts w:ascii="Arial" w:cs="Arial" w:eastAsia="Arial" w:hAnsi="Arial"/>
          <w:sz w:val="16"/>
          <w:szCs w:val="16"/>
          <w:b w:val="1"/>
          <w:bCs w:val="1"/>
          <w:color w:val="auto"/>
        </w:rPr>
        <w:t>Response Notice</w:t>
      </w:r>
      <w:r>
        <w:rPr>
          <w:rFonts w:ascii="Arial" w:cs="Arial" w:eastAsia="Arial" w:hAnsi="Arial"/>
          <w:sz w:val="16"/>
          <w:szCs w:val="16"/>
          <w:color w:val="auto"/>
        </w:rPr>
        <w:t>”). If Company does not provide a Response Notice within [**] business days of Company’s receipt of the Category Termination Notice, then Institution may provide notice of termination with respect to the Patent Rights controlled by such Institution within the Patent Rights Category to be terminated, the exclusive and/or non-exclusive license under such Valid Claims or Patent Rights granted hereunder shall terminate in accordance with such notice by Institution, and Institution shall be free without notice or obligation to Company to use or grant rights in and to such Patent Rights and Valid Claims such Institution controls, without limitation. If Company provides a Response Notice, then upon receipt of the Response Notice Institution may provide notice of termination, effective in accordance with such notice, with respect to any Valid Claims or Patent Rights within the Patent Rights Category to be terminated that are controlled by such Institution and are not identified in the Response Notice,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exclusive and/or non-exclusive license under such Valid Claims or Patent Rights granted hereunder shall terminate in accordance with such notice by Institution, and such Institution shall be free without notice or obligation to Company to use or grant rights in and to such Patent Rights and Valid Claims such Institution controls, without limitation. With respect to Valid Claims of the Non-Achieved Category that are included in Company’s Response Notice, within</w:t>
      </w:r>
    </w:p>
    <w:p>
      <w:pPr>
        <w:ind w:firstLine="8"/>
        <w:spacing w:after="0" w:line="284" w:lineRule="auto"/>
        <w:tabs>
          <w:tab w:leader="none" w:pos="34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calendar days of Institution’s receipt of such notice (the “</w:t>
      </w:r>
      <w:r>
        <w:rPr>
          <w:rFonts w:ascii="Arial" w:cs="Arial" w:eastAsia="Arial" w:hAnsi="Arial"/>
          <w:sz w:val="16"/>
          <w:szCs w:val="16"/>
          <w:b w:val="1"/>
          <w:bCs w:val="1"/>
          <w:color w:val="auto"/>
        </w:rPr>
        <w:t>Response Period</w:t>
      </w:r>
      <w:r>
        <w:rPr>
          <w:rFonts w:ascii="Arial" w:cs="Arial" w:eastAsia="Arial" w:hAnsi="Arial"/>
          <w:sz w:val="16"/>
          <w:szCs w:val="16"/>
          <w:color w:val="auto"/>
        </w:rPr>
        <w:t>”), if the Institution controlling such Valid Claims does not agree that the identified Valid Claims should be recategorized, such Institution shall notify Company thereof and Company shall be entitled, within [**] business days of receipt of such notice from Institution, to notify Institution that Company elects to submit the matter to a qualified Third Party expert mutually agreed by the Parties (and paid for by Company), which submission shall occur within [**] days of Company’s notice of such election, for determination by such Third Party expert whether categorization of such Valid Claims into the other Patent Rights Category (either the CRISPR Patent Rights category or the TALE Patent Rights category) is appropriate, which determination shall be binding upon the Parties. If (i) the Institution controlling such Valid Claims does not notify Company of such disagreement within the Response Period, (ii) within the Response Period such Institution notifies Company in writing that it agrees that the identified Valid Claims in the Response Notice should be recategorized, or (iii) the qualified Third Party expert determines that such Valid Claims would, if presented on a stand-alone basis, be categorized in the other Patent Rights Category (either the CRISPR Patent Rights or TALE Patent Rights category), then in each case such Valid Claims shall be recategorized accordingly into the other Patent Rights Category. If (a) Company does not notify the Institution of its election to submit the matter to a Third Party expert, or does not submit the matter in accordance with the requirements above, (b) the Third Party expert determines that some or all of such Valid Claims would not, if presented on a stand-alone basis, be categorized in another Patent Rights Category or (c) Company notifies Institutions in writing that Company agrees that some or all of the Valid Claims identified in the Response Notice should not be recategorized, then in each case such Valid Claims shall not be recategorized, Institution may provide notice of termination with respect to such Valid Claims or Patent Rights within the Patent Rights Category to be terminated, the exclusive and/or non-exclusive license under such Valid Claims or Patent Rights granted hereunder shall terminate in accordance with such notice by Institution and such Institution shall be free without notice or obligation to Company to use or grant rights in and to such Patent Rights and Valid Claims such Institution controls, without limitation.</w:t>
      </w:r>
    </w:p>
    <w:p>
      <w:pPr>
        <w:spacing w:after="0" w:line="174"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7"/>
          <w:szCs w:val="17"/>
          <w:color w:val="auto"/>
        </w:rPr>
        <w:t>3.1.2.</w:t>
      </w:r>
      <w:r>
        <w:rPr>
          <w:rFonts w:ascii="Arial" w:cs="Arial" w:eastAsia="Arial" w:hAnsi="Arial"/>
          <w:sz w:val="17"/>
          <w:szCs w:val="17"/>
          <w:u w:val="single" w:color="auto"/>
          <w:color w:val="auto"/>
        </w:rPr>
        <w:t>Delivery Patent Rights</w:t>
      </w:r>
      <w:r>
        <w:rPr>
          <w:rFonts w:ascii="Arial" w:cs="Arial" w:eastAsia="Arial" w:hAnsi="Arial"/>
          <w:sz w:val="17"/>
          <w:szCs w:val="17"/>
          <w:color w:val="auto"/>
        </w:rPr>
        <w:t>. If such Non-Achieved Category is the Delivery Patent Rights, then the relevant Institution may, upon written notice to Company thereof, terminate the exclusive and/or non-exclusive license under the Valid Claims and Patent Rights within the Delivery Patent Rights granted hereunder in accordance with such notice by such Institution, in which case such Institution shall be free without notice or obligation to Company to use or grant rights in and to such Patent Rights and Valid Claims such Institution controls, without limitation; provided that the exclusive license under Valid Claims of the Delivery Patent Rights shall be converted to a non-exclusive license and shall remain in effect solely with respect to any existing Licensed Products that are Covered by such Valid Claims and have received Regulatory Approval, or are being developed under an IND, as of the effective date of termination of the license under the Delivery Patent Rights.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3.2. Development Plan; Adjustments. </w:t>
      </w:r>
      <w:r>
        <w:rPr>
          <w:rFonts w:ascii="Arial" w:cs="Arial" w:eastAsia="Arial" w:hAnsi="Arial"/>
          <w:sz w:val="18"/>
          <w:szCs w:val="18"/>
          <w:color w:val="auto"/>
        </w:rPr>
        <w:t>The Development Plan for the development and commercialization of Licensed Products,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Enabled Products and Enabled Services is attached hereto as Exhibit 3.2. Company shall be entitled, from time to time, to make such commercially reasonable adjustments to the Development Plan as Company believes, in its good faith judgment, are needed in order to improve Company’s ability to meet the Development Milestones in Exhibit 3.1.</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 xml:space="preserve">Reporting. </w:t>
      </w:r>
      <w:r>
        <w:rPr>
          <w:rFonts w:ascii="Arial" w:cs="Arial" w:eastAsia="Arial" w:hAnsi="Arial"/>
          <w:sz w:val="16"/>
          <w:szCs w:val="16"/>
          <w:color w:val="auto"/>
        </w:rPr>
        <w:t>Within [**] days after the end of each Calendar Year, Company shall furnish Institutions with:</w:t>
      </w:r>
    </w:p>
    <w:p>
      <w:pPr>
        <w:spacing w:after="0" w:line="229" w:lineRule="exact"/>
        <w:rPr>
          <w:sz w:val="20"/>
          <w:szCs w:val="20"/>
          <w:color w:val="auto"/>
        </w:rPr>
      </w:pPr>
    </w:p>
    <w:p>
      <w:pPr>
        <w:ind w:right="240" w:firstLine="1297"/>
        <w:spacing w:after="0" w:line="288" w:lineRule="auto"/>
        <w:rPr>
          <w:sz w:val="20"/>
          <w:szCs w:val="20"/>
          <w:color w:val="auto"/>
        </w:rPr>
      </w:pPr>
      <w:r>
        <w:rPr>
          <w:rFonts w:ascii="Arial" w:cs="Arial" w:eastAsia="Arial" w:hAnsi="Arial"/>
          <w:sz w:val="16"/>
          <w:szCs w:val="16"/>
          <w:color w:val="auto"/>
        </w:rPr>
        <w:t>3.3.1.a written report summarizing its, its Affiliates’ and its Sublicensees’ efforts during the prior year to develop and commercialize Licensed Products within the Field, including: (a) research and development activities, including information regarding specific Licensed Products and Enabled Products in development and their therapeutic applications; (b) status of applications for Regulatory Approvals; (c) commercialization efforts; and</w:t>
      </w:r>
    </w:p>
    <w:p>
      <w:pPr>
        <w:ind w:right="260" w:firstLine="8"/>
        <w:spacing w:after="0" w:line="273" w:lineRule="auto"/>
        <w:tabs>
          <w:tab w:leader="none" w:pos="25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marketing efforts; which report must contain a sufficient level of detail for Institutions to assess whether Company is in compliance with its obligations under Article 3 and a discussion of intended efforts for the then current year. Together with each report prepared and provided under this Section 3.3.1, Company shall provide Institutions with a copy of the then-current Development Plan which shall include sufficient detail to enable Institutions to assess what Licensed Products and Enabled Products are in development and the status of such development; and</w:t>
      </w:r>
    </w:p>
    <w:p>
      <w:pPr>
        <w:spacing w:after="0" w:line="177"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3.3.2.a brief written report summarizing its, its Affiliates’ and its Sublicensees’ efforts during the prior year to develop and commercialize Licensed Products outside of the Field, Enabled Products, Licensed Services and Enabled Services.</w:t>
      </w:r>
    </w:p>
    <w:p>
      <w:pPr>
        <w:spacing w:after="0" w:line="16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3.4. Failure to Meet Development Milestone; Opportunity to Cure. </w:t>
      </w:r>
      <w:r>
        <w:rPr>
          <w:rFonts w:ascii="Arial" w:cs="Arial" w:eastAsia="Arial" w:hAnsi="Arial"/>
          <w:sz w:val="16"/>
          <w:szCs w:val="16"/>
          <w:color w:val="auto"/>
        </w:rPr>
        <w:t>If Company believes that, despite using commercially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it will not achieve a Development Milestone, it may notify Institutions in writing in advance of the relevant deadline. Company shall include with such notice (a) a reasonable explanation of the reasons for such failure (lack of finances or development preference for a non-Licensed Product shall not constitute reasonable basis for such failure) (“</w:t>
      </w:r>
      <w:r>
        <w:rPr>
          <w:rFonts w:ascii="Arial" w:cs="Arial" w:eastAsia="Arial" w:hAnsi="Arial"/>
          <w:sz w:val="16"/>
          <w:szCs w:val="16"/>
          <w:b w:val="1"/>
          <w:bCs w:val="1"/>
          <w:color w:val="auto"/>
        </w:rPr>
        <w:t>Milestone Explanation</w:t>
      </w:r>
      <w:r>
        <w:rPr>
          <w:rFonts w:ascii="Arial" w:cs="Arial" w:eastAsia="Arial" w:hAnsi="Arial"/>
          <w:sz w:val="16"/>
          <w:szCs w:val="16"/>
          <w:color w:val="auto"/>
        </w:rPr>
        <w:t>”) and (b) a reasonable, detailed, written plan for promptly achieving a reasonable extended and/or amended milestone, which plan shall include information regarding which Institution’s Patent Rights Cover the Licensed Product that will achieve such milestone (“</w:t>
      </w:r>
      <w:r>
        <w:rPr>
          <w:rFonts w:ascii="Arial" w:cs="Arial" w:eastAsia="Arial" w:hAnsi="Arial"/>
          <w:sz w:val="16"/>
          <w:szCs w:val="16"/>
          <w:b w:val="1"/>
          <w:bCs w:val="1"/>
          <w:color w:val="auto"/>
        </w:rPr>
        <w:t>Milestone Plan</w:t>
      </w:r>
      <w:r>
        <w:rPr>
          <w:rFonts w:ascii="Arial" w:cs="Arial" w:eastAsia="Arial" w:hAnsi="Arial"/>
          <w:sz w:val="16"/>
          <w:szCs w:val="16"/>
          <w:color w:val="auto"/>
        </w:rPr>
        <w:t>”). If Company so notifies Institutions, but fails to provide Institutions with both a Milestone Explanation and Milestone Plan, then Company shall have an additional [**] days or until the original deadline of the relevant Development Milestone, whichever is later, to meet such milestone. Company’s failure to do so shall constitute a material breach of this Agreement and Institutions shall have the right to terminate this Agreement upon written notice to Company. If Company so notifies Institutions and provides Institutions with a Milestone Explanation and Milestone Plan, both of which are reasonably acceptable to the Institution(s) whose Patent Rights Cover the applicable Licensed Product that is the subject of the Milestone Plan, then Exhibit 3.1 shall be amended automatically to incorporate the extended and/or amended milestone set forth in the Milestone Plan. If Company so notifies Institutions and provides Institutions with a Milestone Explanation and Milestone Plan, but the Milestone Explanation is not reasonably acceptable to the Institution(s) whose Patent Rights Cover the applicable Licensed Product that is the subject of the Milestone</w:t>
      </w:r>
    </w:p>
    <w:p>
      <w:pPr>
        <w:sectPr>
          <w:pgSz w:w="11900" w:h="16838" w:orient="portrait"/>
          <w:cols w:equalWidth="0" w:num="1">
            <w:col w:w="11420"/>
          </w:cols>
          <w:pgMar w:left="240" w:top="121" w:right="239" w:bottom="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Plan (e.g., Company asserts lack of finances or development preference for a non-Licensed Product), then such Institution(s) shall notify Company that the Milestone Explanation is not acceptable and explain to Company why the Milestone Plan is not acceptable and Company shall have an additional [**] days or until the original deadline of the relevant Development Milestone, whichever is later, to meet such milestone. Company’s failure to do so shall constitute a material breach of this Agreement, and Institutions shall have the right to terminate this Agreement upon written notice to Company. If Company so notifies Institutions and provides Institutions with a Milestone Explanation and Milestone Plan, but the Milestone Plan is not reasonably acceptable to the Institution(s) whose Patent Rights Cover the applicable Licensed Product that is the subject of the Milestone Plan, then such Institution(s) shall notify Company that the Milestone Plan is not reasonably acceptable, explain to Company why the Milestone Plan is not reasonably acceptable and shall provide Company with suggestions for a reasonably acceptable Milestone Plan. Company shall have one opportunity to provide Institutions with a Milestone Plan reasonably acceptable to the Institution(s) whose Patent Rights Cover the applicable Licensed Product that is the subject of the Milestone Plan within [**] days of the notice from Institution(s) described in the previous sentence, during which time the Institution(s) whose Patent Rights Cover the applicable Licensed Product that is the subject of the Milestone Plan agrees to work with Company in its effort to develop a reasonably acceptable Milestone Plan. If, within such [**] days, Company provides Institutions with a Milestone Plan reasonably acceptable to the Institution(s) whose Patent Rights Cover the applicable Licensed Product that is the subject of the Milestone Plan, then Exhibit 3.1 shall be amended automatically to incorporate the extended and/or amended milestone set forth in the Milestone Plan. If, within such [**] days, Company fails to provide a Milestone Plan reasonably acceptable to the Institution(s) whose Patent Rights Cover the applicable Licensed Product that is the subject of the Milestone Plan, then Company shall have an additional [**] days or until the original deadline of the relevant Development Milestone, whichever is later, to meet such milestone. Company’s failure to do so shall constitute a material breach of this Agreement and Institutions shall have the right to terminate this Agreement upon written notice to Company. For clarity, if Company fails to achieve a Development Milestone and does not avail itself of the procedure set forth in this Section 3.4, then Institutions may treat such failure as a material breach and terminate this Agreement upon written notice to Company. Disputes arising under this Section 3.4 shall not be subject to resolution by the Executive Officers under Section 11.7.</w:t>
      </w:r>
    </w:p>
    <w:p>
      <w:pPr>
        <w:spacing w:after="0" w:line="184"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FOR GRANT OF LICENSE.</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4.1. Division of Consideration</w:t>
      </w:r>
      <w:r>
        <w:rPr>
          <w:rFonts w:ascii="Arial" w:cs="Arial" w:eastAsia="Arial" w:hAnsi="Arial"/>
          <w:sz w:val="18"/>
          <w:szCs w:val="18"/>
          <w:color w:val="auto"/>
        </w:rPr>
        <w:t>. Each element of consideration set forth in this Article 4 (i.e., the License Issue Fee, each Maintenance Fee,</w:t>
      </w:r>
      <w:r>
        <w:rPr>
          <w:rFonts w:ascii="Arial" w:cs="Arial" w:eastAsia="Arial" w:hAnsi="Arial"/>
          <w:sz w:val="18"/>
          <w:szCs w:val="18"/>
          <w:b w:val="1"/>
          <w:bCs w:val="1"/>
          <w:color w:val="auto"/>
        </w:rPr>
        <w:t xml:space="preserve"> </w:t>
      </w:r>
      <w:r>
        <w:rPr>
          <w:rFonts w:ascii="Arial" w:cs="Arial" w:eastAsia="Arial" w:hAnsi="Arial"/>
          <w:sz w:val="18"/>
          <w:szCs w:val="18"/>
          <w:color w:val="auto"/>
        </w:rPr>
        <w:t>each Milestone Payment, all Sublicense Income, all Royalties and the Shares) shall be provided by Company to each Institution in split amounts, with [**] percent ([**]%) of the applicable consideration paid to Harvard and [**] percent ([**]%) of the applicable consideration paid to Broad in accordance with the payment methods set forth in Section 5.5 hereof.</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 xml:space="preserve">License Issue Fee. </w:t>
      </w:r>
      <w:r>
        <w:rPr>
          <w:rFonts w:ascii="Arial" w:cs="Arial" w:eastAsia="Arial" w:hAnsi="Arial"/>
          <w:sz w:val="16"/>
          <w:szCs w:val="16"/>
          <w:color w:val="auto"/>
        </w:rPr>
        <w:t>Company shall pay Institutions a non-refundable license fee (“</w:t>
      </w:r>
      <w:r>
        <w:rPr>
          <w:rFonts w:ascii="Arial" w:cs="Arial" w:eastAsia="Arial" w:hAnsi="Arial"/>
          <w:sz w:val="16"/>
          <w:szCs w:val="16"/>
          <w:b w:val="1"/>
          <w:bCs w:val="1"/>
          <w:color w:val="auto"/>
        </w:rPr>
        <w:t>License Issue Fee</w:t>
      </w:r>
      <w:r>
        <w:rPr>
          <w:rFonts w:ascii="Arial" w:cs="Arial" w:eastAsia="Arial" w:hAnsi="Arial"/>
          <w:sz w:val="16"/>
          <w:szCs w:val="16"/>
          <w:color w:val="auto"/>
        </w:rPr>
        <w:t>”) of two hundred forty thousand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Dollars ($240,000), due and payable within [**] days after the Effective Date.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 xml:space="preserve">Annual License Maintenance Fees. </w:t>
      </w:r>
      <w:r>
        <w:rPr>
          <w:rFonts w:ascii="Arial" w:cs="Arial" w:eastAsia="Arial" w:hAnsi="Arial"/>
          <w:sz w:val="16"/>
          <w:szCs w:val="16"/>
          <w:color w:val="auto"/>
        </w:rPr>
        <w:t>Company agrees to pay Institutions annual license maintenance fees (“</w:t>
      </w:r>
      <w:r>
        <w:rPr>
          <w:rFonts w:ascii="Arial" w:cs="Arial" w:eastAsia="Arial" w:hAnsi="Arial"/>
          <w:sz w:val="16"/>
          <w:szCs w:val="16"/>
          <w:b w:val="1"/>
          <w:bCs w:val="1"/>
          <w:color w:val="auto"/>
        </w:rPr>
        <w:t>Maintenance Fees</w:t>
      </w:r>
      <w:r>
        <w:rPr>
          <w:rFonts w:ascii="Arial" w:cs="Arial" w:eastAsia="Arial" w:hAnsi="Arial"/>
          <w:sz w:val="16"/>
          <w:szCs w:val="16"/>
          <w:color w:val="auto"/>
        </w:rPr>
        <w:t>”)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Calendar Years</w:t>
            </w:r>
          </w:p>
        </w:tc>
        <w:tc>
          <w:tcPr>
            <w:tcW w:w="240" w:type="dxa"/>
            <w:vAlign w:val="bottom"/>
            <w:tcBorders>
              <w:bottom w:val="single" w:sz="8" w:color="CCEEFF"/>
            </w:tcBorders>
          </w:tcPr>
          <w:p>
            <w:pPr>
              <w:spacing w:after="0"/>
              <w:rPr>
                <w:sz w:val="14"/>
                <w:szCs w:val="14"/>
                <w:color w:val="auto"/>
              </w:rPr>
            </w:pPr>
          </w:p>
        </w:tc>
        <w:tc>
          <w:tcPr>
            <w:tcW w:w="24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Maintenance Fee</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2016 - [**]</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2059"/>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 and each subsequent Calendar Year during the Term</w:t>
            </w:r>
          </w:p>
        </w:tc>
        <w:tc>
          <w:tcPr>
            <w:tcW w:w="2680" w:type="dxa"/>
            <w:vAlign w:val="bottom"/>
            <w:gridSpan w:val="2"/>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160" w:firstLine="1297"/>
        <w:spacing w:after="0" w:line="234" w:lineRule="auto"/>
        <w:rPr>
          <w:sz w:val="20"/>
          <w:szCs w:val="20"/>
          <w:color w:val="auto"/>
        </w:rPr>
      </w:pPr>
      <w:r>
        <w:rPr>
          <w:rFonts w:ascii="Arial" w:cs="Arial" w:eastAsia="Arial" w:hAnsi="Arial"/>
          <w:sz w:val="18"/>
          <w:szCs w:val="18"/>
          <w:color w:val="auto"/>
        </w:rPr>
        <w:t>4.3.1.Each Maintenance Fee shall be due and payable on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Calendar Year to which such fee applies and shall be creditable against any Royalties due and payable under Section 4.5 below with respect to Licensed Products, Licensed Services, Enabled Products or Enabled Services sold in the same Calendar Year that such Maintenance Fee was due.</w:t>
      </w:r>
    </w:p>
    <w:p>
      <w:pPr>
        <w:spacing w:after="0" w:line="1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Milestone Payments.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4.4.1.</w:t>
      </w:r>
      <w:r>
        <w:rPr>
          <w:rFonts w:ascii="Arial" w:cs="Arial" w:eastAsia="Arial" w:hAnsi="Arial"/>
          <w:sz w:val="18"/>
          <w:szCs w:val="18"/>
          <w:u w:val="single" w:color="auto"/>
          <w:color w:val="auto"/>
        </w:rPr>
        <w:t>Schedule 1 Products</w:t>
      </w:r>
      <w:r>
        <w:rPr>
          <w:rFonts w:ascii="Arial" w:cs="Arial" w:eastAsia="Arial" w:hAnsi="Arial"/>
          <w:sz w:val="18"/>
          <w:szCs w:val="18"/>
          <w:color w:val="auto"/>
        </w:rPr>
        <w:t>.</w:t>
      </w:r>
    </w:p>
    <w:p>
      <w:pPr>
        <w:spacing w:after="0" w:line="225" w:lineRule="exact"/>
        <w:rPr>
          <w:sz w:val="20"/>
          <w:szCs w:val="20"/>
          <w:color w:val="auto"/>
        </w:rPr>
      </w:pPr>
    </w:p>
    <w:p>
      <w:pPr>
        <w:ind w:right="200" w:firstLine="1945"/>
        <w:spacing w:after="0" w:line="264" w:lineRule="auto"/>
        <w:rPr>
          <w:sz w:val="20"/>
          <w:szCs w:val="20"/>
          <w:color w:val="auto"/>
        </w:rPr>
      </w:pPr>
      <w:r>
        <w:rPr>
          <w:rFonts w:ascii="Arial" w:cs="Arial" w:eastAsia="Arial" w:hAnsi="Arial"/>
          <w:sz w:val="18"/>
          <w:szCs w:val="18"/>
          <w:color w:val="auto"/>
        </w:rPr>
        <w:t>4.4.1.1.</w:t>
      </w:r>
      <w:r>
        <w:rPr>
          <w:rFonts w:ascii="Arial" w:cs="Arial" w:eastAsia="Arial" w:hAnsi="Arial"/>
          <w:sz w:val="18"/>
          <w:szCs w:val="18"/>
          <w:i w:val="1"/>
          <w:iCs w:val="1"/>
          <w:color w:val="auto"/>
        </w:rPr>
        <w:t>Milestone Payments for Schedule 1 Products</w:t>
      </w:r>
      <w:r>
        <w:rPr>
          <w:rFonts w:ascii="Arial" w:cs="Arial" w:eastAsia="Arial" w:hAnsi="Arial"/>
          <w:sz w:val="18"/>
          <w:szCs w:val="18"/>
          <w:color w:val="auto"/>
        </w:rPr>
        <w:t>. Company shall pay Institutions the Milestone Payments set forth in this Section 4.4.1.1 with respect to each Single Schedule 1 Product to achieve each Milestone Event, regardless of whether such Milestone Event is achieved by Company, an Affiliate of Company or a Sublicensee:</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 Event</w:t>
            </w:r>
          </w:p>
        </w:tc>
        <w:tc>
          <w:tcPr>
            <w:tcW w:w="240" w:type="dxa"/>
            <w:vAlign w:val="bottom"/>
            <w:tcBorders>
              <w:bottom w:val="single" w:sz="8" w:color="CCEEFF"/>
            </w:tcBorders>
          </w:tcPr>
          <w:p>
            <w:pPr>
              <w:spacing w:after="0"/>
              <w:rPr>
                <w:sz w:val="14"/>
                <w:szCs w:val="14"/>
                <w:color w:val="auto"/>
              </w:rPr>
            </w:pPr>
          </w:p>
        </w:tc>
        <w:tc>
          <w:tcPr>
            <w:tcW w:w="24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Milestone Payment</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2059"/>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80" w:type="dxa"/>
            <w:vAlign w:val="bottom"/>
            <w:gridSpan w:val="2"/>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2059"/>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80" w:type="dxa"/>
            <w:vAlign w:val="bottom"/>
            <w:gridSpan w:val="2"/>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Company shall notify Institutions in writing within [**] days following the achievement of each Milestone Event described in Section 4.4.1.1, and shall make the appropriate Milestone Payment within [**] days after the achievement of such Milestone Event. Each Milestone Payment is payable only once for each Single Schedule 1 Product. The Milestone Events set forth in Section 4.4.1.1 are intended to be successive; if a Single Schedule 1 Product is not required to undergo the event associated with a particular Milestone Event for a Single Schedule 1 Product (“</w:t>
      </w:r>
      <w:r>
        <w:rPr>
          <w:rFonts w:ascii="Arial" w:cs="Arial" w:eastAsia="Arial" w:hAnsi="Arial"/>
          <w:sz w:val="18"/>
          <w:szCs w:val="18"/>
          <w:b w:val="1"/>
          <w:bCs w:val="1"/>
          <w:color w:val="auto"/>
        </w:rPr>
        <w:t>Skipped Milestone</w:t>
      </w:r>
      <w:r>
        <w:rPr>
          <w:rFonts w:ascii="Arial" w:cs="Arial" w:eastAsia="Arial" w:hAnsi="Arial"/>
          <w:sz w:val="18"/>
          <w:szCs w:val="18"/>
          <w:color w:val="auto"/>
        </w:rPr>
        <w:t>”), such Skipped Milestone shall be deemed to have been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56" w:gutter="0" w:footer="0" w:header="0"/>
        </w:sectPr>
      </w:pPr>
    </w:p>
    <w:bookmarkStart w:id="314" w:name="page315"/>
    <w:bookmarkEnd w:id="314"/>
    <w:p>
      <w:pPr>
        <w:ind w:right="160"/>
        <w:spacing w:after="0" w:line="261" w:lineRule="auto"/>
        <w:rPr>
          <w:sz w:val="20"/>
          <w:szCs w:val="20"/>
          <w:color w:val="auto"/>
        </w:rPr>
      </w:pPr>
      <w:r>
        <w:rPr>
          <w:rFonts w:ascii="Arial" w:cs="Arial" w:eastAsia="Arial" w:hAnsi="Arial"/>
          <w:sz w:val="18"/>
          <w:szCs w:val="18"/>
          <w:color w:val="auto"/>
        </w:rPr>
        <w:t>achieved upon the achievement by such Single Schedule 1 Product of the next successive Milestone Event (“</w:t>
      </w:r>
      <w:r>
        <w:rPr>
          <w:rFonts w:ascii="Arial" w:cs="Arial" w:eastAsia="Arial" w:hAnsi="Arial"/>
          <w:sz w:val="18"/>
          <w:szCs w:val="18"/>
          <w:b w:val="1"/>
          <w:bCs w:val="1"/>
          <w:color w:val="auto"/>
        </w:rPr>
        <w:t>Achieved Milestone</w:t>
      </w:r>
      <w:r>
        <w:rPr>
          <w:rFonts w:ascii="Arial" w:cs="Arial" w:eastAsia="Arial" w:hAnsi="Arial"/>
          <w:sz w:val="18"/>
          <w:szCs w:val="18"/>
          <w:color w:val="auto"/>
        </w:rPr>
        <w:t>”); provided that the Milestone Event for [**] shall not be deemed to be successive with [**] (i.e., if the Milestone Event for [**] occurs prior to the Milestone Event for [**], the Milestone Event for [**] shall not be deemed a Skipped Milestone). Payment for any Skipped Milestone that is owed in accordance with the provisions of this Section 4.4.1.1 shall be due within [**] days after the achievement of the Achieved Milestone.</w:t>
      </w:r>
    </w:p>
    <w:p>
      <w:pPr>
        <w:spacing w:after="0" w:line="184" w:lineRule="exact"/>
        <w:rPr>
          <w:sz w:val="20"/>
          <w:szCs w:val="20"/>
          <w:color w:val="auto"/>
        </w:rPr>
      </w:pPr>
    </w:p>
    <w:p>
      <w:pPr>
        <w:jc w:val="both"/>
        <w:ind w:right="60" w:firstLine="1945"/>
        <w:spacing w:after="0" w:line="259" w:lineRule="auto"/>
        <w:rPr>
          <w:sz w:val="20"/>
          <w:szCs w:val="20"/>
          <w:color w:val="auto"/>
        </w:rPr>
      </w:pPr>
      <w:r>
        <w:rPr>
          <w:rFonts w:ascii="Arial" w:cs="Arial" w:eastAsia="Arial" w:hAnsi="Arial"/>
          <w:sz w:val="18"/>
          <w:szCs w:val="18"/>
          <w:color w:val="auto"/>
        </w:rPr>
        <w:t>4.4.1.2.</w:t>
      </w:r>
      <w:r>
        <w:rPr>
          <w:rFonts w:ascii="Arial" w:cs="Arial" w:eastAsia="Arial" w:hAnsi="Arial"/>
          <w:sz w:val="18"/>
          <w:szCs w:val="18"/>
          <w:i w:val="1"/>
          <w:iCs w:val="1"/>
          <w:color w:val="auto"/>
        </w:rPr>
        <w:t>Sales Milestones for Schedule 1 Products</w:t>
      </w:r>
      <w:r>
        <w:rPr>
          <w:rFonts w:ascii="Arial" w:cs="Arial" w:eastAsia="Arial" w:hAnsi="Arial"/>
          <w:sz w:val="18"/>
          <w:szCs w:val="18"/>
          <w:color w:val="auto"/>
        </w:rPr>
        <w:t>. Company shall pay Institutions, within [**] days of the end of the Calendar Year in which the following sales Milestone Events are first achieved, the following Milestone Payments with respect to each Single Schedule 1 Product to achieve each sales Milestone Event, regardless of whether such Milestone Event is achieved by Company, an Affiliate of Company or a Sublicensee, or a combination thereof:</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 Event</w:t>
            </w:r>
          </w:p>
        </w:tc>
        <w:tc>
          <w:tcPr>
            <w:tcW w:w="240" w:type="dxa"/>
            <w:vAlign w:val="bottom"/>
            <w:tcBorders>
              <w:bottom w:val="single" w:sz="8" w:color="CCEEFF"/>
            </w:tcBorders>
          </w:tcPr>
          <w:p>
            <w:pPr>
              <w:spacing w:after="0"/>
              <w:rPr>
                <w:sz w:val="14"/>
                <w:szCs w:val="14"/>
                <w:color w:val="auto"/>
              </w:rPr>
            </w:pPr>
          </w:p>
        </w:tc>
        <w:tc>
          <w:tcPr>
            <w:tcW w:w="24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Milestone Payment</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 in aggregate Net Sales</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 in aggregate Net Sales</w:t>
            </w:r>
          </w:p>
        </w:tc>
        <w:tc>
          <w:tcPr>
            <w:tcW w:w="2680" w:type="dxa"/>
            <w:vAlign w:val="bottom"/>
            <w:gridSpan w:val="2"/>
          </w:tcPr>
          <w:p>
            <w:pPr>
              <w:jc w:val="right"/>
              <w:ind w:right="2059"/>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720" w:firstLine="1945"/>
        <w:spacing w:after="0" w:line="277" w:lineRule="auto"/>
        <w:rPr>
          <w:sz w:val="20"/>
          <w:szCs w:val="20"/>
          <w:color w:val="auto"/>
        </w:rPr>
      </w:pPr>
      <w:r>
        <w:rPr>
          <w:rFonts w:ascii="Arial" w:cs="Arial" w:eastAsia="Arial" w:hAnsi="Arial"/>
          <w:sz w:val="18"/>
          <w:szCs w:val="18"/>
          <w:color w:val="auto"/>
        </w:rPr>
        <w:t>4.4.1.3.</w:t>
      </w:r>
      <w:r>
        <w:rPr>
          <w:rFonts w:ascii="Arial" w:cs="Arial" w:eastAsia="Arial" w:hAnsi="Arial"/>
          <w:sz w:val="18"/>
          <w:szCs w:val="18"/>
          <w:i w:val="1"/>
          <w:iCs w:val="1"/>
          <w:color w:val="auto"/>
        </w:rPr>
        <w:t>Adjustment for Enabled Products</w:t>
      </w:r>
      <w:r>
        <w:rPr>
          <w:rFonts w:ascii="Arial" w:cs="Arial" w:eastAsia="Arial" w:hAnsi="Arial"/>
          <w:sz w:val="18"/>
          <w:szCs w:val="18"/>
          <w:color w:val="auto"/>
        </w:rPr>
        <w:t>. The Milestone Payments set forth in Section 4.4.1.1 or 4.4.1.2 above for Single Schedule 1 Products shall be reduced by [**]% for any Single Schedule 1 Product that is an Enabled Product.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4.4.2.</w:t>
      </w:r>
      <w:r>
        <w:rPr>
          <w:rFonts w:ascii="Arial" w:cs="Arial" w:eastAsia="Arial" w:hAnsi="Arial"/>
          <w:sz w:val="18"/>
          <w:szCs w:val="18"/>
          <w:u w:val="single" w:color="auto"/>
          <w:color w:val="auto"/>
        </w:rPr>
        <w:t>Schedule 2 Products</w:t>
      </w:r>
      <w:r>
        <w:rPr>
          <w:rFonts w:ascii="Arial" w:cs="Arial" w:eastAsia="Arial" w:hAnsi="Arial"/>
          <w:sz w:val="18"/>
          <w:szCs w:val="18"/>
          <w:color w:val="auto"/>
        </w:rPr>
        <w:t>.</w:t>
      </w:r>
    </w:p>
    <w:p>
      <w:pPr>
        <w:spacing w:after="0" w:line="225" w:lineRule="exact"/>
        <w:rPr>
          <w:sz w:val="20"/>
          <w:szCs w:val="20"/>
          <w:color w:val="auto"/>
        </w:rPr>
      </w:pPr>
    </w:p>
    <w:p>
      <w:pPr>
        <w:ind w:right="240" w:firstLine="1945"/>
        <w:spacing w:after="0" w:line="264" w:lineRule="auto"/>
        <w:rPr>
          <w:sz w:val="20"/>
          <w:szCs w:val="20"/>
          <w:color w:val="auto"/>
        </w:rPr>
      </w:pPr>
      <w:r>
        <w:rPr>
          <w:rFonts w:ascii="Arial" w:cs="Arial" w:eastAsia="Arial" w:hAnsi="Arial"/>
          <w:sz w:val="18"/>
          <w:szCs w:val="18"/>
          <w:color w:val="auto"/>
        </w:rPr>
        <w:t>4.4.2.1.</w:t>
      </w:r>
      <w:r>
        <w:rPr>
          <w:rFonts w:ascii="Arial" w:cs="Arial" w:eastAsia="Arial" w:hAnsi="Arial"/>
          <w:sz w:val="18"/>
          <w:szCs w:val="18"/>
          <w:i w:val="1"/>
          <w:iCs w:val="1"/>
          <w:color w:val="auto"/>
        </w:rPr>
        <w:t>Milestone Payments for Schedule 2 Products</w:t>
      </w:r>
      <w:r>
        <w:rPr>
          <w:rFonts w:ascii="Arial" w:cs="Arial" w:eastAsia="Arial" w:hAnsi="Arial"/>
          <w:sz w:val="18"/>
          <w:szCs w:val="18"/>
          <w:color w:val="auto"/>
        </w:rPr>
        <w:t>. Company shall pay Institutions the Milestone Payments set forth in this Section 4.4.2.1 with respect to each Single Schedule 2 Product to achieve each Milestone Event, regardless of whether such Milestone Event is achieved by Company, an Affiliate of Company or a Sublicensee: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gridSpan w:val="2"/>
          </w:tcPr>
          <w:p>
            <w:pPr>
              <w:ind w:left="660"/>
              <w:spacing w:after="0"/>
              <w:rPr>
                <w:sz w:val="20"/>
                <w:szCs w:val="20"/>
                <w:color w:val="auto"/>
              </w:rPr>
            </w:pPr>
            <w:r>
              <w:rPr>
                <w:rFonts w:ascii="Arial" w:cs="Arial" w:eastAsia="Arial" w:hAnsi="Arial"/>
                <w:sz w:val="14"/>
                <w:szCs w:val="14"/>
                <w:b w:val="1"/>
                <w:bCs w:val="1"/>
                <w:color w:val="auto"/>
              </w:rPr>
              <w:t>Milestone Event</w:t>
            </w:r>
          </w:p>
        </w:tc>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tcPr>
          <w:p>
            <w:pPr>
              <w:jc w:val="right"/>
              <w:ind w:right="559"/>
              <w:spacing w:after="0"/>
              <w:rPr>
                <w:sz w:val="20"/>
                <w:szCs w:val="20"/>
                <w:color w:val="auto"/>
              </w:rPr>
            </w:pPr>
            <w:r>
              <w:rPr>
                <w:rFonts w:ascii="Arial" w:cs="Arial" w:eastAsia="Arial" w:hAnsi="Arial"/>
                <w:sz w:val="14"/>
                <w:szCs w:val="14"/>
                <w:b w:val="1"/>
                <w:bCs w:val="1"/>
                <w:color w:val="auto"/>
              </w:rPr>
              <w:t>Milestone Payment</w:t>
            </w:r>
          </w:p>
        </w:tc>
        <w:tc>
          <w:tcPr>
            <w:tcW w:w="100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w:t>
            </w:r>
          </w:p>
        </w:tc>
        <w:tc>
          <w:tcPr>
            <w:tcW w:w="6820" w:type="dxa"/>
            <w:vAlign w:val="bottom"/>
            <w:gridSpan w:val="3"/>
          </w:tcPr>
          <w:p>
            <w:pPr>
              <w:jc w:val="right"/>
              <w:ind w:right="2059"/>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20" w:type="dxa"/>
            <w:vAlign w:val="bottom"/>
            <w:gridSpan w:val="3"/>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w:t>
            </w:r>
          </w:p>
        </w:tc>
        <w:tc>
          <w:tcPr>
            <w:tcW w:w="6820" w:type="dxa"/>
            <w:vAlign w:val="bottom"/>
            <w:gridSpan w:val="3"/>
          </w:tcPr>
          <w:p>
            <w:pPr>
              <w:jc w:val="right"/>
              <w:ind w:right="2059"/>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20" w:type="dxa"/>
            <w:vAlign w:val="bottom"/>
            <w:gridSpan w:val="3"/>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w:t>
            </w:r>
          </w:p>
        </w:tc>
        <w:tc>
          <w:tcPr>
            <w:tcW w:w="6820" w:type="dxa"/>
            <w:vAlign w:val="bottom"/>
            <w:gridSpan w:val="3"/>
          </w:tcPr>
          <w:p>
            <w:pPr>
              <w:jc w:val="right"/>
              <w:ind w:right="2059"/>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140" w:type="dxa"/>
            <w:vAlign w:val="bottom"/>
          </w:tcPr>
          <w:p>
            <w:pPr>
              <w:jc w:val="right"/>
              <w:ind w:right="189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00" w:right="3700" w:hanging="1"/>
        <w:spacing w:after="0" w:line="277" w:lineRule="auto"/>
        <w:tabs>
          <w:tab w:leader="none" w:pos="103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Milestone Events subject to Change of Control Multiplier in accordance with Section 4.4.2.4. [**].</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Company shall notify Institutions in writing within [**] days following the achievement of each Milestone Event described in Section 4.4.2.1, and shall make the appropriate Milestone Payment within [**] days after the achievement of such Milestone Event. Each Milestone Payment is payable only once for each Single Schedule 2 Product. The Milestone Events set forth in Section 4.4.2.1 are intended to be successive; if a Skipped Milestone occurs with a particular Milestone Event for a Single Schedule 2 Product, such Skipped Milestone shall be deemed to have been achieved upon the achievement by such Single Schedule 2 Product of the next successive Milestone Event; provided that the Milestone Events based on [**] shall not be deemed to be successive with each other (i.e., if the Milestone Event for [**] occurs prior to the Milestone Event for [**], the Milestone Event for [**] shall not be deemed a Skipped Milestone). Payment for any Skipped Milestone that is owed in accordance with the provisions of this Section 4.4.2.1 shall be due within [**] days after the achievement of the Achieved Milestone.</w:t>
      </w:r>
    </w:p>
    <w:p>
      <w:pPr>
        <w:spacing w:after="0" w:line="192" w:lineRule="exact"/>
        <w:rPr>
          <w:sz w:val="20"/>
          <w:szCs w:val="20"/>
          <w:color w:val="auto"/>
        </w:rPr>
      </w:pPr>
    </w:p>
    <w:p>
      <w:pPr>
        <w:jc w:val="both"/>
        <w:ind w:right="180" w:firstLine="1945"/>
        <w:spacing w:after="0" w:line="312" w:lineRule="auto"/>
        <w:rPr>
          <w:sz w:val="20"/>
          <w:szCs w:val="20"/>
          <w:color w:val="auto"/>
        </w:rPr>
      </w:pPr>
      <w:r>
        <w:rPr>
          <w:rFonts w:ascii="Arial" w:cs="Arial" w:eastAsia="Arial" w:hAnsi="Arial"/>
          <w:sz w:val="16"/>
          <w:szCs w:val="16"/>
          <w:color w:val="auto"/>
        </w:rPr>
        <w:t>4.4.2.2.</w:t>
      </w:r>
      <w:r>
        <w:rPr>
          <w:rFonts w:ascii="Arial" w:cs="Arial" w:eastAsia="Arial" w:hAnsi="Arial"/>
          <w:sz w:val="16"/>
          <w:szCs w:val="16"/>
          <w:i w:val="1"/>
          <w:iCs w:val="1"/>
          <w:color w:val="auto"/>
        </w:rPr>
        <w:t>Sales Milestones</w:t>
      </w:r>
      <w:r>
        <w:rPr>
          <w:rFonts w:ascii="Arial" w:cs="Arial" w:eastAsia="Arial" w:hAnsi="Arial"/>
          <w:sz w:val="16"/>
          <w:szCs w:val="16"/>
          <w:color w:val="auto"/>
        </w:rPr>
        <w:t>. Company shall pay Institutions, within [**] days of the end of the Calendar Year in which the following sales Milestone Events are first achieved, the following Milestone Payments with respect to each Single Schedule 2 Product to achieve each sales Milestone Event, regardless of whether such Milestone Event is achieved by Company, an Affiliate of Company or a Sublicensee, or a combination thereof:</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 Event</w:t>
            </w:r>
          </w:p>
        </w:tc>
        <w:tc>
          <w:tcPr>
            <w:tcW w:w="240" w:type="dxa"/>
            <w:vAlign w:val="bottom"/>
            <w:tcBorders>
              <w:bottom w:val="single" w:sz="8" w:color="CCEEFF"/>
            </w:tcBorders>
          </w:tcPr>
          <w:p>
            <w:pPr>
              <w:spacing w:after="0"/>
              <w:rPr>
                <w:sz w:val="14"/>
                <w:szCs w:val="14"/>
                <w:color w:val="auto"/>
              </w:rPr>
            </w:pPr>
          </w:p>
        </w:tc>
        <w:tc>
          <w:tcPr>
            <w:tcW w:w="24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Milestone Payment</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 in aggregate Net Sales</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 in aggregate Net Sales</w:t>
            </w:r>
          </w:p>
        </w:tc>
        <w:tc>
          <w:tcPr>
            <w:tcW w:w="2680" w:type="dxa"/>
            <w:vAlign w:val="bottom"/>
            <w:gridSpan w:val="2"/>
          </w:tcPr>
          <w:p>
            <w:pPr>
              <w:jc w:val="right"/>
              <w:ind w:right="2059"/>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720" w:firstLine="1945"/>
        <w:spacing w:after="0" w:line="277" w:lineRule="auto"/>
        <w:rPr>
          <w:sz w:val="20"/>
          <w:szCs w:val="20"/>
          <w:color w:val="auto"/>
        </w:rPr>
      </w:pPr>
      <w:r>
        <w:rPr>
          <w:rFonts w:ascii="Arial" w:cs="Arial" w:eastAsia="Arial" w:hAnsi="Arial"/>
          <w:sz w:val="18"/>
          <w:szCs w:val="18"/>
          <w:color w:val="auto"/>
        </w:rPr>
        <w:t>4.4.2.3.</w:t>
      </w:r>
      <w:r>
        <w:rPr>
          <w:rFonts w:ascii="Arial" w:cs="Arial" w:eastAsia="Arial" w:hAnsi="Arial"/>
          <w:sz w:val="18"/>
          <w:szCs w:val="18"/>
          <w:i w:val="1"/>
          <w:iCs w:val="1"/>
          <w:color w:val="auto"/>
        </w:rPr>
        <w:t>Adjustment for Enabled Products</w:t>
      </w:r>
      <w:r>
        <w:rPr>
          <w:rFonts w:ascii="Arial" w:cs="Arial" w:eastAsia="Arial" w:hAnsi="Arial"/>
          <w:sz w:val="18"/>
          <w:szCs w:val="18"/>
          <w:color w:val="auto"/>
        </w:rPr>
        <w:t>. The Milestone Payments set forth in Section 4.4.2.1 or 4.4.2.2 above for Single Schedule 2 Products shall be reduced by [**]% for any Single Schedule 2 Product that is an Enabled Product.</w:t>
      </w:r>
    </w:p>
    <w:p>
      <w:pPr>
        <w:spacing w:after="0" w:line="170" w:lineRule="exact"/>
        <w:rPr>
          <w:sz w:val="20"/>
          <w:szCs w:val="20"/>
          <w:color w:val="auto"/>
        </w:rPr>
      </w:pPr>
    </w:p>
    <w:p>
      <w:pPr>
        <w:ind w:right="100" w:firstLine="1945"/>
        <w:spacing w:after="0" w:line="264" w:lineRule="auto"/>
        <w:rPr>
          <w:sz w:val="20"/>
          <w:szCs w:val="20"/>
          <w:color w:val="auto"/>
        </w:rPr>
      </w:pPr>
      <w:r>
        <w:rPr>
          <w:rFonts w:ascii="Arial" w:cs="Arial" w:eastAsia="Arial" w:hAnsi="Arial"/>
          <w:sz w:val="18"/>
          <w:szCs w:val="18"/>
          <w:color w:val="auto"/>
        </w:rPr>
        <w:t xml:space="preserve">4.4.2.4. </w:t>
      </w:r>
      <w:r>
        <w:rPr>
          <w:rFonts w:ascii="Arial" w:cs="Arial" w:eastAsia="Arial" w:hAnsi="Arial"/>
          <w:sz w:val="18"/>
          <w:szCs w:val="18"/>
          <w:i w:val="1"/>
          <w:iCs w:val="1"/>
          <w:color w:val="auto"/>
        </w:rPr>
        <w:t>Change of Control Multiplier</w:t>
      </w:r>
      <w:r>
        <w:rPr>
          <w:rFonts w:ascii="Arial" w:cs="Arial" w:eastAsia="Arial" w:hAnsi="Arial"/>
          <w:sz w:val="18"/>
          <w:szCs w:val="18"/>
          <w:color w:val="auto"/>
        </w:rPr>
        <w:t>. In the event that a Change of Control of Company occurs at any time during the Term, the Milestone Payments for those Milestone Events designated by an asterisk (*) in Section 4.4.2.1 that have not yet been paid by Company shall be increased by [**]% (“</w:t>
      </w:r>
      <w:r>
        <w:rPr>
          <w:rFonts w:ascii="Arial" w:cs="Arial" w:eastAsia="Arial" w:hAnsi="Arial"/>
          <w:sz w:val="18"/>
          <w:szCs w:val="18"/>
          <w:b w:val="1"/>
          <w:bCs w:val="1"/>
          <w:color w:val="auto"/>
        </w:rPr>
        <w:t>Change of Control Multiplier</w:t>
      </w:r>
      <w:r>
        <w:rPr>
          <w:rFonts w:ascii="Arial" w:cs="Arial" w:eastAsia="Arial" w:hAnsi="Arial"/>
          <w:sz w:val="18"/>
          <w:szCs w:val="18"/>
          <w:color w:val="auto"/>
        </w:rPr>
        <w:t>”) of the Milestone Payments set forth in Section 4.4.2.1.</w:t>
      </w:r>
    </w:p>
    <w:p>
      <w:pPr>
        <w:spacing w:after="0" w:line="181" w:lineRule="exact"/>
        <w:rPr>
          <w:sz w:val="20"/>
          <w:szCs w:val="20"/>
          <w:color w:val="auto"/>
        </w:rPr>
      </w:pPr>
    </w:p>
    <w:p>
      <w:pPr>
        <w:ind w:right="60" w:firstLine="1945"/>
        <w:spacing w:after="0" w:line="257" w:lineRule="auto"/>
        <w:rPr>
          <w:sz w:val="20"/>
          <w:szCs w:val="20"/>
          <w:color w:val="auto"/>
        </w:rPr>
      </w:pPr>
      <w:r>
        <w:rPr>
          <w:rFonts w:ascii="Arial" w:cs="Arial" w:eastAsia="Arial" w:hAnsi="Arial"/>
          <w:sz w:val="18"/>
          <w:szCs w:val="18"/>
          <w:color w:val="auto"/>
        </w:rPr>
        <w:t>4.4.2.5.</w:t>
      </w:r>
      <w:r>
        <w:rPr>
          <w:rFonts w:ascii="Arial" w:cs="Arial" w:eastAsia="Arial" w:hAnsi="Arial"/>
          <w:sz w:val="18"/>
          <w:szCs w:val="18"/>
          <w:i w:val="1"/>
          <w:iCs w:val="1"/>
          <w:color w:val="auto"/>
        </w:rPr>
        <w:t>Milestone Payments for Schedule 1 Products and Schedule 2 Products</w:t>
      </w:r>
      <w:r>
        <w:rPr>
          <w:rFonts w:ascii="Arial" w:cs="Arial" w:eastAsia="Arial" w:hAnsi="Arial"/>
          <w:sz w:val="18"/>
          <w:szCs w:val="18"/>
          <w:color w:val="auto"/>
        </w:rPr>
        <w:t>. In the event that a Licensed Product or Enabled Product is both a Schedule 1 Product and a Schedule 2 Product, then Company shall pay the applicable Milestone Payment based on whether the achievement of each Milestone Event first occurred with respect to development, regulatory approval or sales of a Licensed Product or Enabled Product as a Single Schedule 1 Product or Single Schedule 2 Product, with simultaneous achievement being deemed to have first occurred with respect to a Licensed Product or Enabled Product as a Single Schedule 2 Product.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If achievement of a Milestone Event first occurs with respect to development, regulatory approval or sales of a Licensed Product or Enabled Product as a Single Schedule 1 Product, Company shall pay the difference between the applicable Milestone Payment for a Single Schedule 2 Product and the applicable Milestone Payment for a Single Schedule 1 Product if such Licensed Product or Enabled Product thereafter achieves such Milestone Event with respect to</w:t>
      </w:r>
    </w:p>
    <w:p>
      <w:pPr>
        <w:sectPr>
          <w:pgSz w:w="11900" w:h="16838" w:orient="portrait"/>
          <w:cols w:equalWidth="0" w:num="1">
            <w:col w:w="11460"/>
          </w:cols>
          <w:pgMar w:left="240" w:top="121" w:right="199" w:bottom="0" w:gutter="0" w:footer="0" w:header="0"/>
        </w:sectPr>
      </w:pPr>
    </w:p>
    <w:bookmarkStart w:id="315" w:name="page316"/>
    <w:bookmarkEnd w:id="315"/>
    <w:p>
      <w:pPr>
        <w:ind w:right="20"/>
        <w:spacing w:after="0" w:line="257" w:lineRule="auto"/>
        <w:rPr>
          <w:sz w:val="20"/>
          <w:szCs w:val="20"/>
          <w:color w:val="auto"/>
        </w:rPr>
      </w:pPr>
      <w:r>
        <w:rPr>
          <w:rFonts w:ascii="Arial" w:cs="Arial" w:eastAsia="Arial" w:hAnsi="Arial"/>
          <w:sz w:val="18"/>
          <w:szCs w:val="18"/>
          <w:color w:val="auto"/>
        </w:rPr>
        <w:t>development, regulatory approval or sales as a Single Schedule 2 Product. If achievement of a Milestone Event first occurs with respect to development, regulatory approval or sales of a Licensed Product or Enabled Product as a Single Schedule 2 Product, no additional Milestone Payments shall be due if such Licensed Product or Enabled Product thereafter achieves such Milestone Event with respect to development, regulatory approval or sales as a Single Schedule 1 Product. For clarity, under no circumstances shall Company pay Milestone Payments for a Licensed Product or Enabled Product that are more than the Milestone Payments set forth for a Single Schedule 2 Product.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4.4.3.</w:t>
      </w:r>
      <w:r>
        <w:rPr>
          <w:rFonts w:ascii="Arial" w:cs="Arial" w:eastAsia="Arial" w:hAnsi="Arial"/>
          <w:sz w:val="18"/>
          <w:szCs w:val="18"/>
          <w:u w:val="single" w:color="auto"/>
          <w:color w:val="auto"/>
        </w:rPr>
        <w:t>Agricultural Products</w:t>
      </w:r>
      <w:r>
        <w:rPr>
          <w:rFonts w:ascii="Arial" w:cs="Arial" w:eastAsia="Arial" w:hAnsi="Arial"/>
          <w:sz w:val="18"/>
          <w:szCs w:val="18"/>
          <w:color w:val="auto"/>
        </w:rPr>
        <w:t>.</w:t>
      </w:r>
    </w:p>
    <w:p>
      <w:pPr>
        <w:spacing w:after="0" w:line="225" w:lineRule="exact"/>
        <w:rPr>
          <w:sz w:val="20"/>
          <w:szCs w:val="20"/>
          <w:color w:val="auto"/>
        </w:rPr>
      </w:pPr>
    </w:p>
    <w:p>
      <w:pPr>
        <w:ind w:right="300" w:firstLine="1945"/>
        <w:spacing w:after="0" w:line="342" w:lineRule="auto"/>
        <w:rPr>
          <w:sz w:val="20"/>
          <w:szCs w:val="20"/>
          <w:color w:val="auto"/>
        </w:rPr>
      </w:pPr>
      <w:r>
        <w:rPr>
          <w:rFonts w:ascii="Arial" w:cs="Arial" w:eastAsia="Arial" w:hAnsi="Arial"/>
          <w:sz w:val="16"/>
          <w:szCs w:val="16"/>
          <w:color w:val="auto"/>
        </w:rPr>
        <w:t>4.4.3.1.Company shall pay Institutions the Milestone Payments set forth in this Section 4.4.3.1 with respect to each Single Ag Product to achieve each Milestone Event, regardless of whether such Milestone Event is achieved by Company, an Affiliate of Company or a Sublicensee:</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 Event</w:t>
            </w:r>
          </w:p>
        </w:tc>
        <w:tc>
          <w:tcPr>
            <w:tcW w:w="240" w:type="dxa"/>
            <w:vAlign w:val="bottom"/>
            <w:tcBorders>
              <w:bottom w:val="single" w:sz="8" w:color="CCEEFF"/>
            </w:tcBorders>
          </w:tcPr>
          <w:p>
            <w:pPr>
              <w:spacing w:after="0"/>
              <w:rPr>
                <w:sz w:val="14"/>
                <w:szCs w:val="14"/>
                <w:color w:val="auto"/>
              </w:rPr>
            </w:pPr>
          </w:p>
        </w:tc>
        <w:tc>
          <w:tcPr>
            <w:tcW w:w="24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Milestone Payment</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2059"/>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80" w:type="dxa"/>
            <w:vAlign w:val="bottom"/>
            <w:gridSpan w:val="2"/>
            <w:shd w:val="clear" w:color="auto" w:fill="CCEEFF"/>
          </w:tcPr>
          <w:p>
            <w:pPr>
              <w:jc w:val="right"/>
              <w:ind w:right="2059"/>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205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Company shall notify Institutions in writing within [**] days following the achievement of each Milestone Event described in Section 4.4.3.1, and shall make the appropriate Milestone Payment within [**] days after the achievement of such Milestone Event. Each Milestone Payment is payable only once for each Single Ag Product. The Milestone Events set forth in Section 4.4.3.1 are intended to be successive; if a Skipped Milestone occurs with a particular Milestone Event for a Single Ag Product, such Skipped Milestone shall be deemed to have been achieved upon the achievement by such Single Ag Product of the next successive Milestone Event. Payment for any Skipped Milestone that is owed in accordance with the provisions of this Section 4.4.3.1 shall be due within [**] days after the achievement of the Achieved Milestone.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4.4.4.</w:t>
      </w:r>
      <w:r>
        <w:rPr>
          <w:rFonts w:ascii="Arial" w:cs="Arial" w:eastAsia="Arial" w:hAnsi="Arial"/>
          <w:sz w:val="16"/>
          <w:szCs w:val="16"/>
          <w:u w:val="single" w:color="auto"/>
          <w:color w:val="auto"/>
        </w:rPr>
        <w:t>Milestone Reporting</w:t>
      </w:r>
      <w:r>
        <w:rPr>
          <w:rFonts w:ascii="Arial" w:cs="Arial" w:eastAsia="Arial" w:hAnsi="Arial"/>
          <w:sz w:val="16"/>
          <w:szCs w:val="16"/>
          <w:color w:val="auto"/>
        </w:rPr>
        <w:t>. Company shall report to Institutions the dates on which it achieves the Milestone Events set forth in Sections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4.4.1, 4.4.2 and 4.4.3 within [**] days of the occurrence of each such Milestone Event.</w:t>
      </w:r>
    </w:p>
    <w:p>
      <w:pPr>
        <w:spacing w:after="0" w:line="211" w:lineRule="exact"/>
        <w:rPr>
          <w:sz w:val="20"/>
          <w:szCs w:val="20"/>
          <w:color w:val="auto"/>
        </w:rPr>
      </w:pPr>
    </w:p>
    <w:p>
      <w:pPr>
        <w:ind w:right="220" w:firstLine="1297"/>
        <w:spacing w:after="0" w:line="297" w:lineRule="auto"/>
        <w:rPr>
          <w:sz w:val="20"/>
          <w:szCs w:val="20"/>
          <w:color w:val="auto"/>
        </w:rPr>
      </w:pPr>
      <w:r>
        <w:rPr>
          <w:rFonts w:ascii="Arial" w:cs="Arial" w:eastAsia="Arial" w:hAnsi="Arial"/>
          <w:sz w:val="16"/>
          <w:szCs w:val="16"/>
          <w:color w:val="auto"/>
        </w:rPr>
        <w:t>4.4.5.</w:t>
      </w:r>
      <w:r>
        <w:rPr>
          <w:rFonts w:ascii="Arial" w:cs="Arial" w:eastAsia="Arial" w:hAnsi="Arial"/>
          <w:sz w:val="16"/>
          <w:szCs w:val="16"/>
          <w:u w:val="single" w:color="auto"/>
          <w:color w:val="auto"/>
        </w:rPr>
        <w:t>Replacement Products</w:t>
      </w:r>
      <w:r>
        <w:rPr>
          <w:rFonts w:ascii="Arial" w:cs="Arial" w:eastAsia="Arial" w:hAnsi="Arial"/>
          <w:sz w:val="16"/>
          <w:szCs w:val="16"/>
          <w:color w:val="auto"/>
        </w:rPr>
        <w:t>. If (A) development of a Licensed Product (other than an Ag Product) is terminated after any Milestone Payment set forth in Section 4.4.1.1 or 4.4.2.1, as applicable, has been made with respect to such Licensed Product and (B) another Licensed Product is selected to replace the terminated Licensed Product and the selected Licensed Product is for the same, substantially similar or closely related indication and targets the same Gene Target as the terminated Licensed Product (“</w:t>
      </w:r>
      <w:r>
        <w:rPr>
          <w:rFonts w:ascii="Arial" w:cs="Arial" w:eastAsia="Arial" w:hAnsi="Arial"/>
          <w:sz w:val="16"/>
          <w:szCs w:val="16"/>
          <w:b w:val="1"/>
          <w:bCs w:val="1"/>
          <w:color w:val="auto"/>
        </w:rPr>
        <w:t>Replacement Product</w:t>
      </w:r>
      <w:r>
        <w:rPr>
          <w:rFonts w:ascii="Arial" w:cs="Arial" w:eastAsia="Arial" w:hAnsi="Arial"/>
          <w:sz w:val="16"/>
          <w:szCs w:val="16"/>
          <w:color w:val="auto"/>
        </w:rPr>
        <w:t>”), then there shall be no payment due upon achievement of the same milestone by such Replacement Product for which Institutions already received a Milestone Payment for the original Licensed Product.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Royalties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color w:val="auto"/>
        </w:rPr>
        <w:t>4.5.1.</w:t>
      </w:r>
      <w:r>
        <w:rPr>
          <w:rFonts w:ascii="Arial" w:cs="Arial" w:eastAsia="Arial" w:hAnsi="Arial"/>
          <w:sz w:val="17"/>
          <w:szCs w:val="17"/>
          <w:u w:val="single" w:color="auto"/>
          <w:color w:val="auto"/>
        </w:rPr>
        <w:t>Royalty Rates</w:t>
      </w:r>
      <w:r>
        <w:rPr>
          <w:rFonts w:ascii="Arial" w:cs="Arial" w:eastAsia="Arial" w:hAnsi="Arial"/>
          <w:sz w:val="17"/>
          <w:szCs w:val="17"/>
          <w:color w:val="auto"/>
        </w:rPr>
        <w:t>. Company shall pay to Institutions running royalties (“</w:t>
      </w:r>
      <w:r>
        <w:rPr>
          <w:rFonts w:ascii="Arial" w:cs="Arial" w:eastAsia="Arial" w:hAnsi="Arial"/>
          <w:sz w:val="17"/>
          <w:szCs w:val="17"/>
          <w:b w:val="1"/>
          <w:bCs w:val="1"/>
          <w:color w:val="auto"/>
        </w:rPr>
        <w:t>Royalties</w:t>
      </w:r>
      <w:r>
        <w:rPr>
          <w:rFonts w:ascii="Arial" w:cs="Arial" w:eastAsia="Arial" w:hAnsi="Arial"/>
          <w:sz w:val="17"/>
          <w:szCs w:val="17"/>
          <w:color w:val="auto"/>
        </w:rPr>
        <w:t>”) on Net Sales of Licensed Products, Licensed Services, Enabled Products, and Enabled Services during the applicable Royalty Term at the applicable royalty rate set forth below within [**] days following the last day of the Calendar Quarter in which such Royalty accrues. The Parties acknowledge that Royalties shall be determined on a product/service-by-product/service, and country-by-country basis. If the manufacture, use, performance or sale of any Licensed Product is Covered by more than one Valid Claim of the Patent Rights, multiple Royalties shall not be due as a result of being so Covered.</w:t>
      </w:r>
    </w:p>
    <w:p>
      <w:pPr>
        <w:spacing w:after="0" w:line="17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4.5.1.1.</w:t>
      </w:r>
      <w:r>
        <w:rPr>
          <w:rFonts w:ascii="Arial" w:cs="Arial" w:eastAsia="Arial" w:hAnsi="Arial"/>
          <w:sz w:val="18"/>
          <w:szCs w:val="18"/>
          <w:i w:val="1"/>
          <w:iCs w:val="1"/>
          <w:color w:val="auto"/>
        </w:rPr>
        <w:t>Royalty Rates for Licensed Products and Licensed Services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Category of product or service</w:t>
            </w:r>
          </w:p>
        </w:tc>
        <w:tc>
          <w:tcPr>
            <w:tcW w:w="5540" w:type="dxa"/>
            <w:vAlign w:val="bottom"/>
          </w:tcPr>
          <w:p>
            <w:pPr>
              <w:ind w:left="2380"/>
              <w:spacing w:after="0"/>
              <w:rPr>
                <w:sz w:val="20"/>
                <w:szCs w:val="20"/>
                <w:color w:val="auto"/>
              </w:rPr>
            </w:pPr>
            <w:r>
              <w:rPr>
                <w:rFonts w:ascii="Arial" w:cs="Arial" w:eastAsia="Arial" w:hAnsi="Arial"/>
                <w:sz w:val="14"/>
                <w:szCs w:val="14"/>
                <w:b w:val="1"/>
                <w:bCs w:val="1"/>
                <w:color w:val="auto"/>
              </w:rPr>
              <w:t>Royalty Rate</w:t>
            </w: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Licensed Product [**]</w:t>
            </w:r>
          </w:p>
        </w:tc>
        <w:tc>
          <w:tcPr>
            <w:tcW w:w="220" w:type="dxa"/>
            <w:vAlign w:val="bottom"/>
            <w:tcBorders>
              <w:top w:val="single" w:sz="8" w:color="CCEEFF"/>
            </w:tcBorders>
            <w:shd w:val="clear" w:color="auto" w:fill="CCEEFF"/>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of Net Sales by Company, its Affiliates, and Sublicensees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Licensed Product [**]</w:t>
            </w:r>
          </w:p>
        </w:tc>
        <w:tc>
          <w:tcPr>
            <w:tcW w:w="5540" w:type="dxa"/>
            <w:vAlign w:val="bottom"/>
          </w:tcPr>
          <w:p>
            <w:pPr>
              <w:spacing w:after="0"/>
              <w:rPr>
                <w:sz w:val="20"/>
                <w:szCs w:val="20"/>
                <w:color w:val="auto"/>
              </w:rPr>
            </w:pPr>
            <w:r>
              <w:rPr>
                <w:rFonts w:ascii="Arial" w:cs="Arial" w:eastAsia="Arial" w:hAnsi="Arial"/>
                <w:sz w:val="18"/>
                <w:szCs w:val="18"/>
                <w:color w:val="auto"/>
              </w:rPr>
              <w:t>[**]% of Net Sales by Company and its Affiliates</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Licensed Product [**]</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 of Net Sales by Company, its Affiliates, and Sublicensees</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Licensed Service**</w:t>
            </w:r>
          </w:p>
        </w:tc>
        <w:tc>
          <w:tcPr>
            <w:tcW w:w="5540" w:type="dxa"/>
            <w:vAlign w:val="bottom"/>
          </w:tcPr>
          <w:p>
            <w:pPr>
              <w:spacing w:after="0"/>
              <w:rPr>
                <w:sz w:val="20"/>
                <w:szCs w:val="20"/>
                <w:color w:val="auto"/>
              </w:rPr>
            </w:pPr>
            <w:r>
              <w:rPr>
                <w:rFonts w:ascii="Arial" w:cs="Arial" w:eastAsia="Arial" w:hAnsi="Arial"/>
                <w:sz w:val="18"/>
                <w:szCs w:val="18"/>
                <w:color w:val="auto"/>
              </w:rPr>
              <w:t>[**]% of Net Sales by Company, its Affiliates, and Sublicensees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clarity, upon expiration of the last Valid Claim within the Patent Rights Covering the applicable Licensed Product or the Licensed Service above, such Licensed Product or Licensed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Service shall be deemed an Enabled Product or Enabled Service for which the Royalty rates set forth in Section 4.5.1.2 shall apply for the remainder of the Royalty Term.</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4.5.1.2.</w:t>
      </w:r>
      <w:r>
        <w:rPr>
          <w:rFonts w:ascii="Arial" w:cs="Arial" w:eastAsia="Arial" w:hAnsi="Arial"/>
          <w:sz w:val="18"/>
          <w:szCs w:val="18"/>
          <w:i w:val="1"/>
          <w:iCs w:val="1"/>
          <w:color w:val="auto"/>
        </w:rPr>
        <w:t>Royalty Rates for Enabled Products and Enabled Services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Category of Enabled Product</w:t>
            </w:r>
          </w:p>
        </w:tc>
        <w:tc>
          <w:tcPr>
            <w:tcW w:w="5540" w:type="dxa"/>
            <w:vAlign w:val="bottom"/>
          </w:tcPr>
          <w:p>
            <w:pPr>
              <w:ind w:left="2380"/>
              <w:spacing w:after="0"/>
              <w:rPr>
                <w:sz w:val="20"/>
                <w:szCs w:val="20"/>
                <w:color w:val="auto"/>
              </w:rPr>
            </w:pPr>
            <w:r>
              <w:rPr>
                <w:rFonts w:ascii="Arial" w:cs="Arial" w:eastAsia="Arial" w:hAnsi="Arial"/>
                <w:sz w:val="14"/>
                <w:szCs w:val="14"/>
                <w:b w:val="1"/>
                <w:bCs w:val="1"/>
                <w:color w:val="auto"/>
              </w:rPr>
              <w:t>Royalty Rate</w:t>
            </w: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Enabled Product [**]</w:t>
            </w:r>
          </w:p>
        </w:tc>
        <w:tc>
          <w:tcPr>
            <w:tcW w:w="220" w:type="dxa"/>
            <w:vAlign w:val="bottom"/>
            <w:tcBorders>
              <w:top w:val="single" w:sz="8" w:color="CCEEFF"/>
            </w:tcBorders>
            <w:shd w:val="clear" w:color="auto" w:fill="CCEEFF"/>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of Net Sales by Company, its Affiliates, and Sublicensees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Enabled Product [**]</w:t>
            </w:r>
          </w:p>
        </w:tc>
        <w:tc>
          <w:tcPr>
            <w:tcW w:w="5540" w:type="dxa"/>
            <w:vAlign w:val="bottom"/>
          </w:tcPr>
          <w:p>
            <w:pPr>
              <w:spacing w:after="0"/>
              <w:rPr>
                <w:sz w:val="20"/>
                <w:szCs w:val="20"/>
                <w:color w:val="auto"/>
              </w:rPr>
            </w:pPr>
            <w:r>
              <w:rPr>
                <w:rFonts w:ascii="Arial" w:cs="Arial" w:eastAsia="Arial" w:hAnsi="Arial"/>
                <w:sz w:val="18"/>
                <w:szCs w:val="18"/>
                <w:color w:val="auto"/>
              </w:rPr>
              <w:t>[**]% of Net Sales by Company and its Affiliates</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Enabled Product [**]</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 of Net Sales by Company, its Affiliates, and Sublicensees</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Enabled Service**</w:t>
            </w:r>
          </w:p>
        </w:tc>
        <w:tc>
          <w:tcPr>
            <w:tcW w:w="5540" w:type="dxa"/>
            <w:vAlign w:val="bottom"/>
          </w:tcPr>
          <w:p>
            <w:pPr>
              <w:spacing w:after="0"/>
              <w:rPr>
                <w:sz w:val="20"/>
                <w:szCs w:val="20"/>
                <w:color w:val="auto"/>
              </w:rPr>
            </w:pPr>
            <w:r>
              <w:rPr>
                <w:rFonts w:ascii="Arial" w:cs="Arial" w:eastAsia="Arial" w:hAnsi="Arial"/>
                <w:sz w:val="18"/>
                <w:szCs w:val="18"/>
                <w:color w:val="auto"/>
              </w:rPr>
              <w:t>[**]% of Net Sales by Company, its Affiliates, and Sublicensees</w:t>
            </w:r>
          </w:p>
        </w:tc>
      </w:tr>
    </w:tbl>
    <w:p>
      <w:pPr>
        <w:sectPr>
          <w:pgSz w:w="11900" w:h="16838" w:orient="portrait"/>
          <w:cols w:equalWidth="0" w:num="1">
            <w:col w:w="11420"/>
          </w:cols>
          <w:pgMar w:left="240" w:top="125" w:right="239" w:bottom="0" w:gutter="0" w:footer="0" w:header="0"/>
        </w:sectPr>
      </w:pPr>
    </w:p>
    <w:bookmarkStart w:id="316" w:name="page317"/>
    <w:bookmarkEnd w:id="316"/>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4.5.2.Third Party Royalty Offset. If Company is legally required by a future court order, settlement agreement, contract, or other legally binding written commitment to make payments to a Third Party of running royalties on net sales of Licensed Products or Enabled Products for a license under or the use of patent rights held by such Third Party that Cover such Licensed Products or Enabled Products and are necessary for the commercialization of such Licensed Products or Enabled Products, then Company shall be entitled to credit up to [**] percent ([**]%) of the amounts actually paid by Company to such Third Party against the Royalties due to Institutions for such Licensed Products or Enabled Products under Section 4.5.1 of this Agreement; provided, however, that as a condition of the offset in this Section 4.5.2, Company shall use commercially reasonable efforts to include a provision in any agreement with such Third Party executed after the Effective Date requiring that payment of royalties by Company to such Third Parties must be offset as a result of Royalties payable to Institutions for the Patent Rights by at least the same percentage of net sales as Institutions have offset against their Royalties pursuant to this Section 4.5.2. In the event Company determines that the use of such Third Party patent rights is necessary for the commercialization of Licensed Products or Enabled Products, and takes a credit against Royalties due to Institutions under this Agreement, then in the royalty report due to Institutions under 5.1.1 at the time such credit is taken, Company shall include a calculation of the credit taken and, with the first such royalty report on which such credit is taken, the basis for Company’s determination of commercial necessity. In no event shall payments to Institutions be reduced pursuant to this Section 4.5.2 such that Institutions receive less than [**] percent ([**]%) of the rates set forth in Section 4.5.1. Any amounts that are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 offset during a reporting period shall not be creditable against payments arising in subsequent reporting periods.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4.5.3.</w:t>
      </w:r>
      <w:r>
        <w:rPr>
          <w:rFonts w:ascii="Arial" w:cs="Arial" w:eastAsia="Arial" w:hAnsi="Arial"/>
          <w:sz w:val="16"/>
          <w:szCs w:val="16"/>
          <w:u w:val="single" w:color="auto"/>
          <w:color w:val="auto"/>
        </w:rPr>
        <w:t>Patent Challenge</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that Company or any of its agents, Affiliates or Sublicensees is or becomes a Challenging Party, then</w:t>
      </w:r>
    </w:p>
    <w:p>
      <w:pPr>
        <w:spacing w:after="0" w:line="50" w:lineRule="exact"/>
        <w:rPr>
          <w:sz w:val="20"/>
          <w:szCs w:val="20"/>
          <w:color w:val="auto"/>
        </w:rPr>
      </w:pPr>
    </w:p>
    <w:p>
      <w:pPr>
        <w:ind w:firstLine="8"/>
        <w:spacing w:after="0" w:line="267" w:lineRule="auto"/>
        <w:tabs>
          <w:tab w:leader="none" w:pos="24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Company shall provide Institutions with at least [**] days’ notice prior to taking any such action, (b) Company shall pay all reasonable costs, fees and expenses associated with such Patent Challenge that are incurred by Institutions (or MIT, as applicable) and their trustees, managers, officers, agents, employees, faculty, affiliated investigators, personnel, and staff, including reasonable attorneys’ fees and all reasonable costs associated with administrative, judicial or other proceedings, within [**] days after receiving an invoice from Institutions for same; (c) the exclusive licenses granted in this Agreement may, as of the date of initiation of said challenge or opposition, upon notice by Institutions to Company, be converted by Institutions at their option into a non-exclusive license for the remainder of the Term, and in such event Institutions shall have the right to grant licenses under the Patent Rights to third parties, subject to the then-existing non-exclusive license provided herein; (d) any fees, royalties, milestones or revenues payable to Institutions under Sections 4.2 through 4.6 shall double in amount if and when any Patent Right survives the Patent Challenge such that it remains valid in whole or in part; and (e) at any time after the Patent Challenge is brought, Institution may, at its option, terminate this Agreement according to Section 10.2; provided that if any of subsections (a) through (e) are held invalid or unenforceable for any reason, such invalidity or unenforceability shall not affect any of the other said subsections. Notwithstanding any provision of this Agreement to the contrary, Company shall not have the right to assume or participate in the defense, settlement or other disposition of such Patent Challenge through its status as licensee under this Agreement, but shall pay associated costs, fees and expenses as provided in this Section 4.5.3. The Parties agree that any challenge or opposition to a Patent Right by Company may be detrimental to Institutions (or MIT, as applicable), and that the above provisions shall constitute reasonable liquidated damages to reasonably compensate Institutions (or MIT, as applicable) for any loss they may incur as a result of Company taking such action.</w:t>
      </w:r>
    </w:p>
    <w:p>
      <w:pPr>
        <w:spacing w:after="0" w:line="17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b w:val="1"/>
          <w:bCs w:val="1"/>
          <w:color w:val="auto"/>
        </w:rPr>
        <w:t xml:space="preserve">4.6. Sublicense Income. </w:t>
      </w:r>
      <w:r>
        <w:rPr>
          <w:rFonts w:ascii="Arial" w:cs="Arial" w:eastAsia="Arial" w:hAnsi="Arial"/>
          <w:sz w:val="16"/>
          <w:szCs w:val="16"/>
          <w:color w:val="auto"/>
        </w:rPr>
        <w:t>Company shall pay Institutions a percentage of Sublicense Income within [**] days following the last day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Calendar Quarter in which such Sublicense Income is received by Company, in accordance with the rates set forth in the following Sections 4.6.1 and 4.6.2. For the avoidance of doubt, in the event any Sublicense transfers rights granted or transferred by Institutions under this Agreement along with rights owned by the Company or granted to the Company by a Third Party, Company shall pay to Institutions the following percentages of all Sublicense Income received by Company or its Affiliates under such Sublicense without deduction from or apportionment of any part of such consideration. Company agrees that all rights relevant to making, using, selling, offering to sell or importing particular Licensed Products, Licensed Services, Enabled Products or Enabled Services shall be included in or deemed to be included in the same Sublicense under which the rights granted or otherwise transferred to Company hereunder are granted with respect to such Licensed Products, Licensed Services, Enabled Products or Enabled Services for the purpose of calculating Sublicense Income.</w:t>
      </w:r>
    </w:p>
    <w:p>
      <w:pPr>
        <w:spacing w:after="0" w:line="164"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4.6.1.</w:t>
      </w:r>
      <w:r>
        <w:rPr>
          <w:rFonts w:ascii="Arial" w:cs="Arial" w:eastAsia="Arial" w:hAnsi="Arial"/>
          <w:sz w:val="18"/>
          <w:szCs w:val="18"/>
          <w:u w:val="single" w:color="auto"/>
          <w:color w:val="auto"/>
        </w:rPr>
        <w:t>Products and Services for the Prevention or Treatment of Human Disease</w:t>
      </w:r>
      <w:r>
        <w:rPr>
          <w:rFonts w:ascii="Arial" w:cs="Arial" w:eastAsia="Arial" w:hAnsi="Arial"/>
          <w:sz w:val="18"/>
          <w:szCs w:val="18"/>
          <w:color w:val="auto"/>
        </w:rPr>
        <w:t>. For Sublicenses related to Licensed Products, Licensed Services, Enabled Products or Enabled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Services for the treatment and prevention of human disease, Company shall pay to Institutions, within [**] days following the last day of the Calendar Quarter in which such Sublicense Income is received by Company:</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4.6.1.1.[**] percent ([**]%) of Sublicense Income received with respect to a Sublicense executed prior to the date on which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has [**];</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4.6.1.2.[**] percent ([**]%) of Sublicense Income received with respect to a Sublicense executed on or after the date on which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has [**];</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4.6.1.3.[**] percent ([**]%) of Sublicense Income received with respect to a Sublicense executed on or after the date on which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4.6.2.</w:t>
      </w:r>
      <w:r>
        <w:rPr>
          <w:rFonts w:ascii="Arial" w:cs="Arial" w:eastAsia="Arial" w:hAnsi="Arial"/>
          <w:sz w:val="18"/>
          <w:szCs w:val="18"/>
          <w:u w:val="single" w:color="auto"/>
          <w:color w:val="auto"/>
        </w:rPr>
        <w:t>All other Products</w:t>
      </w:r>
      <w:r>
        <w:rPr>
          <w:rFonts w:ascii="Arial" w:cs="Arial" w:eastAsia="Arial" w:hAnsi="Arial"/>
          <w:sz w:val="18"/>
          <w:szCs w:val="18"/>
          <w:color w:val="auto"/>
        </w:rPr>
        <w:t>. For Sublicenses related to Licensed Products, Licensed Services, Enabled Products or Enabled Services that are [**], Company shall pay to Institutions, within [**] days following the last day of the Calendar Quarter in which such Sublicense Income is received by Company, [**] percent ([**]%) of Sublicense Income received with respect to such Sublicenses.</w:t>
      </w:r>
    </w:p>
    <w:p>
      <w:pPr>
        <w:spacing w:after="0" w:line="177" w:lineRule="exact"/>
        <w:rPr>
          <w:sz w:val="20"/>
          <w:szCs w:val="20"/>
          <w:color w:val="auto"/>
        </w:rPr>
      </w:pPr>
    </w:p>
    <w:p>
      <w:pPr>
        <w:ind w:right="220" w:firstLine="648"/>
        <w:spacing w:after="0" w:line="314" w:lineRule="auto"/>
        <w:rPr>
          <w:sz w:val="20"/>
          <w:szCs w:val="20"/>
          <w:color w:val="auto"/>
        </w:rPr>
      </w:pPr>
      <w:r>
        <w:rPr>
          <w:rFonts w:ascii="Arial" w:cs="Arial" w:eastAsia="Arial" w:hAnsi="Arial"/>
          <w:sz w:val="16"/>
          <w:szCs w:val="16"/>
          <w:b w:val="1"/>
          <w:bCs w:val="1"/>
          <w:color w:val="auto"/>
        </w:rPr>
        <w:t>4.7. Complex Consideration</w:t>
      </w:r>
      <w:r>
        <w:rPr>
          <w:rFonts w:ascii="Arial" w:cs="Arial" w:eastAsia="Arial" w:hAnsi="Arial"/>
          <w:sz w:val="16"/>
          <w:szCs w:val="16"/>
          <w:color w:val="auto"/>
        </w:rPr>
        <w:t>. Company acknowledges and agrees that the Parties have chosen to apply set royalty rates and milestone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to the rights granted under this Agreement for Company’s convenience in calculating and paying royalties and milestones. In doing so, Company acknowledges and agrees that certain royalty rates and milestones payments chosen incorporate discounts reflecting that certain products and services may</w:t>
      </w:r>
    </w:p>
    <w:p>
      <w:pPr>
        <w:sectPr>
          <w:pgSz w:w="11900" w:h="16967" w:orient="portrait"/>
          <w:cols w:equalWidth="0" w:num="1">
            <w:col w:w="11420"/>
          </w:cols>
          <w:pgMar w:left="240" w:top="571" w:right="239" w:bottom="0" w:gutter="0" w:footer="0" w:header="0"/>
        </w:sectPr>
      </w:pPr>
    </w:p>
    <w:bookmarkStart w:id="317" w:name="page318"/>
    <w:bookmarkEnd w:id="317"/>
    <w:p>
      <w:pPr>
        <w:spacing w:after="0" w:line="11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not be Covered by the Valid Claims of the Patent Rights but may be based upon, derived from or use the Patent Rights or other licensed intellectual property rights, so that Company, unless explicitly provided otherwise in this Agreement, shall not be entitled to a reduction in the royalty rate or milestone payment, even if it does not at all times need or use a license to specific Patent Rights, until the end of the Royalty Term for such product or service.</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color w:val="auto"/>
        </w:rPr>
        <w:t>Issuance of Shares.</w:t>
      </w:r>
    </w:p>
    <w:p>
      <w:pPr>
        <w:spacing w:after="0" w:line="229"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4.8.1.</w:t>
      </w:r>
      <w:r>
        <w:rPr>
          <w:rFonts w:ascii="Arial" w:cs="Arial" w:eastAsia="Arial" w:hAnsi="Arial"/>
          <w:sz w:val="18"/>
          <w:szCs w:val="18"/>
          <w:u w:val="single" w:color="auto"/>
          <w:color w:val="auto"/>
        </w:rPr>
        <w:t>Issuance</w:t>
      </w:r>
      <w:r>
        <w:rPr>
          <w:rFonts w:ascii="Arial" w:cs="Arial" w:eastAsia="Arial" w:hAnsi="Arial"/>
          <w:sz w:val="18"/>
          <w:szCs w:val="18"/>
          <w:color w:val="auto"/>
        </w:rPr>
        <w:t>. As partial consideration for the license granted hereunder, upon the Effective Date, Company shall issue to Institutions a number of shares of Company’s common stock representing in the aggregate four and two-tenths percent (4.2%) of Company’s outstanding capital stock on a Fully-Diluted Basis after giving effect to such issuance (the “</w:t>
      </w:r>
      <w:r>
        <w:rPr>
          <w:rFonts w:ascii="Arial" w:cs="Arial" w:eastAsia="Arial" w:hAnsi="Arial"/>
          <w:sz w:val="18"/>
          <w:szCs w:val="18"/>
          <w:b w:val="1"/>
          <w:bCs w:val="1"/>
          <w:color w:val="auto"/>
        </w:rPr>
        <w:t>Shares</w:t>
      </w:r>
      <w:r>
        <w:rPr>
          <w:rFonts w:ascii="Arial" w:cs="Arial" w:eastAsia="Arial" w:hAnsi="Arial"/>
          <w:sz w:val="18"/>
          <w:szCs w:val="18"/>
          <w:color w:val="auto"/>
        </w:rPr>
        <w:t>”). Thereafter, Company shall re-issue a total number of Shares initially issued to Broad in the names of Broad and its designees (MIT or MIT’s designee, Omega Cambridge SPV L.P. “</w:t>
      </w:r>
      <w:r>
        <w:rPr>
          <w:rFonts w:ascii="Arial" w:cs="Arial" w:eastAsia="Arial" w:hAnsi="Arial"/>
          <w:sz w:val="18"/>
          <w:szCs w:val="18"/>
          <w:b w:val="1"/>
          <w:bCs w:val="1"/>
          <w:color w:val="auto"/>
        </w:rPr>
        <w:t>Omega</w:t>
      </w:r>
      <w:r>
        <w:rPr>
          <w:rFonts w:ascii="Arial" w:cs="Arial" w:eastAsia="Arial" w:hAnsi="Arial"/>
          <w:sz w:val="18"/>
          <w:szCs w:val="18"/>
          <w:color w:val="auto"/>
        </w:rPr>
        <w:t>”)), as instructed by Broad. Such instruction shall be provided by Broad within [**] days of the Effective Date.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4.8.2.</w:t>
      </w:r>
      <w:r>
        <w:rPr>
          <w:rFonts w:ascii="Arial" w:cs="Arial" w:eastAsia="Arial" w:hAnsi="Arial"/>
          <w:sz w:val="18"/>
          <w:szCs w:val="18"/>
          <w:u w:val="single" w:color="auto"/>
          <w:color w:val="auto"/>
        </w:rPr>
        <w:t>Representations and Warranties by Company</w:t>
      </w:r>
      <w:r>
        <w:rPr>
          <w:rFonts w:ascii="Arial" w:cs="Arial" w:eastAsia="Arial" w:hAnsi="Arial"/>
          <w:sz w:val="18"/>
          <w:szCs w:val="18"/>
          <w:color w:val="auto"/>
        </w:rPr>
        <w:t>. Company hereby represents and warrants to Institutions that:</w:t>
      </w:r>
    </w:p>
    <w:p>
      <w:pPr>
        <w:spacing w:after="0" w:line="225" w:lineRule="exact"/>
        <w:rPr>
          <w:sz w:val="20"/>
          <w:szCs w:val="20"/>
          <w:color w:val="auto"/>
        </w:rPr>
      </w:pPr>
    </w:p>
    <w:p>
      <w:pPr>
        <w:ind w:right="80" w:firstLine="1945"/>
        <w:spacing w:after="0" w:line="264" w:lineRule="auto"/>
        <w:rPr>
          <w:sz w:val="20"/>
          <w:szCs w:val="20"/>
          <w:color w:val="auto"/>
        </w:rPr>
      </w:pPr>
      <w:r>
        <w:rPr>
          <w:rFonts w:ascii="Arial" w:cs="Arial" w:eastAsia="Arial" w:hAnsi="Arial"/>
          <w:sz w:val="18"/>
          <w:szCs w:val="18"/>
          <w:color w:val="auto"/>
        </w:rPr>
        <w:t>4.8.2.1.the capitalization table as will be provided by Company upon issuance of the Shares or Anti-Dilution Shares, if applicable, (the “</w:t>
      </w:r>
      <w:r>
        <w:rPr>
          <w:rFonts w:ascii="Arial" w:cs="Arial" w:eastAsia="Arial" w:hAnsi="Arial"/>
          <w:sz w:val="18"/>
          <w:szCs w:val="18"/>
          <w:b w:val="1"/>
          <w:bCs w:val="1"/>
          <w:color w:val="auto"/>
        </w:rPr>
        <w:t>Cap Table</w:t>
      </w:r>
      <w:r>
        <w:rPr>
          <w:rFonts w:ascii="Arial" w:cs="Arial" w:eastAsia="Arial" w:hAnsi="Arial"/>
          <w:sz w:val="18"/>
          <w:szCs w:val="18"/>
          <w:color w:val="auto"/>
        </w:rPr>
        <w:t>”) sets forth all of the outstanding capital stock of Company on a Fully-Diluted Basis as of the date of issuance of the Shares and Anti-Dilution Shares,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right="140" w:firstLine="1945"/>
        <w:spacing w:after="0" w:line="259" w:lineRule="auto"/>
        <w:rPr>
          <w:sz w:val="20"/>
          <w:szCs w:val="20"/>
          <w:color w:val="auto"/>
        </w:rPr>
      </w:pPr>
      <w:r>
        <w:rPr>
          <w:rFonts w:ascii="Arial" w:cs="Arial" w:eastAsia="Arial" w:hAnsi="Arial"/>
          <w:sz w:val="18"/>
          <w:szCs w:val="18"/>
          <w:color w:val="auto"/>
        </w:rPr>
        <w:t>4.8.2.2.other than as set forth in the Cap Table, as of the date of issuance of the Shares, there are no outstanding shares of capital stock, convertible securities, outstanding warrants, options or other rights to subscribe for, purchase or acquire from Company any capital stock of Company and there are no contracts or binding commitments providing for the issuance of, or the granting of rights to acquire, any capital stock of Company or under which Company is, or may become, obligated to issue any of its securities; and</w:t>
      </w:r>
    </w:p>
    <w:p>
      <w:pPr>
        <w:spacing w:after="0" w:line="187" w:lineRule="exact"/>
        <w:rPr>
          <w:sz w:val="20"/>
          <w:szCs w:val="20"/>
          <w:color w:val="auto"/>
        </w:rPr>
      </w:pPr>
    </w:p>
    <w:p>
      <w:pPr>
        <w:ind w:right="80" w:firstLine="1945"/>
        <w:spacing w:after="0" w:line="277" w:lineRule="auto"/>
        <w:rPr>
          <w:sz w:val="20"/>
          <w:szCs w:val="20"/>
          <w:color w:val="auto"/>
        </w:rPr>
      </w:pPr>
      <w:r>
        <w:rPr>
          <w:rFonts w:ascii="Arial" w:cs="Arial" w:eastAsia="Arial" w:hAnsi="Arial"/>
          <w:sz w:val="18"/>
          <w:szCs w:val="18"/>
          <w:color w:val="auto"/>
        </w:rPr>
        <w:t>4.8.2.3.the Shares and the Anti-Dilution Shares, if applicable, when issued pursuant to the terms hereof, shall, upon such issuance, be duly authorized, validly issued, fully paid and nonassessable.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4.8.3.</w:t>
      </w:r>
      <w:r>
        <w:rPr>
          <w:rFonts w:ascii="Arial" w:cs="Arial" w:eastAsia="Arial" w:hAnsi="Arial"/>
          <w:sz w:val="18"/>
          <w:szCs w:val="18"/>
          <w:u w:val="single" w:color="auto"/>
          <w:color w:val="auto"/>
        </w:rPr>
        <w:t>Representations and Warranties by Institutions</w:t>
      </w:r>
      <w:r>
        <w:rPr>
          <w:rFonts w:ascii="Arial" w:cs="Arial" w:eastAsia="Arial" w:hAnsi="Arial"/>
          <w:sz w:val="18"/>
          <w:szCs w:val="18"/>
          <w:color w:val="auto"/>
        </w:rPr>
        <w:t>. Institutions hereby represent and warrant to Company that:</w:t>
      </w:r>
    </w:p>
    <w:p>
      <w:pPr>
        <w:spacing w:after="0" w:line="225" w:lineRule="exact"/>
        <w:rPr>
          <w:sz w:val="20"/>
          <w:szCs w:val="20"/>
          <w:color w:val="auto"/>
        </w:rPr>
      </w:pPr>
    </w:p>
    <w:p>
      <w:pPr>
        <w:ind w:right="360" w:firstLine="1945"/>
        <w:spacing w:after="0" w:line="277" w:lineRule="auto"/>
        <w:rPr>
          <w:sz w:val="20"/>
          <w:szCs w:val="20"/>
          <w:color w:val="auto"/>
        </w:rPr>
      </w:pPr>
      <w:r>
        <w:rPr>
          <w:rFonts w:ascii="Arial" w:cs="Arial" w:eastAsia="Arial" w:hAnsi="Arial"/>
          <w:sz w:val="18"/>
          <w:szCs w:val="18"/>
          <w:color w:val="auto"/>
        </w:rPr>
        <w:t>4.8.3.1.Institutions are acquiring the Shares solely for their own account for investment purposes and not with a view to, or for offer or sale in connection with, any distribution thereof;</w:t>
      </w:r>
    </w:p>
    <w:p>
      <w:pPr>
        <w:spacing w:after="0" w:line="170" w:lineRule="exact"/>
        <w:rPr>
          <w:sz w:val="20"/>
          <w:szCs w:val="20"/>
          <w:color w:val="auto"/>
        </w:rPr>
      </w:pPr>
    </w:p>
    <w:p>
      <w:pPr>
        <w:ind w:right="140" w:firstLine="1945"/>
        <w:spacing w:after="0" w:line="312" w:lineRule="auto"/>
        <w:rPr>
          <w:sz w:val="20"/>
          <w:szCs w:val="20"/>
          <w:color w:val="auto"/>
        </w:rPr>
      </w:pPr>
      <w:r>
        <w:rPr>
          <w:rFonts w:ascii="Arial" w:cs="Arial" w:eastAsia="Arial" w:hAnsi="Arial"/>
          <w:sz w:val="16"/>
          <w:szCs w:val="16"/>
          <w:color w:val="auto"/>
        </w:rPr>
        <w:t>4.8.3.2.Institutions acknowledge that the Shares are not, and shall not be,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 any state securities laws, and that the Shares may not be transferred or sold except pursuant to the registration provisions of the Securities Act or pursuant to an applicable exemption therefrom and subject to state securities laws and regulations, as applicable; and</w:t>
      </w:r>
    </w:p>
    <w:p>
      <w:pPr>
        <w:spacing w:after="0" w:line="147" w:lineRule="exact"/>
        <w:rPr>
          <w:sz w:val="20"/>
          <w:szCs w:val="20"/>
          <w:color w:val="auto"/>
        </w:rPr>
      </w:pPr>
    </w:p>
    <w:p>
      <w:pPr>
        <w:jc w:val="both"/>
        <w:ind w:right="200" w:firstLine="1945"/>
        <w:spacing w:after="0" w:line="302" w:lineRule="auto"/>
        <w:rPr>
          <w:sz w:val="20"/>
          <w:szCs w:val="20"/>
          <w:color w:val="auto"/>
        </w:rPr>
      </w:pPr>
      <w:r>
        <w:rPr>
          <w:rFonts w:ascii="Arial" w:cs="Arial" w:eastAsia="Arial" w:hAnsi="Arial"/>
          <w:sz w:val="16"/>
          <w:szCs w:val="16"/>
          <w:color w:val="auto"/>
        </w:rPr>
        <w:t>4.8.3.3.Institutions have had an opportunity to discuss the Company’s business, management, financial affairs and the terms and conditions of the offering of the Shares with the Company’s management and have had an opportunity to review the Company’s facilities. Institutions have such knowledge and experience in financial and business matters that they are capable of evaluating the merits and risks of an investment in the Company. Institutions represent that they are an accredited investor (as that term is defined in Rule 501 of Regulation D under the Securities Act).</w:t>
      </w:r>
    </w:p>
    <w:p>
      <w:pPr>
        <w:spacing w:after="0" w:line="154"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4.8.4.</w:t>
      </w:r>
      <w:r>
        <w:rPr>
          <w:rFonts w:ascii="Arial" w:cs="Arial" w:eastAsia="Arial" w:hAnsi="Arial"/>
          <w:sz w:val="17"/>
          <w:szCs w:val="17"/>
          <w:u w:val="single" w:color="auto"/>
          <w:color w:val="auto"/>
        </w:rPr>
        <w:t>Anti-Dilution</w:t>
      </w:r>
      <w:r>
        <w:rPr>
          <w:rFonts w:ascii="Arial" w:cs="Arial" w:eastAsia="Arial" w:hAnsi="Arial"/>
          <w:sz w:val="17"/>
          <w:szCs w:val="17"/>
          <w:color w:val="auto"/>
        </w:rPr>
        <w:t>. If, at any time, prior to the achievement of the Funding Threshold (as defined below), Company issues Additional Securities that would cause the Shares to represent less than four and two-tenths percent (4.2%) on a Fully-Diluted Basis, Company shall immediately issue to Institutions and MIT (or Omega, as instructed by MIT) for no additional consideration such additional number of shares of common stock of Company (the “</w:t>
      </w:r>
      <w:r>
        <w:rPr>
          <w:rFonts w:ascii="Arial" w:cs="Arial" w:eastAsia="Arial" w:hAnsi="Arial"/>
          <w:sz w:val="17"/>
          <w:szCs w:val="17"/>
          <w:b w:val="1"/>
          <w:bCs w:val="1"/>
          <w:color w:val="auto"/>
        </w:rPr>
        <w:t>Anti-Dilution Shares</w:t>
      </w:r>
      <w:r>
        <w:rPr>
          <w:rFonts w:ascii="Arial" w:cs="Arial" w:eastAsia="Arial" w:hAnsi="Arial"/>
          <w:sz w:val="17"/>
          <w:szCs w:val="17"/>
          <w:color w:val="auto"/>
        </w:rPr>
        <w:t>”) such that the Shares plus the Anti-Dilution Shares would then represent in the aggregate four and two-tenths percent (4.2%) of the issued and outstanding shares of Company on a Fully-Diluted Basis, as calculated after giving effect to the anti-dilutive issuance up to the Funding Threshold, but not any issuances in consideration for investment amounts in excess of the Funding Threshold; provided however, that to the extent such Additional Securities are issued pursuant to an equity incentive plan, Company shall issue the Anti-Dilution Shares upon the earlier of (a) the end of Company’s fiscal year in which the issuances took place and (b) the closing of the next preferred stock financing, in each case, calculated as of the date contemplated by (a) or (b), as applicable. Such issuances shall continue only up to, and until such time as Company has achieved, the Funding Threshold. Thereafter, no additional shares shall be due to Institutions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MIT (or its designee Omega) pursuant to this Section 4.8.4. Prior to meeting the Funding Threshold, without the prior written consent of Institutions, Company shall not maintain any interest in any subsidiary that is not one hundred percent (100%) owned by Company or another subsidiary of Company that is one hundred percent (100%) owned by Company and shall not issue, sell or have outstanding any convertible securities, outstanding warrants, options or other rights to subscribe for, purchase or acquire from Company any capital stock of any of its direct or indirect subsidiaries. Company shall issue Anti-Dilution Shares pro rata among the record holders of the Shares at the time of issuance of the Anti-Dilution Shares in proportion to such record holders ownership of the Shares.</w:t>
      </w:r>
    </w:p>
    <w:p>
      <w:pPr>
        <w:spacing w:after="0" w:line="193"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4.8.5.Company acknowledges that it has been informed that, pursuant to separate agreement between MIT and Omega, Omega may hereafter become obligated to transfer to MIT any and all of the Shares then owned by Omega. Company agrees that MIT shall be deemed to be the sole shareholder for all purposes of this Section 4.8 with respect to the Shares transferred to MIT by Omega upon such transfer and receipt by Company of written notice from Omega and MIT to that effect.</w:t>
      </w:r>
    </w:p>
    <w:p>
      <w:pPr>
        <w:spacing w:after="0" w:line="183" w:lineRule="exact"/>
        <w:rPr>
          <w:sz w:val="20"/>
          <w:szCs w:val="20"/>
          <w:color w:val="auto"/>
        </w:rPr>
      </w:pPr>
    </w:p>
    <w:p>
      <w:pPr>
        <w:ind w:left="660" w:right="7800" w:hanging="652"/>
        <w:spacing w:after="0" w:line="533" w:lineRule="auto"/>
        <w:tabs>
          <w:tab w:leader="none" w:pos="660"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REPORTS; PAYMENTS; RECORDS. 5.1. Reports and Payments</w:t>
      </w:r>
      <w:r>
        <w:rPr>
          <w:rFonts w:ascii="Arial" w:cs="Arial" w:eastAsia="Arial" w:hAnsi="Arial"/>
          <w:sz w:val="17"/>
          <w:szCs w:val="17"/>
          <w:color w:val="auto"/>
        </w:rPr>
        <w:t>.</w:t>
      </w:r>
    </w:p>
    <w:p>
      <w:pPr>
        <w:ind w:right="240" w:firstLine="1297"/>
        <w:spacing w:after="0" w:line="342" w:lineRule="auto"/>
        <w:rPr>
          <w:sz w:val="20"/>
          <w:szCs w:val="20"/>
          <w:color w:val="auto"/>
        </w:rPr>
      </w:pPr>
      <w:r>
        <w:rPr>
          <w:rFonts w:ascii="Arial" w:cs="Arial" w:eastAsia="Arial" w:hAnsi="Arial"/>
          <w:sz w:val="16"/>
          <w:szCs w:val="16"/>
          <w:color w:val="auto"/>
        </w:rPr>
        <w:t>5.1.1.</w:t>
      </w:r>
      <w:r>
        <w:rPr>
          <w:rFonts w:ascii="Arial" w:cs="Arial" w:eastAsia="Arial" w:hAnsi="Arial"/>
          <w:sz w:val="16"/>
          <w:szCs w:val="16"/>
          <w:u w:val="single" w:color="auto"/>
          <w:color w:val="auto"/>
        </w:rPr>
        <w:t>Reports</w:t>
      </w:r>
      <w:r>
        <w:rPr>
          <w:rFonts w:ascii="Arial" w:cs="Arial" w:eastAsia="Arial" w:hAnsi="Arial"/>
          <w:sz w:val="16"/>
          <w:szCs w:val="16"/>
          <w:color w:val="auto"/>
        </w:rPr>
        <w:t>.Within [**] days after the conclusion of each Calendar Quarter commencing with the first Calendar Quarter in which Net Sales are generated or Sublicense Income is received, Company shall deliver to Institutions a report containing the following information (in each instance,</w:t>
      </w:r>
    </w:p>
    <w:p>
      <w:pPr>
        <w:sectPr>
          <w:pgSz w:w="11900" w:h="16948" w:orient="portrait"/>
          <w:cols w:equalWidth="0" w:num="1">
            <w:col w:w="11420"/>
          </w:cols>
          <w:pgMar w:left="240" w:top="125" w:right="239" w:bottom="0" w:gutter="0" w:footer="0" w:header="0"/>
        </w:sectPr>
      </w:pPr>
    </w:p>
    <w:bookmarkStart w:id="318" w:name="page319"/>
    <w:bookmarkEnd w:id="318"/>
    <w:p>
      <w:pPr>
        <w:spacing w:after="0" w:line="11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with a product/service-by-product/service and country-by-country breakdown and, in the case of the requirement under Section 5.1.1(c), to the extent such itemized listing of allowable deductions is available from Sublicensees under the terms of the relevant Sublicenses):</w:t>
      </w:r>
    </w:p>
    <w:p>
      <w:pPr>
        <w:spacing w:after="0" w:line="170" w:lineRule="exact"/>
        <w:rPr>
          <w:sz w:val="20"/>
          <w:szCs w:val="20"/>
          <w:color w:val="auto"/>
        </w:rPr>
      </w:pPr>
    </w:p>
    <w:p>
      <w:pPr>
        <w:ind w:right="560" w:firstLine="1953"/>
        <w:spacing w:after="0" w:line="277" w:lineRule="auto"/>
        <w:tabs>
          <w:tab w:leader="none" w:pos="259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number of units of Licensed Products, Licensed Services, Enabled Products and Enabled Services sold, leased, performed or otherwise transferred, by Invoicing Entities for the applicable Calendar Quarter;</w:t>
      </w:r>
    </w:p>
    <w:p>
      <w:pPr>
        <w:spacing w:after="0" w:line="170" w:lineRule="exact"/>
        <w:rPr>
          <w:rFonts w:ascii="Arial" w:cs="Arial" w:eastAsia="Arial" w:hAnsi="Arial"/>
          <w:sz w:val="18"/>
          <w:szCs w:val="18"/>
          <w:color w:val="auto"/>
        </w:rPr>
      </w:pPr>
    </w:p>
    <w:p>
      <w:pPr>
        <w:ind w:right="280" w:firstLine="1953"/>
        <w:spacing w:after="0" w:line="277" w:lineRule="auto"/>
        <w:tabs>
          <w:tab w:leader="none" w:pos="26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gross amount billed or invoiced for Licensed Products, Licensed Services, Enabled Products and Enabled Services sold, leased, performed or otherwise transferred by Invoicing Entities during the applicable Calendar Quarter;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 calculation of Net Sales for the applicable Calendar Quarter, including an itemized listing of allowable deductions;</w:t>
      </w:r>
    </w:p>
    <w:p>
      <w:pPr>
        <w:spacing w:after="0" w:line="236" w:lineRule="exact"/>
        <w:rPr>
          <w:rFonts w:ascii="Arial" w:cs="Arial" w:eastAsia="Arial" w:hAnsi="Arial"/>
          <w:sz w:val="17"/>
          <w:szCs w:val="17"/>
          <w:color w:val="auto"/>
        </w:rPr>
      </w:pPr>
    </w:p>
    <w:p>
      <w:pPr>
        <w:ind w:left="2600" w:hanging="647"/>
        <w:spacing w:after="0"/>
        <w:tabs>
          <w:tab w:leader="none" w:pos="26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reasonably detailed accounting of all Sublicense Income received during the applicable Calendar Quarter;</w:t>
      </w:r>
    </w:p>
    <w:p>
      <w:pPr>
        <w:spacing w:after="0" w:line="225" w:lineRule="exact"/>
        <w:rPr>
          <w:rFonts w:ascii="Arial" w:cs="Arial" w:eastAsia="Arial" w:hAnsi="Arial"/>
          <w:sz w:val="18"/>
          <w:szCs w:val="18"/>
          <w:color w:val="auto"/>
        </w:rPr>
      </w:pPr>
    </w:p>
    <w:p>
      <w:pPr>
        <w:ind w:right="180" w:firstLine="1953"/>
        <w:spacing w:after="0" w:line="277" w:lineRule="auto"/>
        <w:tabs>
          <w:tab w:leader="none" w:pos="260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total amount payable to Institutions in U.S. Dollars on Net Sales and Sublicense Income for the applicable Calendar Quarter, together with the exchange rates used for conversion;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list of [**] the Licensed Products and Licensed Services.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Company shall use reasonable efforts to include in each Sublicense a provision requiring the Sublicensee to provide the information required under this Section 5.1.1.</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Each such report shall be certified on behalf of Company as true, correct and complete in all material respects with respect to the information required under Sections 5.1.1(a) through 5.1.1(e), and with respect to the information provided under Section 5.1.1(f), Company shall certify that based solely on its commercially reasonable efforts to determine such information, the Company believes such information is true, correct and complete in all material respects. If no amounts are due to Institutions for a particular Calendar Quarter, the report shall so state.</w:t>
      </w:r>
    </w:p>
    <w:p>
      <w:pPr>
        <w:spacing w:after="0" w:line="167"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5.2. Payment Currency. </w:t>
      </w:r>
      <w:r>
        <w:rPr>
          <w:rFonts w:ascii="Arial" w:cs="Arial" w:eastAsia="Arial" w:hAnsi="Arial"/>
          <w:sz w:val="17"/>
          <w:szCs w:val="17"/>
          <w:color w:val="auto"/>
        </w:rPr>
        <w:t>All payments due under this Agreement shall be paid in U.S. Dollars. Conversion of foreign currency to U.S.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made as of the last working day of the applicable Calendar Quarter at the applicable conversion rate existing in the United States (as reported in the </w:t>
      </w:r>
      <w:r>
        <w:rPr>
          <w:rFonts w:ascii="Arial" w:cs="Arial" w:eastAsia="Arial" w:hAnsi="Arial"/>
          <w:sz w:val="17"/>
          <w:szCs w:val="17"/>
          <w:i w:val="1"/>
          <w:iCs w:val="1"/>
          <w:color w:val="auto"/>
        </w:rPr>
        <w:t>Wall Street Journal</w:t>
      </w:r>
      <w:r>
        <w:rPr>
          <w:rFonts w:ascii="Arial" w:cs="Arial" w:eastAsia="Arial" w:hAnsi="Arial"/>
          <w:sz w:val="17"/>
          <w:szCs w:val="17"/>
          <w:color w:val="auto"/>
        </w:rPr>
        <w:t>) or, solely with respect to Sublicensees, at another commercially reasonable, publicly available, applicable conversion rate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a Sublicense. Such payments shall be without deduction of exchange, collection or other charges.</w:t>
      </w:r>
    </w:p>
    <w:p>
      <w:pPr>
        <w:spacing w:after="0" w:line="165" w:lineRule="exact"/>
        <w:rPr>
          <w:sz w:val="20"/>
          <w:szCs w:val="20"/>
          <w:color w:val="auto"/>
        </w:rPr>
      </w:pPr>
    </w:p>
    <w:p>
      <w:pPr>
        <w:ind w:right="160" w:firstLine="648"/>
        <w:spacing w:after="0" w:line="295" w:lineRule="auto"/>
        <w:rPr>
          <w:sz w:val="20"/>
          <w:szCs w:val="20"/>
          <w:color w:val="auto"/>
        </w:rPr>
      </w:pPr>
      <w:r>
        <w:rPr>
          <w:rFonts w:ascii="Arial" w:cs="Arial" w:eastAsia="Arial" w:hAnsi="Arial"/>
          <w:sz w:val="16"/>
          <w:szCs w:val="16"/>
          <w:b w:val="1"/>
          <w:bCs w:val="1"/>
          <w:color w:val="auto"/>
        </w:rPr>
        <w:t xml:space="preserve">5.3. Records. </w:t>
      </w:r>
      <w:r>
        <w:rPr>
          <w:rFonts w:ascii="Arial" w:cs="Arial" w:eastAsia="Arial" w:hAnsi="Arial"/>
          <w:sz w:val="16"/>
          <w:szCs w:val="16"/>
          <w:color w:val="auto"/>
        </w:rPr>
        <w:t>Company shall maintain, and shall cause its Affiliates and Sublicensees to maintain, complete and accurate records of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Licensed Services, Enabled Products and Enabled Services that are made, used, sold, performed, leased or transferred under this Agreement, any amounts payable to Institutions in relation to such Licensed Products, Licensed Services, Enabled Products or Enabled Services, and all Sublicense Income received by Company and its Affiliates, which records shall contain sufficient information to permit Institutions to confirm the accuracy of any reports or notifications delivered to Institutions under Section 5.1. Company, its Affiliates and/or its Sublicensees, as applicable, shall retain such records relating to a given Calendar Year for at least [**] years after the conclusion of that Calendar Year (the “</w:t>
      </w:r>
      <w:r>
        <w:rPr>
          <w:rFonts w:ascii="Arial" w:cs="Arial" w:eastAsia="Arial" w:hAnsi="Arial"/>
          <w:sz w:val="16"/>
          <w:szCs w:val="16"/>
          <w:b w:val="1"/>
          <w:bCs w:val="1"/>
          <w:color w:val="auto"/>
        </w:rPr>
        <w:t>Record Retention Period</w:t>
      </w:r>
      <w:r>
        <w:rPr>
          <w:rFonts w:ascii="Arial" w:cs="Arial" w:eastAsia="Arial" w:hAnsi="Arial"/>
          <w:sz w:val="16"/>
          <w:szCs w:val="16"/>
          <w:color w:val="auto"/>
        </w:rPr>
        <w:t>”).</w:t>
      </w:r>
    </w:p>
    <w:p>
      <w:pPr>
        <w:spacing w:after="0" w:line="160" w:lineRule="exact"/>
        <w:rPr>
          <w:sz w:val="20"/>
          <w:szCs w:val="20"/>
          <w:color w:val="auto"/>
        </w:rPr>
      </w:pPr>
    </w:p>
    <w:p>
      <w:pPr>
        <w:ind w:right="40" w:firstLine="1297"/>
        <w:spacing w:after="0" w:line="253" w:lineRule="auto"/>
        <w:rPr>
          <w:sz w:val="20"/>
          <w:szCs w:val="20"/>
          <w:color w:val="auto"/>
        </w:rPr>
      </w:pPr>
      <w:r>
        <w:rPr>
          <w:rFonts w:ascii="Arial" w:cs="Arial" w:eastAsia="Arial" w:hAnsi="Arial"/>
          <w:sz w:val="18"/>
          <w:szCs w:val="18"/>
          <w:color w:val="auto"/>
        </w:rPr>
        <w:t>5.3.1.</w:t>
      </w:r>
      <w:r>
        <w:rPr>
          <w:rFonts w:ascii="Arial" w:cs="Arial" w:eastAsia="Arial" w:hAnsi="Arial"/>
          <w:sz w:val="18"/>
          <w:szCs w:val="18"/>
          <w:u w:val="single" w:color="auto"/>
          <w:color w:val="auto"/>
        </w:rPr>
        <w:t>Audit of Company and Affiliates</w:t>
      </w:r>
      <w:r>
        <w:rPr>
          <w:rFonts w:ascii="Arial" w:cs="Arial" w:eastAsia="Arial" w:hAnsi="Arial"/>
          <w:sz w:val="18"/>
          <w:szCs w:val="18"/>
          <w:color w:val="auto"/>
        </w:rPr>
        <w:t>. During the Record Retention Period, Institutions shall have the right, at their expense, to cause an independent, certified public accountant (or, in the event of a non-financial audit, other appropriate auditor) chosen by Institutions and reasonably acceptable to Company to inspect such records of Company and its Affiliates during normal business hours for the purposes of verifying the accuracy of any reports and payments delivered under this Agreement and Company’s compliance with the terms hereof. Such accountant or other auditor, as applicable, shall not disclose to Institutions any information other than information relating to the accuracy of reports and payments delivered under this Agreement. The Parties shall reconcile any underpayment or overpayment within [**] days after the accountant delivers the results of the audit. If any audit performed under this Section 5.3.1 reveals an underpayment in excess of [**] percent ([**]%) in any Calendar Year, Company shall reimburse Institutions for all amounts incurred in connection with such audit. Institutions may exercise its rights under this Section on 5.3.1 [**] per audited entity, [**] and only with reasonable prior notice to the audited entity.</w:t>
      </w:r>
    </w:p>
    <w:p>
      <w:pPr>
        <w:spacing w:after="0" w:line="197"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5.3.2.</w:t>
      </w:r>
      <w:r>
        <w:rPr>
          <w:rFonts w:ascii="Arial" w:cs="Arial" w:eastAsia="Arial" w:hAnsi="Arial"/>
          <w:sz w:val="18"/>
          <w:szCs w:val="18"/>
          <w:u w:val="single" w:color="auto"/>
          <w:color w:val="auto"/>
        </w:rPr>
        <w:t>Audit of Sublicensees</w:t>
      </w:r>
      <w:r>
        <w:rPr>
          <w:rFonts w:ascii="Arial" w:cs="Arial" w:eastAsia="Arial" w:hAnsi="Arial"/>
          <w:sz w:val="18"/>
          <w:szCs w:val="18"/>
          <w:color w:val="auto"/>
        </w:rPr>
        <w:t>. During the Record Retention Period, Institutions shall have the right, at their expense, to require Company to make available to an independent, certified public accountant (or, in the event of a non-financial audit, other appropriate auditor)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chosen by Institutions and reasonably acceptable to Company, during normal business hours, such information as Company has in its possession with respect to reports and payments from Sublicensees for the purposes of verifying the accuracy of any reports and payments delivered under this Agreement and Company’s compliance with the terms hereof. If such information as Company has in its possession is not sufficient for such purposes, Institutions shall have the right, at their expense, to cause Company to exercise its right under a Sublicense to cause an independent, certified public accountant (or, in the event of a non-financial audit, other appropriate auditor) chosen by Institutions and reasonably acceptable to Company to inspect such records of Sublicensee during normal business hours for the purposes of verifying the accuracy of any reports and payments delivered under this Agreement and Company’s compliance with the terms hereof. Such accountant or other auditor, as applicable, shall not disclose to Institutions any information other than information relating to the accuracy of reports and payments delivered under this Agreement and then only to the extent such accountant or other auditor may disclose such information to Company under the terms of the relevant Sublicense. If Company does not have the right to conduct an audit of such Sublicensee for the relevant Calendar Year, Company and Institutions shall meet and use reasonable efforts to agree on an appropriate course of action. The Parties shall reconcile any underpayment or overpayment within [**] days after the accountant delivers the results of the audit. If any audit performed under this Section 5.3.2 reveals an underpayment to Institutions in excess of [**] percent ([**]%) in any Calendar Year, Company shall reimburse Institutions for all amounts incurred in connection with such audit. Institutions may exercise its rights under this Section on 5.3.2 [**] per Sublicensee, [**] and only with reasonable prior notice to Company and any audited Sublicensee.</w:t>
      </w:r>
    </w:p>
    <w:p>
      <w:pPr>
        <w:spacing w:after="0" w:line="181" w:lineRule="exact"/>
        <w:rPr>
          <w:sz w:val="20"/>
          <w:szCs w:val="20"/>
          <w:color w:val="auto"/>
        </w:rPr>
      </w:pPr>
    </w:p>
    <w:p>
      <w:pPr>
        <w:ind w:right="40" w:firstLine="648"/>
        <w:spacing w:after="0" w:line="313" w:lineRule="auto"/>
        <w:rPr>
          <w:sz w:val="20"/>
          <w:szCs w:val="20"/>
          <w:color w:val="auto"/>
        </w:rPr>
      </w:pPr>
      <w:r>
        <w:rPr>
          <w:rFonts w:ascii="Arial" w:cs="Arial" w:eastAsia="Arial" w:hAnsi="Arial"/>
          <w:sz w:val="17"/>
          <w:szCs w:val="17"/>
          <w:b w:val="1"/>
          <w:bCs w:val="1"/>
          <w:color w:val="auto"/>
        </w:rPr>
        <w:t xml:space="preserve">5.4. Late Payments. </w:t>
      </w:r>
      <w:r>
        <w:rPr>
          <w:rFonts w:ascii="Arial" w:cs="Arial" w:eastAsia="Arial" w:hAnsi="Arial"/>
          <w:sz w:val="17"/>
          <w:szCs w:val="17"/>
          <w:color w:val="auto"/>
        </w:rPr>
        <w:t>Any payments by Company that are not paid on or before the date such payments are due under this Agreement shall bear</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at the lower of (a) [**] percent ([**]%) per month and (b) the maximum rate allowed by law. Interest shall accrue beginning on the first day</w:t>
      </w:r>
    </w:p>
    <w:p>
      <w:pPr>
        <w:sectPr>
          <w:pgSz w:w="11900" w:h="16957" w:orient="portrait"/>
          <w:cols w:equalWidth="0" w:num="1">
            <w:col w:w="11400"/>
          </w:cols>
          <w:pgMar w:left="240" w:top="125" w:right="259" w:bottom="0" w:gutter="0" w:footer="0" w:header="0"/>
        </w:sectPr>
      </w:pPr>
    </w:p>
    <w:bookmarkStart w:id="319" w:name="page320"/>
    <w:bookmarkEnd w:id="319"/>
    <w:p>
      <w:pPr>
        <w:ind w:right="180"/>
        <w:spacing w:after="0" w:line="277" w:lineRule="auto"/>
        <w:rPr>
          <w:sz w:val="20"/>
          <w:szCs w:val="20"/>
          <w:color w:val="auto"/>
        </w:rPr>
      </w:pPr>
      <w:r>
        <w:rPr>
          <w:rFonts w:ascii="Arial" w:cs="Arial" w:eastAsia="Arial" w:hAnsi="Arial"/>
          <w:sz w:val="18"/>
          <w:szCs w:val="18"/>
          <w:color w:val="auto"/>
        </w:rPr>
        <w:t>following the due date for payment and shall be compounded quarterly. Payment of such interest by Company shall not limit, in any way, Institutions’ right to exercise any other remedies Institutions may have as a consequence of the lateness of any payment.</w:t>
      </w:r>
    </w:p>
    <w:p>
      <w:pPr>
        <w:spacing w:after="0" w:line="166"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5.5. Payment Method. </w:t>
      </w:r>
      <w:r>
        <w:rPr>
          <w:rFonts w:ascii="Arial" w:cs="Arial" w:eastAsia="Arial" w:hAnsi="Arial"/>
          <w:sz w:val="18"/>
          <w:szCs w:val="18"/>
          <w:color w:val="auto"/>
        </w:rPr>
        <w:t>Each payment due to Institutions under this Agreement shall be paid by check or wire transfer of funds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account in accordance with written instructions provided by each Institution. If made by wire transfer, such payments shall be marked so as to refer to this Agreement.</w:t>
      </w:r>
    </w:p>
    <w:p>
      <w:pPr>
        <w:spacing w:after="0" w:line="176" w:lineRule="exact"/>
        <w:rPr>
          <w:sz w:val="20"/>
          <w:szCs w:val="20"/>
          <w:color w:val="auto"/>
        </w:rPr>
      </w:pPr>
    </w:p>
    <w:p>
      <w:pPr>
        <w:ind w:right="620" w:firstLine="648"/>
        <w:spacing w:after="0" w:line="266" w:lineRule="auto"/>
        <w:rPr>
          <w:sz w:val="20"/>
          <w:szCs w:val="20"/>
          <w:color w:val="auto"/>
        </w:rPr>
      </w:pPr>
      <w:r>
        <w:rPr>
          <w:rFonts w:ascii="Arial" w:cs="Arial" w:eastAsia="Arial" w:hAnsi="Arial"/>
          <w:sz w:val="18"/>
          <w:szCs w:val="18"/>
          <w:b w:val="1"/>
          <w:bCs w:val="1"/>
          <w:color w:val="auto"/>
        </w:rPr>
        <w:t xml:space="preserve">5.6. Withholding and Similar Taxes. </w:t>
      </w:r>
      <w:r>
        <w:rPr>
          <w:rFonts w:ascii="Arial" w:cs="Arial" w:eastAsia="Arial" w:hAnsi="Arial"/>
          <w:sz w:val="18"/>
          <w:szCs w:val="18"/>
          <w:color w:val="auto"/>
        </w:rPr>
        <w:t>All amounts to be paid to Institutions pursuant to this Agreement shall be without deduction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collection, or other charges, and, specifically, without deduction of withholding or similar taxes imposed on Company or other government imposed fees or taxes imposed on Company, except as permitted in the definition of Net Sales.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PATENT FILING, PROSECUTION AND MAINTENANCE.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Control.</w:t>
      </w:r>
    </w:p>
    <w:p>
      <w:pPr>
        <w:spacing w:after="0" w:line="229"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6.1.1.Each Institution shall be responsible for the Prosecution of its respective Patent Rights. Subject to Sections 6.1.2-6.1.4, each of the Institutions shall, with respect to any of the Patent Rights so under its control: (a) choose patent counsel; (b) instruct such patent counsel to furnish the Company with copies of all correspondence relating to the Patent Rights received from and sent to the United States Patent and Trademark Office (USPTO) and any other patent office, as well as copies of all proposed responses to such correspondence received from any patent office in time for Company to review and comment on such response; (c) supply Company with a copy of the application as filed, together with notice of its filing date and serial number;</w:t>
      </w:r>
    </w:p>
    <w:p>
      <w:pPr>
        <w:spacing w:after="0" w:line="2" w:lineRule="exact"/>
        <w:rPr>
          <w:sz w:val="20"/>
          <w:szCs w:val="20"/>
          <w:color w:val="auto"/>
        </w:rPr>
      </w:pPr>
    </w:p>
    <w:p>
      <w:pPr>
        <w:ind w:right="60" w:firstLine="8"/>
        <w:spacing w:after="0" w:line="252" w:lineRule="auto"/>
        <w:tabs>
          <w:tab w:leader="none" w:pos="2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supply Company with a draft copy of any proposed preliminary amendment to be filed subsequent to the filing of a non-provisional application within the Patent Right, on the express condition that Company will not propose any claim amendment or new claim that it believes, or has reason to believe, would result in the addition of any new inventor(s) to the application in question; and (e) keep Company advised of the status of actual patent filings related to the Patent Rights. Institutions shall give Company the opportunity to provide comments on and make requests of Institutions concerning the Prosecution of the Patent Rights, and shall consider such comments and requests in good faith; however, final decision-making authority with respect to the Prosecution of the Patent Rights shall vest in Institutions. For the avoidance of doubt, Company’s right to review and comment shall not include the right to review draft patent applications prior to filing.</w:t>
      </w:r>
    </w:p>
    <w:p>
      <w:pPr>
        <w:spacing w:after="0" w:line="193"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6.1.2.Institutions shall provide notice to Company in the event Prosecution of the Patent Rights involves an interference or derivation proceeding. Upon declaration of any such interference or initiation of any such derivation proceeding, Company’s rights under Section 6.1.1, including the right to receive correspondence to or from a patent office and the right to review draft responses, shall be suspended with respect to the Patent Rights involved in the interference or derivation proceeding. Notwithstanding the foregoing, any such interference or derivation proceeding is considered Prosecution of the Patent Rights and Company remains responsible for Institutions’ expenses in connection with such Prosecution, including costs and expenses associated with settlement or attempts to settle the interference. Notwithstanding the foregoing, if Company does not have an interest, such as by ownership, license or option, in opposing patents or applications involved in the interference or derivation proceeding, the relevant Institution shall enter into a common interest agreement to facilitate the sharing of the materials set forth in Section 6.1.1(b) with the Company.</w:t>
      </w:r>
    </w:p>
    <w:p>
      <w:pPr>
        <w:spacing w:after="0" w:line="179"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6.1.3.In the event that the Prosecution of the Patent Rights involves an interference or derivation proceedings including Patent Rights from both Institutions and naming the Institutions as opposing parties, Institutions shall act in good faith to try to settle such interference.</w:t>
      </w:r>
    </w:p>
    <w:p>
      <w:pPr>
        <w:spacing w:after="0" w:line="147"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6.1.4.Notwithstanding the foregoing, if Company or any of its agents, Affiliates or Sublicensees is or becomes a Challenging Party, then Company’s rights to participate in Prosecution under Section 6.1.1, including the right to receive correspondence to or from a patent office and the right to review draft responses, shall be suspended during the pendency of the relevant Patent Challenge with respect both to the Patent Rights that are the subject of the Patent Challenge and to any related Patent Rights.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297"/>
        <w:spacing w:after="0" w:line="283" w:lineRule="auto"/>
        <w:rPr>
          <w:sz w:val="20"/>
          <w:szCs w:val="20"/>
          <w:color w:val="auto"/>
        </w:rPr>
      </w:pPr>
      <w:r>
        <w:rPr>
          <w:rFonts w:ascii="Arial" w:cs="Arial" w:eastAsia="Arial" w:hAnsi="Arial"/>
          <w:sz w:val="16"/>
          <w:szCs w:val="16"/>
          <w:color w:val="auto"/>
        </w:rPr>
        <w:t>6.1.5.No later than [**] days prior to the deadline for entering into the national/regional phase with respect to any PCT application included in the Patent Rights, Company shall provide the Institution controlling Prosecution of the relevant Patent Rights with a list of countries in which Company would like such Institution to file the patent application (each, a “</w:t>
      </w:r>
      <w:r>
        <w:rPr>
          <w:rFonts w:ascii="Arial" w:cs="Arial" w:eastAsia="Arial" w:hAnsi="Arial"/>
          <w:sz w:val="16"/>
          <w:szCs w:val="16"/>
          <w:b w:val="1"/>
          <w:bCs w:val="1"/>
          <w:color w:val="auto"/>
        </w:rPr>
        <w:t>List of Countries</w:t>
      </w:r>
      <w:r>
        <w:rPr>
          <w:rFonts w:ascii="Arial" w:cs="Arial" w:eastAsia="Arial" w:hAnsi="Arial"/>
          <w:sz w:val="16"/>
          <w:szCs w:val="16"/>
          <w:color w:val="auto"/>
        </w:rPr>
        <w:t>”). Such Institution shall consider each List of Countries in good faith and, except as provided below in this Section 6.1.5, shall file national/regional phase applications in all countries on each List of Countries. Notwithstanding anything to the contrary contained in this Agreement, and without intending to limit any of Institutions’ rights hereunder, each Institution expressly reserves the right (i) to decline to initiate Prosecution of any of the Patent Rights the Prosecution of which is controlled by such Institution in a Developing Country(ies) (excluding Brazil, China and India) included on a List of Countries or (ii) to initiate, and in its discretion, continue Prosecution of any of the Patent Rights the Prosecution of which is controlled by such Institution in a Developing Country(ies) (excluding Brazil, China and India) whether or not included on a List of Countries at the relevant Institution’s expense, provided that such Institution provides Company with [**] days’ advance notice of its intention to take the action described in the foregoing clause (i) or (ii), provides Company an opportunity for Company to meet with such Institution to discuss, and reasonably considers Company’s comments regarding such intention. Such Institution shall thereafter notify Company of the taking of any action described in the foregoing clause (i) or (ii) at least [**] days before the taking of such action. If such Institution takes the action described in clause</w:t>
      </w:r>
    </w:p>
    <w:p>
      <w:pPr>
        <w:spacing w:after="0" w:line="4" w:lineRule="exact"/>
        <w:rPr>
          <w:sz w:val="20"/>
          <w:szCs w:val="20"/>
          <w:color w:val="auto"/>
        </w:rPr>
      </w:pPr>
    </w:p>
    <w:p>
      <w:pPr>
        <w:ind w:firstLine="8"/>
        <w:spacing w:after="0" w:line="286" w:lineRule="auto"/>
        <w:tabs>
          <w:tab w:leader="none" w:pos="26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of the immediately preceding sentence, then such Institution expressly reserves the right, upon notice to Company, either (A) to remove the applicable Patent Right in such Developing Country(ies) from the scope of the exclusive license granted pursuant to Section 2.1.1, effective upon such notice, without affecting the scope of the non-exclusive license granted pursuant to Section 2.1.2, or (B) treat the applicable Patent Right as an Abandoned Patent Right, in which case under this clause (B) all licenses granted to the Company under such Patent Right in such Developing Country(ies) shall terminate upon such notice; whereupon such Institution shall be free, without further notice or obligation to Company, to grant non-exclusive (in the event Institution proceeds under the preceding clause (A)) or non-exclusive or exclusive (in the event Institution proceeds under the preceding clause (B)) rights in and to such Patent Right to Third Parties for all purposes within such Developing Country(ies). Further, Institutions may, in their sole discretion, file additional national/regional phase applications (the “</w:t>
      </w:r>
      <w:r>
        <w:rPr>
          <w:rFonts w:ascii="Arial" w:cs="Arial" w:eastAsia="Arial" w:hAnsi="Arial"/>
          <w:sz w:val="16"/>
          <w:szCs w:val="16"/>
          <w:b w:val="1"/>
          <w:bCs w:val="1"/>
          <w:color w:val="auto"/>
        </w:rPr>
        <w:t>Additional National Stage Filings</w:t>
      </w:r>
      <w:r>
        <w:rPr>
          <w:rFonts w:ascii="Arial" w:cs="Arial" w:eastAsia="Arial" w:hAnsi="Arial"/>
          <w:sz w:val="16"/>
          <w:szCs w:val="16"/>
          <w:color w:val="auto"/>
        </w:rPr>
        <w:t>”) in countries not included on a List of Countries provided by Company, and all expenses, including translation fees associated with Prosecution of such Additional National Stage Filings shall be expenses associated with Prosecution under this Agreement, in accordance with Section 6.3. If Company does not wish to reimburse Institutions for all expenses associated with Prosecution of such</w:t>
      </w:r>
    </w:p>
    <w:p>
      <w:pPr>
        <w:sectPr>
          <w:pgSz w:w="11900" w:h="16838" w:orient="portrait"/>
          <w:cols w:equalWidth="0" w:num="1">
            <w:col w:w="11420"/>
          </w:cols>
          <w:pgMar w:left="240" w:top="125" w:right="239" w:bottom="0" w:gutter="0" w:footer="0" w:header="0"/>
        </w:sectPr>
      </w:pPr>
    </w:p>
    <w:bookmarkStart w:id="320" w:name="page321"/>
    <w:bookmarkEnd w:id="320"/>
    <w:p>
      <w:pPr>
        <w:spacing w:after="0" w:line="7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Additional National Stage Filings, such Additional National Stage Filings shall be deemed Abandoned Patent Rights and treated in accordance with Section 6.4.1.</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b w:val="1"/>
          <w:bCs w:val="1"/>
          <w:color w:val="auto"/>
        </w:rPr>
        <w:t>6.2. Common Interest</w:t>
      </w:r>
      <w:r>
        <w:rPr>
          <w:rFonts w:ascii="Arial" w:cs="Arial" w:eastAsia="Arial" w:hAnsi="Arial"/>
          <w:sz w:val="17"/>
          <w:szCs w:val="17"/>
          <w:color w:val="auto"/>
        </w:rPr>
        <w:t>. All non-public information disclosed by an Institution or an Institution’s outside patent counsel to Company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Prosecution of the Patent Rights, including [**], shall be deemed Confidential Information of the Institution (either Harvard or Broad, for itself or on behalf of MIT and/or Harvard, as applicable) that has disclosed such information. In addition, the Parties acknowledge and agree that, with regard to such Prosecution of the Patent Rights, the interests of the Parties as licensors and licensee are aligned and are legal in nature. The Parties agree and acknowledge that they have not waived, and nothing in this Agreement constitutes a waiver of, any legal privilege concerning the Patent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Rights or their Confidential Information, including privilege under the common interest doctrine and similar or related doctrines.</w:t>
      </w:r>
    </w:p>
    <w:p>
      <w:pPr>
        <w:spacing w:after="0" w:line="22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6.3. Expenses</w:t>
      </w:r>
      <w:r>
        <w:rPr>
          <w:rFonts w:ascii="Arial" w:cs="Arial" w:eastAsia="Arial" w:hAnsi="Arial"/>
          <w:sz w:val="17"/>
          <w:szCs w:val="17"/>
          <w:color w:val="auto"/>
        </w:rPr>
        <w:t>. Within [**] days after the Effective Date, the Company shall reimburse each Institution for all unreimbursed, documented, out-of-pocket expenses incurred by each Institution in the Prosecution of the Patent Rights incurred prior to execution of the Agreement. In addition, subject to Section 6.4 hereof, Company shall reimburse each Institution for all documented, out-of-pocket expenses, including attorneys’ fees, translation costs and official fees, incurred by each Institution in the Prosecution of the Patent Rights, including Prosecution of the Patent Rights pursuant to any of Sections 6.1.1-6.1.5, incurred after the Effective Date within [**] days after the date of each invoice from the Institutions for such expenses. Institutions shall provide copies of invoices that identify the Patent Rights to which the invoice relates and include the Company reference numbers (to be provided by Company) and shall provide the associated detailed time and expense entries from patent counsel(s). If both Institutions are opposing parties in an interference or other patent proceeding, Company shall reimburse [**] percent ([**]%) of each Institution’s incurred expenses, including [**].</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Abandonment.</w:t>
      </w:r>
    </w:p>
    <w:p>
      <w:pPr>
        <w:spacing w:after="0" w:line="229"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6.4.1.</w:t>
      </w:r>
      <w:r>
        <w:rPr>
          <w:rFonts w:ascii="Arial" w:cs="Arial" w:eastAsia="Arial" w:hAnsi="Arial"/>
          <w:sz w:val="17"/>
          <w:szCs w:val="17"/>
          <w:u w:val="single" w:color="auto"/>
          <w:color w:val="auto"/>
        </w:rPr>
        <w:t>Abandonment by Company.</w:t>
      </w:r>
      <w:r>
        <w:rPr>
          <w:rFonts w:ascii="Arial" w:cs="Arial" w:eastAsia="Arial" w:hAnsi="Arial"/>
          <w:sz w:val="17"/>
          <w:szCs w:val="17"/>
          <w:color w:val="auto"/>
        </w:rPr>
        <w:t xml:space="preserve"> If Company decides that it does not wish to pay for the Prosecution of any Patent Rights in a particular country (“</w:t>
      </w:r>
      <w:r>
        <w:rPr>
          <w:rFonts w:ascii="Arial" w:cs="Arial" w:eastAsia="Arial" w:hAnsi="Arial"/>
          <w:sz w:val="17"/>
          <w:szCs w:val="17"/>
          <w:b w:val="1"/>
          <w:bCs w:val="1"/>
          <w:color w:val="auto"/>
        </w:rPr>
        <w:t>Abandoned Patent Rights</w:t>
      </w:r>
      <w:r>
        <w:rPr>
          <w:rFonts w:ascii="Arial" w:cs="Arial" w:eastAsia="Arial" w:hAnsi="Arial"/>
          <w:sz w:val="17"/>
          <w:szCs w:val="17"/>
          <w:color w:val="auto"/>
        </w:rPr>
        <w:t>”), Company shall provide Institutions with prompt written notice of such election. [**] days after receipt of such notice by Institutions, Company shall be released from its obligation to reimburse Institutions for the expenses incurred thereafter as to such Abandoned Patent Rights; provided, however, that expenses authorized prior to the receipt by Institutions of such notice shall be deemed incurred prior to the notice. In the event of Company’s abandonment of any Patent Rights, any license granted to Company hereunder with respect to such Abandoned Patent Rights shall terminate, and Company shall have no rights whatsoever to exploit such Abandoned Patent Rights. Institutions shall then be free, without further notice or obligation to Company, to grant rights in and to such Abandoned Patent Rights to Third Parties without limitation.</w:t>
      </w:r>
    </w:p>
    <w:p>
      <w:pPr>
        <w:spacing w:after="0" w:line="178"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6.4.2.</w:t>
      </w:r>
      <w:r>
        <w:rPr>
          <w:rFonts w:ascii="Arial" w:cs="Arial" w:eastAsia="Arial" w:hAnsi="Arial"/>
          <w:sz w:val="16"/>
          <w:szCs w:val="16"/>
          <w:u w:val="single" w:color="auto"/>
          <w:color w:val="auto"/>
        </w:rPr>
        <w:t>Abandonment by Institutions.</w:t>
      </w:r>
      <w:r>
        <w:rPr>
          <w:rFonts w:ascii="Arial" w:cs="Arial" w:eastAsia="Arial" w:hAnsi="Arial"/>
          <w:sz w:val="16"/>
          <w:szCs w:val="16"/>
          <w:color w:val="auto"/>
        </w:rPr>
        <w:t xml:space="preserve"> Each Institution agrees to maintain any application or patent within the Patent Rights that it controls for as long as (a) Company continues to meet its obligation to reimburse expenses associated with such application or patent in accordance with Section 6.3 and</w:t>
      </w:r>
    </w:p>
    <w:p>
      <w:pPr>
        <w:ind w:right="120" w:firstLine="8"/>
        <w:spacing w:after="0" w:line="323" w:lineRule="auto"/>
        <w:tabs>
          <w:tab w:leader="none" w:pos="25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there is a good faith basis for doing so. For the avoidance of doubt, this Section shall not apply and shall not limit Institutions’ right to cease Prosecution of a given application within the Patent Rights in lieu of a divisional, continuation or continuation-in-part application that is also within the Patent Rights.</w:t>
      </w:r>
    </w:p>
    <w:p>
      <w:pPr>
        <w:spacing w:after="0" w:line="13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6.5. Large Entity Designation. </w:t>
      </w:r>
      <w:r>
        <w:rPr>
          <w:rFonts w:ascii="Arial" w:cs="Arial" w:eastAsia="Arial" w:hAnsi="Arial"/>
          <w:sz w:val="18"/>
          <w:szCs w:val="18"/>
          <w:color w:val="auto"/>
        </w:rPr>
        <w:t>The Parties hereby agree that Institutions shall pay the fees prescribed for large entities to the USPTO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Patent Rights.</w:t>
      </w:r>
    </w:p>
    <w:p>
      <w:pPr>
        <w:spacing w:after="0" w:line="16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 xml:space="preserve">6.6. Marking. </w:t>
      </w:r>
      <w:r>
        <w:rPr>
          <w:rFonts w:ascii="Arial" w:cs="Arial" w:eastAsia="Arial" w:hAnsi="Arial"/>
          <w:sz w:val="17"/>
          <w:szCs w:val="17"/>
          <w:color w:val="auto"/>
        </w:rPr>
        <w:t>Company shall, and shall cause its Affiliates and Sublicensees to, mark all Licensed Products or Licensed Services sold,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or otherwise disposed of in such a manner as to conform with the patent laws and practice of the country to which such products are shipped or in which such products are sold for the purposes of ensuring maximum enforceability of Patent Rights in such country.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6.7. CREATE Act</w:t>
      </w:r>
      <w:r>
        <w:rPr>
          <w:rFonts w:ascii="Arial" w:cs="Arial" w:eastAsia="Arial" w:hAnsi="Arial"/>
          <w:sz w:val="18"/>
          <w:szCs w:val="18"/>
          <w:color w:val="auto"/>
        </w:rPr>
        <w:t>. [**] shall have the right to use this Agreement as a joint research agreement to make an election under the Cooperative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Technology Enhancement Act of 2004, 35 U.S.C. 103(c)(2)-(c)(3), as amended by the America Invents Act and set forth in 35 U.S.C. 102(b)(2) (C) and 102(c), [**].</w:t>
      </w:r>
    </w:p>
    <w:p>
      <w:pPr>
        <w:spacing w:after="0" w:line="176" w:lineRule="exact"/>
        <w:rPr>
          <w:sz w:val="20"/>
          <w:szCs w:val="20"/>
          <w:color w:val="auto"/>
        </w:rPr>
      </w:pPr>
    </w:p>
    <w:p>
      <w:pPr>
        <w:ind w:left="660" w:hanging="652"/>
        <w:spacing w:after="0"/>
        <w:tabs>
          <w:tab w:leader="none" w:pos="6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PATENT RIGHTS.</w:t>
      </w:r>
    </w:p>
    <w:p>
      <w:pPr>
        <w:spacing w:after="0" w:line="225" w:lineRule="exact"/>
        <w:rPr>
          <w:sz w:val="20"/>
          <w:szCs w:val="20"/>
          <w:color w:val="auto"/>
        </w:rPr>
      </w:pPr>
    </w:p>
    <w:p>
      <w:pPr>
        <w:ind w:right="520" w:firstLine="648"/>
        <w:spacing w:after="0" w:line="313" w:lineRule="auto"/>
        <w:rPr>
          <w:sz w:val="20"/>
          <w:szCs w:val="20"/>
          <w:color w:val="auto"/>
        </w:rPr>
      </w:pPr>
      <w:r>
        <w:rPr>
          <w:rFonts w:ascii="Arial" w:cs="Arial" w:eastAsia="Arial" w:hAnsi="Arial"/>
          <w:sz w:val="17"/>
          <w:szCs w:val="17"/>
          <w:b w:val="1"/>
          <w:bCs w:val="1"/>
          <w:color w:val="auto"/>
        </w:rPr>
        <w:t xml:space="preserve">7.1. Notice. </w:t>
      </w:r>
      <w:r>
        <w:rPr>
          <w:rFonts w:ascii="Arial" w:cs="Arial" w:eastAsia="Arial" w:hAnsi="Arial"/>
          <w:sz w:val="17"/>
          <w:szCs w:val="17"/>
          <w:color w:val="auto"/>
        </w:rPr>
        <w:t>In the event either Party becomes aware of any possible or actual infringement of any Patent Rights with respect to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or Licensed Services, that Party shall promptly notify the other Party and provide it with details regarding such Infringement.</w:t>
      </w:r>
    </w:p>
    <w:p>
      <w:pPr>
        <w:spacing w:after="0" w:line="13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7.2. Suit by Company. </w:t>
      </w:r>
      <w:r>
        <w:rPr>
          <w:rFonts w:ascii="Arial" w:cs="Arial" w:eastAsia="Arial" w:hAnsi="Arial"/>
          <w:sz w:val="17"/>
          <w:szCs w:val="17"/>
          <w:color w:val="auto"/>
        </w:rPr>
        <w:t>So long as Company remains the exclusive licensee of the Patent Rights with respect to Licensed Product in the Field,</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have the first right, but not the obligation, to institute infringement suits under the Patent Rights with respect to Licensed Products in the Field where Company reasonably determines that a Third Party is marketing or has specific plans and is preparing to market an infringing product in any country that competes with a Licensed Product in the Field (“</w:t>
      </w:r>
      <w:r>
        <w:rPr>
          <w:rFonts w:ascii="Arial" w:cs="Arial" w:eastAsia="Arial" w:hAnsi="Arial"/>
          <w:sz w:val="17"/>
          <w:szCs w:val="17"/>
          <w:b w:val="1"/>
          <w:bCs w:val="1"/>
          <w:color w:val="auto"/>
        </w:rPr>
        <w:t>Infringement</w:t>
      </w:r>
      <w:r>
        <w:rPr>
          <w:rFonts w:ascii="Arial" w:cs="Arial" w:eastAsia="Arial" w:hAnsi="Arial"/>
          <w:sz w:val="17"/>
          <w:szCs w:val="17"/>
          <w:color w:val="auto"/>
        </w:rPr>
        <w:t>”); provided that prior to initiating action against the Third Party with respect to such Infringement, Company has provided evidence to Institutions and MIT, as applicable, that there is a good faith basis for doing so. Notwithstanding anything to the contrary contained herein with respect to any Infringement, if Company owns one or more patents that cover the allegedly infringing product (“</w:t>
      </w:r>
      <w:r>
        <w:rPr>
          <w:rFonts w:ascii="Arial" w:cs="Arial" w:eastAsia="Arial" w:hAnsi="Arial"/>
          <w:sz w:val="17"/>
          <w:szCs w:val="17"/>
          <w:b w:val="1"/>
          <w:bCs w:val="1"/>
          <w:color w:val="auto"/>
        </w:rPr>
        <w:t>Other</w:t>
      </w:r>
      <w:r>
        <w:rPr>
          <w:rFonts w:ascii="Arial" w:cs="Arial" w:eastAsia="Arial" w:hAnsi="Arial"/>
          <w:sz w:val="17"/>
          <w:szCs w:val="17"/>
          <w:color w:val="auto"/>
        </w:rPr>
        <w:t xml:space="preserve"> </w:t>
      </w:r>
      <w:r>
        <w:rPr>
          <w:rFonts w:ascii="Arial" w:cs="Arial" w:eastAsia="Arial" w:hAnsi="Arial"/>
          <w:sz w:val="17"/>
          <w:szCs w:val="17"/>
          <w:b w:val="1"/>
          <w:bCs w:val="1"/>
          <w:color w:val="auto"/>
        </w:rPr>
        <w:t>IP</w:t>
      </w:r>
      <w:r>
        <w:rPr>
          <w:rFonts w:ascii="Arial" w:cs="Arial" w:eastAsia="Arial" w:hAnsi="Arial"/>
          <w:sz w:val="17"/>
          <w:szCs w:val="17"/>
          <w:color w:val="auto"/>
        </w:rPr>
        <w:t>”), Company shall not initiate action under the Patent Rights unless it (i) also asserts [**] of such Other IP or (ii) obtains written consent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 that controls the Patent Rights to be asserted. Company shall use the same degree of diligence in prosecuting such Infringement as it uses or would use in prosecuting infringement of its own patent rights</w:t>
      </w:r>
    </w:p>
    <w:p>
      <w:pPr>
        <w:spacing w:after="0" w:line="178" w:lineRule="exact"/>
        <w:rPr>
          <w:sz w:val="20"/>
          <w:szCs w:val="20"/>
          <w:color w:val="auto"/>
        </w:rPr>
      </w:pPr>
    </w:p>
    <w:p>
      <w:pPr>
        <w:ind w:right="300" w:firstLine="1297"/>
        <w:spacing w:after="0" w:line="255" w:lineRule="auto"/>
        <w:rPr>
          <w:sz w:val="20"/>
          <w:szCs w:val="20"/>
          <w:color w:val="auto"/>
        </w:rPr>
      </w:pPr>
      <w:r>
        <w:rPr>
          <w:rFonts w:ascii="Arial" w:cs="Arial" w:eastAsia="Arial" w:hAnsi="Arial"/>
          <w:sz w:val="18"/>
          <w:szCs w:val="18"/>
          <w:color w:val="auto"/>
        </w:rPr>
        <w:t>7.2.1.Before Company commences an action with respect to any Infringement, Company shall consult with Institutions and MIT, as applicable, with respect to its proposed course of action to address the Infringement and shall consider in good faith the views of Institutions and MIT, as applicable, and potential effects on the public interest in making its decision whether to take such action, especially with regard to the locally-affordable availability of Licensed Products or equivalents thereof, e.g., generic products, in Developing Countries. Notwithstanding the foregoing or anything to the contrary contained in this Agreement, Company agrees that, consistent with Section 6.1.5, the relevant Institution(s) shall hold final decision-making authority, to be exercised in good faith, on a case-by-case basis, as to whether Company shall be permitted to enforce the Patent Rights in any Developing Country.</w:t>
      </w:r>
    </w:p>
    <w:p>
      <w:pPr>
        <w:sectPr>
          <w:pgSz w:w="11900" w:h="16910" w:orient="portrait"/>
          <w:cols w:equalWidth="0" w:num="1">
            <w:col w:w="11420"/>
          </w:cols>
          <w:pgMar w:left="240" w:top="125" w:right="239" w:bottom="0" w:gutter="0" w:footer="0" w:header="0"/>
        </w:sectPr>
      </w:pPr>
    </w:p>
    <w:bookmarkStart w:id="321" w:name="page322"/>
    <w:bookmarkEnd w:id="321"/>
    <w:p>
      <w:pPr>
        <w:spacing w:after="0" w:line="68"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7.2.2.Should Company elect (and, where consent of Institution is required, be permitted) to take action against an actual or potential infringer, Company shall select counsel reasonably acceptable to Institutions, shall keep Institutions and MIT, as applicable, reasonably informed of the progress of the action and shall give Institutions and MIT, as applicable, a reasonable opportunity in advance to consult with Company and offer its views about major decisions affecting the action. Company shall give careful consideration to those views, but shall have the right to control the action; provided, however, that if Company fails to defend in good faith the validity and/or enforceability of the Patent Rights in the action, or if Company’s exclusive license to a Valid Claim in the suit terminates pursuant to Section 10.2, or if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infringement in the Field terminates, Institutions may elect to take control of the action pursuant to Section 7.3. The expenses of Company with respect to any suit or suits that Company elects to bring in accordance with this Section 7.2 shall be paid for entirely by Company. If required under applicable law to establish standing for the initiation or maintenance of such infringement action by Company, (a) the relevant Institution(s) and MIT, as applicable, shall, upon request of Company or as required by a court or procedural rules, or may voluntarily, join or be joined as a party to such action, provided that neither Institution shall be the first named party in such action, (b) Company shall hold Institutions (and MIT, if applicable) free, clear and harmless from and against any and all costs and expenses, including attorneys’ fees, incurred in conjunction with the prosecution, adjudication, defense, management and/or settlement of, or joinder to, such suits and any related appeals, remands or other related proceedings (“</w:t>
      </w:r>
      <w:r>
        <w:rPr>
          <w:rFonts w:ascii="Arial" w:cs="Arial" w:eastAsia="Arial" w:hAnsi="Arial"/>
          <w:sz w:val="16"/>
          <w:szCs w:val="16"/>
          <w:b w:val="1"/>
          <w:bCs w:val="1"/>
          <w:color w:val="auto"/>
        </w:rPr>
        <w:t>Litigation Expenses</w:t>
      </w:r>
      <w:r>
        <w:rPr>
          <w:rFonts w:ascii="Arial" w:cs="Arial" w:eastAsia="Arial" w:hAnsi="Arial"/>
          <w:sz w:val="16"/>
          <w:szCs w:val="16"/>
          <w:color w:val="auto"/>
        </w:rPr>
        <w:t>”), (c) Company shall reimburse any and all Litigation Expenses incurred by Institutions (or MIT, if applicable) within [**] days after receiving an invoice (including a copy of detailed time and expense entries from attorneys) from Institutions (and MIT, if applicable) for same and (d) Company shall hold Institutions (and MIT, if applicable) free, clear and harmless from and against any and all Litigation Expenses incurred by Institutions (or MIT, if applicable). Company shall not compromise or settle such litigation without the prior written consent of Institutions (subject to concurrence of MIT, as applicable), which shall not be unreasonably withheld. In the event Company exercises its right to sue pursuant to this Section 7.2, out of any sums recovered in such suit or in settlement thereof, it shall first reimburse Institutions (and MIT, if applicable) for any unreimbursed Litigation Expenses and then reimburse itself for all of its litigation expenses necessarily incurred in the prosecution of any such suit. The remainder of any sums recovered shall be divided as follows: (i) Company shall receive an amount equal to its lost profits or a reasonable royalty on the infringing sales, or whichever measure of damages the court shall have applied; (ii) Institutions shall receive an amount equal to the royalties and other amounts that Company would have paid to Institutions if Company had sold the infringing products or services rather than the infringer, provided that (A) amounts payable under clause (ii) shall in no event exceed the amounts payable under clause (i) above and (B) in the event that the remainder of any sums recovered is insufficient to fully satisfy both of the foregoing clauses (i) and (ii) then Company and Institutions shall receive a pro rata share of such remainder in relative proportion to the amounts that would have been payable to Company and Institutions under clauses (i) and (ii); and</w:t>
      </w:r>
    </w:p>
    <w:p>
      <w:pPr>
        <w:spacing w:after="0" w:line="12" w:lineRule="exact"/>
        <w:rPr>
          <w:sz w:val="20"/>
          <w:szCs w:val="20"/>
          <w:color w:val="auto"/>
        </w:rPr>
      </w:pPr>
    </w:p>
    <w:p>
      <w:pPr>
        <w:ind w:right="520" w:firstLine="8"/>
        <w:spacing w:after="0" w:line="261" w:lineRule="auto"/>
        <w:tabs>
          <w:tab w:leader="none" w:pos="31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balance, if any, remaining after Company and Institutions have been compensated under the foregoing clauses (i) and (ii) shall be shared by the Parties as follows: [**] percent ([**]%) to Company and [**] percent ([**]%) to Institutions.</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7.3. Suit by Institutions. </w:t>
      </w:r>
      <w:r>
        <w:rPr>
          <w:rFonts w:ascii="Arial" w:cs="Arial" w:eastAsia="Arial" w:hAnsi="Arial"/>
          <w:sz w:val="17"/>
          <w:szCs w:val="17"/>
          <w:color w:val="auto"/>
        </w:rPr>
        <w:t>If Company does not take action in the prosecution, prevention, or termination of any Infringement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7.2 above, and has not commenced negotiations with the suspected infringer for the discontinuance of said Infringement, within [**] days after receipt of notice of the existence of an Infringement, the Institution that owns the Patent Right subject to the Infringement may elect to do so. Institutions shall give due consideration to Company’s reasons for not initiating a lawsuit or otherwise making or prosecuting a claim. Subject to Section 7.4, any and all expenses, including reasonable attorneys’ fees, incurred by Institutions with respect to the prosecution, adjudication and/or settlement of a suit in accordance with this section, including any related appeals, shall be paid for entirely by the Institutions. In the event an Institution exercises its right to sue pursuant to this Section 7.3, it shall retain all sums recovered in such suit or in settlement thereof.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300" w:firstLine="648"/>
        <w:spacing w:after="0" w:line="314" w:lineRule="auto"/>
        <w:rPr>
          <w:sz w:val="20"/>
          <w:szCs w:val="20"/>
          <w:color w:val="auto"/>
        </w:rPr>
      </w:pPr>
      <w:r>
        <w:rPr>
          <w:rFonts w:ascii="Arial" w:cs="Arial" w:eastAsia="Arial" w:hAnsi="Arial"/>
          <w:sz w:val="16"/>
          <w:szCs w:val="16"/>
          <w:b w:val="1"/>
          <w:bCs w:val="1"/>
          <w:color w:val="auto"/>
        </w:rPr>
        <w:t xml:space="preserve">7.4. Own Counsel. </w:t>
      </w:r>
      <w:r>
        <w:rPr>
          <w:rFonts w:ascii="Arial" w:cs="Arial" w:eastAsia="Arial" w:hAnsi="Arial"/>
          <w:sz w:val="16"/>
          <w:szCs w:val="16"/>
          <w:color w:val="auto"/>
        </w:rPr>
        <w:t>The Party initiating the suit shall have the sole and exclusive right to elect counsel for any suit initiated by it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7.2 or 7.3; provided that such counsel is reasonably acceptable to the other Party. The other Parties shall have the right to participate in and be represented by counsel of its own selection and at its own expense in any suit instituted under this Article 7 by the other Party for Infringement.</w:t>
      </w:r>
    </w:p>
    <w:p>
      <w:pPr>
        <w:spacing w:after="0" w:line="142" w:lineRule="exact"/>
        <w:rPr>
          <w:sz w:val="20"/>
          <w:szCs w:val="20"/>
          <w:color w:val="auto"/>
        </w:rPr>
      </w:pPr>
    </w:p>
    <w:p>
      <w:pPr>
        <w:jc w:val="both"/>
        <w:ind w:right="620" w:firstLine="648"/>
        <w:spacing w:after="0" w:line="261" w:lineRule="auto"/>
        <w:rPr>
          <w:sz w:val="20"/>
          <w:szCs w:val="20"/>
          <w:color w:val="auto"/>
        </w:rPr>
      </w:pPr>
      <w:r>
        <w:rPr>
          <w:rFonts w:ascii="Arial" w:cs="Arial" w:eastAsia="Arial" w:hAnsi="Arial"/>
          <w:sz w:val="18"/>
          <w:szCs w:val="18"/>
          <w:b w:val="1"/>
          <w:bCs w:val="1"/>
          <w:color w:val="auto"/>
        </w:rPr>
        <w:t xml:space="preserve">7.5. Cooperation. </w:t>
      </w:r>
      <w:r>
        <w:rPr>
          <w:rFonts w:ascii="Arial" w:cs="Arial" w:eastAsia="Arial" w:hAnsi="Arial"/>
          <w:sz w:val="18"/>
          <w:szCs w:val="18"/>
          <w:color w:val="auto"/>
        </w:rPr>
        <w:t>Each Party agrees to cooperate fully in any action under this Article 7 that is controlled by the other Party,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executing legal papers and cooperating in the prosecution as may be reasonably requested by the controlling Party; provided that the controlling Party reimburses the cooperating Party promptly for any costs and expenses incurred by the cooperating Party in connection with providing such requested cooperation within [**] days after receiving an invoice from the cooperating Party for same.</w:t>
      </w:r>
    </w:p>
    <w:p>
      <w:pPr>
        <w:spacing w:after="0" w:line="18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7.6. Patent Validity Challenge. </w:t>
      </w:r>
      <w:r>
        <w:rPr>
          <w:rFonts w:ascii="Arial" w:cs="Arial" w:eastAsia="Arial" w:hAnsi="Arial"/>
          <w:sz w:val="18"/>
          <w:szCs w:val="18"/>
          <w:color w:val="auto"/>
        </w:rPr>
        <w:t>Each Party shall promptly notify the other Parties in the event it receives notice of any legal or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action by any Third Party against a Patent Right, including any opposition, nullity action, revocation,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compulsory license proceeding, or declaratory judgment action. Except as provided in the following sentence, oppositions, nullity actions, revocations, post-grant review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shall be addressed as provided in Section 6.1. Notwithstanding the provisions of Section 6.1, [**]. If [**] elects not to participate in a compulsory license proceeding or to defend the invalidity or unenforceability of the Patent Rights included in such declaratory judgment action or related post-grant proceeding, it shall [**].</w:t>
      </w:r>
    </w:p>
    <w:p>
      <w:pPr>
        <w:spacing w:after="0" w:line="192"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7.6.1.For the avoidance of doubt, oppositions, post-grant reviews,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and other proceedings before the United States Patent Office or a foreign patent office, [**], are Prosecution of the Patent Rights and Company shall be responsible for Institutions’ expenses as set forth in Section 6.3.</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7.6.2.If [**] exercises its right to defend a Patent Right under this Section 7.6, then, with respect to the defense of such Patent Right: [**].</w:t>
      </w:r>
    </w:p>
    <w:p>
      <w:pPr>
        <w:spacing w:after="0" w:line="244" w:lineRule="exact"/>
        <w:rPr>
          <w:sz w:val="20"/>
          <w:szCs w:val="20"/>
          <w:color w:val="auto"/>
        </w:rPr>
      </w:pPr>
    </w:p>
    <w:p>
      <w:pPr>
        <w:ind w:left="660" w:hanging="652"/>
        <w:spacing w:after="0"/>
        <w:tabs>
          <w:tab w:leader="none" w:pos="6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LIMITATION OF LIABILITY.</w:t>
      </w:r>
    </w:p>
    <w:p>
      <w:pPr>
        <w:spacing w:after="0" w:line="225"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b w:val="1"/>
          <w:bCs w:val="1"/>
          <w:color w:val="auto"/>
        </w:rPr>
        <w:t xml:space="preserve">8.1. Compliance with Law. </w:t>
      </w:r>
      <w:r>
        <w:rPr>
          <w:rFonts w:ascii="Arial" w:cs="Arial" w:eastAsia="Arial" w:hAnsi="Arial"/>
          <w:sz w:val="16"/>
          <w:szCs w:val="16"/>
          <w:color w:val="auto"/>
        </w:rPr>
        <w:t>Company represents and warrants that it shall comply, and shall ensure that its Affiliates and Sublicensees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local, state, federal and international laws and regulations applicable to the development, manufacture, use, sale, performance and importation of Licensed Products, Licensed Services, Enabled Products and Enabled Services. Without limiting the foregoing, Company represents and warrants, on behalf of itself and its Affiliates and Sublicensees, that it shall comply with all applicable United States laws and regulations controlling the export of certain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Company hereby gives written assurance that it shall comply with, and shall cause its Affiliates to comply with (and shall contractually obligate its Affiliates</w:t>
      </w:r>
    </w:p>
    <w:p>
      <w:pPr>
        <w:sectPr>
          <w:pgSz w:w="11900" w:h="16907" w:orient="portrait"/>
          <w:cols w:equalWidth="0" w:num="1">
            <w:col w:w="11420"/>
          </w:cols>
          <w:pgMar w:left="240" w:top="341" w:right="239" w:bottom="0" w:gutter="0" w:footer="0" w:header="0"/>
        </w:sectPr>
      </w:pPr>
    </w:p>
    <w:bookmarkStart w:id="322" w:name="page323"/>
    <w:bookmarkEnd w:id="322"/>
    <w:p>
      <w:pPr>
        <w:spacing w:after="0" w:line="10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Sublicensees to comply with), all applicable United States export control laws and regulations, that it bears sole responsibility for any violation of such laws and regulations by itself or its Affiliates or Sublicensees, and that 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shall indemnify, defend, and hold Indemnitees and HHMI Indemnitees harmless (in accordance with Section 9.1) for the consequences of any such violation.</w:t>
      </w:r>
    </w:p>
    <w:p>
      <w:pPr>
        <w:spacing w:after="0" w:line="2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w:t>
      </w:r>
    </w:p>
    <w:p>
      <w:pPr>
        <w:spacing w:after="0" w:line="22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8.2.1.</w:t>
      </w:r>
      <w:r>
        <w:rPr>
          <w:rFonts w:ascii="Arial" w:cs="Arial" w:eastAsia="Arial" w:hAnsi="Arial"/>
          <w:sz w:val="18"/>
          <w:szCs w:val="18"/>
          <w:u w:val="single" w:color="auto"/>
          <w:color w:val="auto"/>
        </w:rPr>
        <w:t>By Broad</w:t>
      </w:r>
      <w:r>
        <w:rPr>
          <w:rFonts w:ascii="Arial" w:cs="Arial" w:eastAsia="Arial" w:hAnsi="Arial"/>
          <w:sz w:val="18"/>
          <w:szCs w:val="18"/>
          <w:color w:val="auto"/>
        </w:rPr>
        <w:t>. Broad represents and warrants that (A) Broad has the authority and right to enter into and perform its obligations under this Agreement and grant the licenses granted to Company herein, (B) as of the Effective Date, to the best of the knowledge of Broad’s Office of Strategic Alliances and Partnering, the execution, delivery and performance of this Agreement by Broad does not conflict with, or constitute a breach of, any order, judgment, agreement or instrument to which it is a party or is otherwise bound, and (C) as of the Effective Date, to the best of the knowledge of Broad’s Office of Strategic Alliances and Partnering, no consent of any Third Party, including without limitation any governmental authority, is required for Broad to execute, deliver and perform under this Agreement, including without limitation to grant the licenses granted to Company herein, except for such consents as may have been obtained prior to the Effective Date.</w:t>
      </w:r>
    </w:p>
    <w:p>
      <w:pPr>
        <w:spacing w:after="0" w:line="189"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8.2.2.</w:t>
      </w:r>
      <w:r>
        <w:rPr>
          <w:rFonts w:ascii="Arial" w:cs="Arial" w:eastAsia="Arial" w:hAnsi="Arial"/>
          <w:sz w:val="18"/>
          <w:szCs w:val="18"/>
          <w:u w:val="single" w:color="auto"/>
          <w:color w:val="auto"/>
        </w:rPr>
        <w:t>By Harvard</w:t>
      </w:r>
      <w:r>
        <w:rPr>
          <w:rFonts w:ascii="Arial" w:cs="Arial" w:eastAsia="Arial" w:hAnsi="Arial"/>
          <w:sz w:val="18"/>
          <w:szCs w:val="18"/>
          <w:color w:val="auto"/>
        </w:rPr>
        <w:t>. Harvard represents and warrants that (A) Harvard has the authority and right to enter into and perform its obligations under this Agreement and grant the licenses granted to Company herein, (B) as of the Effective Date, to the best of the knowledge of Harvard’s Office of Technology Development, the execution, delivery and performance of this Agreement by Harvard does not conflict with, or constitute a breach of, any order, judgment, agreement or instrument to which it is a party or is otherwise bound, and (C) as of the Effective Date, to the best of the knowledge of Harvard’s Office of Technology Development, no consent of any Third Party, including without limitation any governmental authority, is required for Harvard to execute, deliver and perform under this Agreement, including without limitation to grant the licenses granted to Company herein, except for such consents as may have been obtained prior to the Effective Date.</w:t>
      </w:r>
    </w:p>
    <w:p>
      <w:pPr>
        <w:spacing w:after="0" w:line="189"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8.2.3.</w:t>
      </w:r>
      <w:r>
        <w:rPr>
          <w:rFonts w:ascii="Arial" w:cs="Arial" w:eastAsia="Arial" w:hAnsi="Arial"/>
          <w:sz w:val="18"/>
          <w:szCs w:val="18"/>
          <w:u w:val="single" w:color="auto"/>
          <w:color w:val="auto"/>
        </w:rPr>
        <w:t>By Company</w:t>
      </w:r>
      <w:r>
        <w:rPr>
          <w:rFonts w:ascii="Arial" w:cs="Arial" w:eastAsia="Arial" w:hAnsi="Arial"/>
          <w:sz w:val="18"/>
          <w:szCs w:val="18"/>
          <w:color w:val="auto"/>
        </w:rPr>
        <w:t>. Company represents and warrants that (A) Company has the authority and right to enter into and perform its obligations under this Agreement, (B) as of the Effective Date, the best of Company’s knowledge, the execution, delivery and performance of this Agreement by Company does not conflict with, or constitute a breach of, any order, judgment, agreement or instrument to which it is a party or, to its knowledge, is otherwise bound, and (C) as of the Effective Date, the best of Company’s knowledge, no consent of any Third Party, including without limitation any governmental authority, is required for Company to execute, deliver and perform under this Agreement, including without limitation to issue the Shares, except for such consents as may have been obtained prior to the Effective Date.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Disclaimer</w:t>
      </w:r>
      <w:r>
        <w:rPr>
          <w:rFonts w:ascii="Arial" w:cs="Arial" w:eastAsia="Arial" w:hAnsi="Arial"/>
          <w:sz w:val="16"/>
          <w:szCs w:val="16"/>
          <w:color w:val="auto"/>
        </w:rPr>
        <w:t>.</w:t>
      </w:r>
    </w:p>
    <w:p>
      <w:pPr>
        <w:spacing w:after="0" w:line="229"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8.3.1.NOTHING CONTAINED HEREIN SHALL BE DEEMED TO BE A WARRANTY BY EITHER OF THE INSTITUTIONS OR MIT THAT THEY CAN OR WILL BE ABLE TO OBTAIN PATENTS ON PATENT APPLICATIONS INCLUDED IN THE PATENT RIGHTS, OR THAT ANY OF THE PATENT RIGHTS WILL AFFORD ADEQUATE OR COMMERCIALLY WORTHWHILE PROTECTION.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8.3.2.NEITHER OF THE INSTITUTIONS NOR MIT MAKES ANY WARRANTIES WHATSOEVER AS TO THE COMMERCIAL OR SCIENTIFIC VALUE OF THE PATENT RIGHTS OR INSTITUTION TECHNOLOGY TRANSFER MATERIALS. NEITHER OF THE INSTITUTIONS NOR MIT MAKES ANY REPRESENTATION THAT THE PRACTICE OF THE PATENT RIGHTS OR USE OF THE INSTITUTION TECHNOLOGY TRANSFER MATERIALS OR THE DEVELOPMENT, MANUFACTURE, USE, SALE OR IMPORTATION OF ANY LICENSED PRODUCT OR THE PERFORMANCE OF ANY LICENSED SERVICES, OR ANY ELEMENT THEREOF, WILL NOT INFRINGE ANY PATENT OR PROPRIETARY RIGHTS.</w:t>
      </w:r>
    </w:p>
    <w:p>
      <w:pPr>
        <w:spacing w:after="0" w:line="193"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8.3.3.EXCEPT AS OTHERWISE EXPRESSLY PROVIDED IN THIS AGREEMENT, NEITHER COMPANY NOR EITHER OF THE INSTITUTIONS NOR MIT MAKES ANY WARRANTY WITH RESPECT TO ANY TECHNOLOGY, PATENTS, GOODS, SERVICES, RIGHTS OR OTHER SUBJECT MATTER OF THIS AGREEMENT AND COMPANY AND EACH INSTITUTION AND MIT HEREBY DISCLAIMS WARRANTIES OF MERCHANTABILITY, FITNESS FOR A PARTICULAR PURPOSE AND NONINFRINGEMENT WITH RESPECT TO ANY AND ALL OF THE FOREGOING.</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Limitation of Liability</w:t>
      </w:r>
      <w:r>
        <w:rPr>
          <w:rFonts w:ascii="Arial" w:cs="Arial" w:eastAsia="Arial" w:hAnsi="Arial"/>
          <w:sz w:val="17"/>
          <w:szCs w:val="17"/>
          <w:color w:val="auto"/>
        </w:rPr>
        <w:t>.</w:t>
      </w:r>
    </w:p>
    <w:p>
      <w:pPr>
        <w:spacing w:after="0" w:line="229" w:lineRule="exact"/>
        <w:rPr>
          <w:sz w:val="20"/>
          <w:szCs w:val="20"/>
          <w:color w:val="auto"/>
        </w:rPr>
      </w:pPr>
    </w:p>
    <w:p>
      <w:pPr>
        <w:ind w:right="60" w:firstLine="1297"/>
        <w:spacing w:after="0" w:line="256" w:lineRule="auto"/>
        <w:rPr>
          <w:sz w:val="20"/>
          <w:szCs w:val="20"/>
          <w:color w:val="auto"/>
        </w:rPr>
      </w:pPr>
      <w:r>
        <w:rPr>
          <w:rFonts w:ascii="Arial" w:cs="Arial" w:eastAsia="Arial" w:hAnsi="Arial"/>
          <w:sz w:val="18"/>
          <w:szCs w:val="18"/>
          <w:color w:val="auto"/>
        </w:rPr>
        <w:t>8.4.1.EXCEPT WITH RESPECT TO MATTERS FOR WHICH COMPANY IS OBLIGATED TO INDEMNIFY INDEMNITEES UNDER ARTICLE 9, NO PARTY SHALL BE LIABLE TO ANY OTHER PARTY WITH RESPECT TO ANY SUBJECT MATTER OF THIS AGREEMENT UNDER ANY CONTRACT, NEGLIGENCE, STRICT LIABILITY OR OTHER LEGAL OR EQUITABLE THEORY FOR (A) ANY</w:t>
      </w:r>
    </w:p>
    <w:p>
      <w:pPr>
        <w:ind w:right="20"/>
        <w:spacing w:after="0" w:line="261" w:lineRule="auto"/>
        <w:rPr>
          <w:sz w:val="20"/>
          <w:szCs w:val="20"/>
          <w:color w:val="auto"/>
        </w:rPr>
      </w:pPr>
      <w:r>
        <w:rPr>
          <w:rFonts w:ascii="Arial" w:cs="Arial" w:eastAsia="Arial" w:hAnsi="Arial"/>
          <w:sz w:val="18"/>
          <w:szCs w:val="18"/>
          <w:color w:val="auto"/>
        </w:rPr>
        <w:t>INDIRECT, INCIDENTAL, CONSEQUENTIAL OR PUNITIVE DAMAGES OR LOST PROFITS OR (B) COST OF PROCUREMENT OF SUBSTITUTE GOODS, TECHNOLOGY OR SERVICES.</w:t>
      </w:r>
    </w:p>
    <w:p>
      <w:pPr>
        <w:spacing w:after="0" w:line="184"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8.4.2.Institutions’ aggregate liability for all damages of any kind arising out of or relating to this Agreement or its subject matter under any contract, negligence, strict liability or other legal or equitable theory shall not exceed the amounts paid to Institutions under this Agreement.</w:t>
      </w:r>
    </w:p>
    <w:p>
      <w:pPr>
        <w:spacing w:after="0" w:line="143" w:lineRule="exact"/>
        <w:rPr>
          <w:sz w:val="20"/>
          <w:szCs w:val="20"/>
          <w:color w:val="auto"/>
        </w:rPr>
      </w:pPr>
    </w:p>
    <w:p>
      <w:pPr>
        <w:ind w:left="660" w:right="7460" w:hanging="652"/>
        <w:spacing w:after="0" w:line="503" w:lineRule="auto"/>
        <w:tabs>
          <w:tab w:leader="none" w:pos="6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 9.1. Indemnification</w:t>
      </w:r>
      <w:r>
        <w:rPr>
          <w:rFonts w:ascii="Arial" w:cs="Arial" w:eastAsia="Arial" w:hAnsi="Arial"/>
          <w:sz w:val="18"/>
          <w:szCs w:val="18"/>
          <w:color w:val="auto"/>
        </w:rPr>
        <w:t>.</w:t>
      </w:r>
    </w:p>
    <w:p>
      <w:pPr>
        <w:spacing w:after="0" w:line="1"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9.1.1.</w:t>
      </w:r>
      <w:r>
        <w:rPr>
          <w:rFonts w:ascii="Arial" w:cs="Arial" w:eastAsia="Arial" w:hAnsi="Arial"/>
          <w:sz w:val="16"/>
          <w:szCs w:val="16"/>
          <w:u w:val="single" w:color="auto"/>
          <w:color w:val="auto"/>
        </w:rPr>
        <w:t>Indemnity</w:t>
      </w:r>
      <w:r>
        <w:rPr>
          <w:rFonts w:ascii="Arial" w:cs="Arial" w:eastAsia="Arial" w:hAnsi="Arial"/>
          <w:sz w:val="16"/>
          <w:szCs w:val="16"/>
          <w:color w:val="auto"/>
        </w:rPr>
        <w:t>. Company shall, and shall cause its Affiliates and Sublicensees to, indemnify, defend and hold harmless each Institution and MIT and each of their current and former directors, governing board members, trustees, officers, faculty, affiliated investigators, medical and professional staff, employees, students, and agents and their respective successors, heirs and assigns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claim, suit, investigation, action, demand, judgment, liability, cost, expense, damage, deficiency, loss or obligation of any kind or nature (including reasonable attorneys’</w:t>
      </w:r>
    </w:p>
    <w:p>
      <w:pPr>
        <w:sectPr>
          <w:pgSz w:w="11900" w:h="16944" w:orient="portrait"/>
          <w:cols w:equalWidth="0" w:num="1">
            <w:col w:w="11420"/>
          </w:cols>
          <w:pgMar w:left="240" w:top="125" w:right="239" w:bottom="0" w:gutter="0" w:footer="0" w:header="0"/>
        </w:sectPr>
      </w:pPr>
    </w:p>
    <w:bookmarkStart w:id="323" w:name="page324"/>
    <w:bookmarkEnd w:id="323"/>
    <w:p>
      <w:pPr>
        <w:spacing w:after="0" w:line="13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fees and other costs and expenses of litigation or defense), based upon, arising out of, or otherwise relating to this Agreement or any Sublicense or subcontract, including any cause of action relating to product liability concerning any product, process, or service made, used, sold or performed pursuant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right or license granted under this Agreement or the use, handling, storage, or disposition of any Institution Technology Transfer Materials by Company or others who possess the Institution Technology Transfer Materials through a chain of possession leading back, directly or indirectly, to Company, including without limitation any cause of action relating to product liability (collectively, “</w:t>
      </w:r>
      <w:r>
        <w:rPr>
          <w:rFonts w:ascii="Arial" w:cs="Arial" w:eastAsia="Arial" w:hAnsi="Arial"/>
          <w:sz w:val="18"/>
          <w:szCs w:val="18"/>
          <w:b w:val="1"/>
          <w:bCs w:val="1"/>
          <w:color w:val="auto"/>
        </w:rPr>
        <w:t>Claims</w:t>
      </w:r>
      <w:r>
        <w:rPr>
          <w:rFonts w:ascii="Arial" w:cs="Arial" w:eastAsia="Arial" w:hAnsi="Arial"/>
          <w:sz w:val="18"/>
          <w:szCs w:val="18"/>
          <w:color w:val="auto"/>
        </w:rPr>
        <w:t>”) except to the extent any such Claim results from or arises out of the gross negligence or willful misconduct of an Indemnitee or material breach of this Agreement by an Institution. Company and each of its Affiliates and Sublicensees are referred to as “</w:t>
      </w:r>
      <w:r>
        <w:rPr>
          <w:rFonts w:ascii="Arial" w:cs="Arial" w:eastAsia="Arial" w:hAnsi="Arial"/>
          <w:sz w:val="18"/>
          <w:szCs w:val="18"/>
          <w:b w:val="1"/>
          <w:bCs w:val="1"/>
          <w:color w:val="auto"/>
        </w:rPr>
        <w:t>Indemnitor</w:t>
      </w:r>
      <w:r>
        <w:rPr>
          <w:rFonts w:ascii="Arial" w:cs="Arial" w:eastAsia="Arial" w:hAnsi="Arial"/>
          <w:sz w:val="18"/>
          <w:szCs w:val="18"/>
          <w:color w:val="auto"/>
        </w:rPr>
        <w:t>” below.</w:t>
      </w:r>
    </w:p>
    <w:p>
      <w:pPr>
        <w:spacing w:after="0" w:line="188"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9.1.2.</w:t>
      </w:r>
      <w:r>
        <w:rPr>
          <w:rFonts w:ascii="Arial" w:cs="Arial" w:eastAsia="Arial" w:hAnsi="Arial"/>
          <w:sz w:val="16"/>
          <w:szCs w:val="16"/>
          <w:u w:val="single" w:color="auto"/>
          <w:color w:val="auto"/>
        </w:rPr>
        <w:t>Procedures</w:t>
      </w:r>
      <w:r>
        <w:rPr>
          <w:rFonts w:ascii="Arial" w:cs="Arial" w:eastAsia="Arial" w:hAnsi="Arial"/>
          <w:sz w:val="16"/>
          <w:szCs w:val="16"/>
          <w:color w:val="auto"/>
        </w:rPr>
        <w:t>. The Indemnitees agree to provide Company with prompt written notice of any Claim for which indemnification is sought under this Agreement. Indemnitor agrees, at its own expense, to provide attorneys reasonably acceptable to Institutions and MIT to defend against any such Claim. The Indemnitees shall cooperate with Indemnitor, at Indemnitor’s expense, in such defense and shall permit Indemnitor to conduct and control such defense and the disposition of such Claim (including without limitation all decisions relative to litigation, appeal, and settlement); provided, however, that any Indemnitee shall have the right to retain its own counsel, at the expense of Indemnitor, if representation of such Indemnitee by the counsel retained by Indemnitor would be inappropriate because of actual or potential differences in the interests of such Indemnitee and any other party represented by such counsel. Each of Institutions and MIT agree to use diligent efforts to select counsel, and to cause any other Indemnitees affiliated with their respective institutions to select counsel, that minimizes the number of counsel retained by all Indemnitees if representation of an Indemnitee by the counsel retained by Indemnitor would be inappropriate because of actual or potential differences in the interests of such Indemnitee and any other party represented by such counsel.Indemnitor agrees to keep counsel(s) for Indemnitees informed of the progress in the defense and disposition of such claim and to consult with Institutions and MIT (as applicable) with regard to any proposed settlement. Company shall not settle any Claim that has an adverse effect on the rights of any Indemnitee hereunder that is not immaterial or that admits any liability by or imposes any obligation on any Indemnitee without the prior written consent of such Indemnitee, which consent shall not be unreasonably withheld, conditioned or delayed. An Indemnitee may not settle any Claim without the prior written consent of Company, which consent shall not be unreasonably withheld, conditioned or delayed.</w:t>
      </w:r>
    </w:p>
    <w:p>
      <w:pPr>
        <w:spacing w:after="0" w:line="168" w:lineRule="exact"/>
        <w:rPr>
          <w:sz w:val="20"/>
          <w:szCs w:val="20"/>
          <w:color w:val="auto"/>
        </w:rPr>
      </w:pPr>
    </w:p>
    <w:p>
      <w:pPr>
        <w:ind w:right="20" w:firstLine="1297"/>
        <w:spacing w:after="0" w:line="298" w:lineRule="auto"/>
        <w:rPr>
          <w:sz w:val="20"/>
          <w:szCs w:val="20"/>
          <w:color w:val="auto"/>
        </w:rPr>
      </w:pPr>
      <w:r>
        <w:rPr>
          <w:rFonts w:ascii="Arial" w:cs="Arial" w:eastAsia="Arial" w:hAnsi="Arial"/>
          <w:sz w:val="16"/>
          <w:szCs w:val="16"/>
          <w:color w:val="auto"/>
        </w:rPr>
        <w:t>9.1.3.</w:t>
      </w:r>
      <w:r>
        <w:rPr>
          <w:rFonts w:ascii="Arial" w:cs="Arial" w:eastAsia="Arial" w:hAnsi="Arial"/>
          <w:sz w:val="16"/>
          <w:szCs w:val="16"/>
          <w:u w:val="single" w:color="auto"/>
          <w:color w:val="auto"/>
        </w:rPr>
        <w:t>HHMI Indemnity</w:t>
      </w:r>
      <w:r>
        <w:rPr>
          <w:rFonts w:ascii="Arial" w:cs="Arial" w:eastAsia="Arial" w:hAnsi="Arial"/>
          <w:sz w:val="16"/>
          <w:szCs w:val="16"/>
          <w:color w:val="auto"/>
        </w:rPr>
        <w:t>. HHMI, and its trustees, officers, employees, and agents (collectively, “</w:t>
      </w:r>
      <w:r>
        <w:rPr>
          <w:rFonts w:ascii="Arial" w:cs="Arial" w:eastAsia="Arial" w:hAnsi="Arial"/>
          <w:sz w:val="16"/>
          <w:szCs w:val="16"/>
          <w:b w:val="1"/>
          <w:bCs w:val="1"/>
          <w:color w:val="auto"/>
        </w:rPr>
        <w:t>HHMI Indemnitees</w:t>
      </w:r>
      <w:r>
        <w:rPr>
          <w:rFonts w:ascii="Arial" w:cs="Arial" w:eastAsia="Arial" w:hAnsi="Arial"/>
          <w:sz w:val="16"/>
          <w:szCs w:val="16"/>
          <w:color w:val="auto"/>
        </w:rPr>
        <w:t>”), shall be indemnified, defended by counsel acceptable to HHMI, and held harmless by Company, from and against any Claim. The previous sentence shall not apply to any Claim that is determined with finality by a court of competent jurisdiction to result solely from the gross negligence or willful misconduct of an HHMI Indemnitee. Notwithstanding Section 8.4 or any other provision of this Agreement, Company’s obligation to defend, indemnify and hold harmless the HHMI Indemnitees under this paragraph shall not be subject to any limitation or exclusion of liability or damages or otherwise limited in any way.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ind w:right="40" w:firstLine="1297"/>
        <w:spacing w:after="0" w:line="308" w:lineRule="auto"/>
        <w:rPr>
          <w:sz w:val="20"/>
          <w:szCs w:val="20"/>
          <w:color w:val="auto"/>
        </w:rPr>
      </w:pPr>
      <w:r>
        <w:rPr>
          <w:rFonts w:ascii="Arial" w:cs="Arial" w:eastAsia="Arial" w:hAnsi="Arial"/>
          <w:sz w:val="17"/>
          <w:szCs w:val="17"/>
          <w:color w:val="auto"/>
        </w:rPr>
        <w:t>9.2.1.Beginning at the time any Licensed Product, Licensed Service, Enabled Product or Enabled Service is being commercially distributed or sold (other than for the purpose of obtaining Regulatory Approval) by Company, or by an Affiliate, Sublicensee or agent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Company, Company shall, at its sole cost and expense, procure and maintain commercial general liability insurance in amounts not less than $[**] per incident and $[**] annual aggregate and naming the Indemnitees and HHMI Indemnitees as additional insureds. During clinical trials of any such Licensed Product, Licensed Service, Enabled Product or Enabled Service, Company shall, at its sole cost and expense, procure and maintain commercial general liability insurance in such equal or lesser amount as Institutions, MIT and HHMI shall require, naming the Indemnitees and HHMI Indemnitees as additional insureds. Such commercial general liability insurance shall provide: (a) product liability coverage and (b) broad form contractual liability coverage for Company’s indemnification obligations under this Agreement.</w:t>
      </w:r>
    </w:p>
    <w:p>
      <w:pPr>
        <w:spacing w:after="0" w:line="193"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9.2.2.If Company elects to self-insure all or part of the limits described above in Section 9.2.1 (including deductibles or retentions that are in excess of $[**] annual aggregate) such self-insurance program must be acceptable to Institutions, MIT and their respective insurers in their sole discretion. The minimum amounts of insurance coverage required shall not be construed to create a limit of Company’s liability with respect to its indemnification obligations under this Agreement.</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9.2.3.Company shall provide Institutions and MIT with written evidence of such insurance upon request of Institutions or MIT. Company shall provide Institutions and MIT with written notice at least [**] days prior to the cancellation, non-renewal or material change in such insurance. If Company does not obtain replacement insurance providing comparable coverage within such [**] day period, Institutions shall have the right to terminate this Agreement effective at the end of such [**] day period without notice or any additional waiting periods.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9.2.4.Company shall maintain such commercial general liability insurance beyond the expiration or termination of this Agreement during:</w:t>
      </w:r>
    </w:p>
    <w:p>
      <w:pPr>
        <w:spacing w:after="0" w:line="46" w:lineRule="exact"/>
        <w:rPr>
          <w:sz w:val="20"/>
          <w:szCs w:val="20"/>
          <w:color w:val="auto"/>
        </w:rPr>
      </w:pPr>
    </w:p>
    <w:p>
      <w:pPr>
        <w:ind w:right="240" w:firstLine="8"/>
        <w:spacing w:after="0" w:line="255" w:lineRule="auto"/>
        <w:tabs>
          <w:tab w:leader="none" w:pos="24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period that any Licensed Product, Licensed Service, Enabled Product or Enabled Service is being commercially distributed, sold or performed by Company, or an Affiliate, Sublicensee or agent of Company; and (b) a reasonable period after the period referred to in (a) above which in no event shall be less than [**] years.</w:t>
      </w:r>
    </w:p>
    <w:p>
      <w:pPr>
        <w:spacing w:after="0" w:line="186" w:lineRule="exact"/>
        <w:rPr>
          <w:sz w:val="20"/>
          <w:szCs w:val="20"/>
          <w:color w:val="auto"/>
        </w:rPr>
      </w:pPr>
    </w:p>
    <w:p>
      <w:pPr>
        <w:ind w:left="660" w:hanging="652"/>
        <w:spacing w:after="0"/>
        <w:tabs>
          <w:tab w:leader="none" w:pos="6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10.1. Term. </w:t>
      </w:r>
      <w:r>
        <w:rPr>
          <w:rFonts w:ascii="Arial" w:cs="Arial" w:eastAsia="Arial" w:hAnsi="Arial"/>
          <w:sz w:val="18"/>
          <w:szCs w:val="18"/>
          <w:color w:val="auto"/>
        </w:rPr>
        <w:t>The term of this Agreement shall commence on the Effective Date and, unless earlier terminated as provided in this Article 10,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the expiration of the last to expire Valid Claim (the “</w:t>
      </w:r>
      <w:r>
        <w:rPr>
          <w:rFonts w:ascii="Arial" w:cs="Arial" w:eastAsia="Arial" w:hAnsi="Arial"/>
          <w:sz w:val="18"/>
          <w:szCs w:val="18"/>
          <w:b w:val="1"/>
          <w:bCs w:val="1"/>
          <w:color w:val="auto"/>
        </w:rPr>
        <w:t>Term</w:t>
      </w:r>
      <w:r>
        <w:rPr>
          <w:rFonts w:ascii="Arial" w:cs="Arial" w:eastAsia="Arial" w:hAnsi="Arial"/>
          <w:sz w:val="18"/>
          <w:szCs w:val="18"/>
          <w:color w:val="auto"/>
        </w:rPr>
        <w:t>”). Upon such expiration, the Company shall have a worldwide, perpetual, irrevocable, fully paid up, sublicensable license under the rights and licenses granted to Company under Section 2.1, subject to Section 10.4.</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Termination</w:t>
      </w:r>
      <w:r>
        <w:rPr>
          <w:rFonts w:ascii="Arial" w:cs="Arial" w:eastAsia="Arial" w:hAnsi="Arial"/>
          <w:sz w:val="16"/>
          <w:szCs w:val="16"/>
          <w:color w:val="auto"/>
        </w:rPr>
        <w:t>.</w:t>
      </w:r>
    </w:p>
    <w:p>
      <w:pPr>
        <w:spacing w:after="0" w:line="229"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10.2.1.</w:t>
      </w:r>
      <w:r>
        <w:rPr>
          <w:rFonts w:ascii="Arial" w:cs="Arial" w:eastAsia="Arial" w:hAnsi="Arial"/>
          <w:sz w:val="16"/>
          <w:szCs w:val="16"/>
          <w:u w:val="single" w:color="auto"/>
          <w:color w:val="auto"/>
        </w:rPr>
        <w:t>Joint Action of Institutions</w:t>
      </w:r>
      <w:r>
        <w:rPr>
          <w:rFonts w:ascii="Arial" w:cs="Arial" w:eastAsia="Arial" w:hAnsi="Arial"/>
          <w:sz w:val="16"/>
          <w:szCs w:val="16"/>
          <w:color w:val="auto"/>
        </w:rPr>
        <w:t>. Institutions’ rights to terminate this Agreement set forth in this Section 10.2 shall be joint, not several. Neither Institution acting alone shall have the right to terminate this Agreement; provided, however, that each Institution shall severally be entitled to</w:t>
      </w:r>
    </w:p>
    <w:p>
      <w:pPr>
        <w:sectPr>
          <w:pgSz w:w="11900" w:h="16975" w:orient="portrait"/>
          <w:cols w:equalWidth="0" w:num="1">
            <w:col w:w="11400"/>
          </w:cols>
          <w:pgMar w:left="240" w:top="125" w:right="259" w:bottom="0" w:gutter="0" w:footer="0" w:header="0"/>
        </w:sectPr>
      </w:pPr>
    </w:p>
    <w:bookmarkStart w:id="324" w:name="page325"/>
    <w:bookmarkEnd w:id="324"/>
    <w:p>
      <w:pPr>
        <w:ind w:right="180"/>
        <w:spacing w:after="0" w:line="277" w:lineRule="auto"/>
        <w:rPr>
          <w:sz w:val="20"/>
          <w:szCs w:val="20"/>
          <w:color w:val="auto"/>
        </w:rPr>
      </w:pPr>
      <w:r>
        <w:rPr>
          <w:rFonts w:ascii="Arial" w:cs="Arial" w:eastAsia="Arial" w:hAnsi="Arial"/>
          <w:sz w:val="18"/>
          <w:szCs w:val="18"/>
          <w:color w:val="auto"/>
        </w:rPr>
        <w:t>terminate the licenses granted to Company herein under such Institution’s respective rights in the Patent Rights to the same extent Institutions are entitled to terminate this Agreement pursuant to Sections 10.2.3.2, 10.2.4 and 10.2.5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10.2.2.</w:t>
      </w: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 Company may terminate this Agreement without cause upon four (4) months’ prior written notice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Institutions.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10.2.3.</w:t>
      </w:r>
      <w:r>
        <w:rPr>
          <w:rFonts w:ascii="Arial" w:cs="Arial" w:eastAsia="Arial" w:hAnsi="Arial"/>
          <w:sz w:val="18"/>
          <w:szCs w:val="18"/>
          <w:u w:val="single" w:color="auto"/>
          <w:color w:val="auto"/>
        </w:rPr>
        <w:t>Termination for Default</w:t>
      </w:r>
      <w:r>
        <w:rPr>
          <w:rFonts w:ascii="Arial" w:cs="Arial" w:eastAsia="Arial" w:hAnsi="Arial"/>
          <w:sz w:val="18"/>
          <w:szCs w:val="18"/>
          <w:color w:val="auto"/>
        </w:rPr>
        <w:t>.</w:t>
      </w:r>
    </w:p>
    <w:p>
      <w:pPr>
        <w:spacing w:after="0" w:line="225" w:lineRule="exact"/>
        <w:rPr>
          <w:sz w:val="20"/>
          <w:szCs w:val="20"/>
          <w:color w:val="auto"/>
        </w:rPr>
      </w:pPr>
    </w:p>
    <w:p>
      <w:pPr>
        <w:jc w:val="both"/>
        <w:ind w:right="120" w:firstLine="1945"/>
        <w:spacing w:after="0" w:line="286" w:lineRule="auto"/>
        <w:rPr>
          <w:sz w:val="20"/>
          <w:szCs w:val="20"/>
          <w:color w:val="auto"/>
        </w:rPr>
      </w:pPr>
      <w:r>
        <w:rPr>
          <w:rFonts w:ascii="Arial" w:cs="Arial" w:eastAsia="Arial" w:hAnsi="Arial"/>
          <w:sz w:val="17"/>
          <w:szCs w:val="17"/>
          <w:color w:val="auto"/>
        </w:rPr>
        <w:t>10.2.3.1.In the event that either Party commits a material breach of its material obligations under this Agreement and fails to cure such breach within one hundred and five (105) days (or forty-five (45) days in the case of failure to make any payment) after receiving written notice thereof from the other Party, the other Party may terminate this Agreement immediately upon written notice to the Party in breach.</w:t>
      </w:r>
    </w:p>
    <w:p>
      <w:pPr>
        <w:spacing w:after="0" w:line="166" w:lineRule="exact"/>
        <w:rPr>
          <w:sz w:val="20"/>
          <w:szCs w:val="20"/>
          <w:color w:val="auto"/>
        </w:rPr>
      </w:pPr>
    </w:p>
    <w:p>
      <w:pPr>
        <w:ind w:right="40" w:firstLine="1945"/>
        <w:spacing w:after="0" w:line="276" w:lineRule="auto"/>
        <w:rPr>
          <w:sz w:val="20"/>
          <w:szCs w:val="20"/>
          <w:color w:val="auto"/>
        </w:rPr>
      </w:pPr>
      <w:r>
        <w:rPr>
          <w:rFonts w:ascii="Arial" w:cs="Arial" w:eastAsia="Arial" w:hAnsi="Arial"/>
          <w:sz w:val="17"/>
          <w:szCs w:val="17"/>
          <w:color w:val="auto"/>
        </w:rPr>
        <w:t>10.2.3.2.If Company defaults in its material obligations under Section 9.2 to procure and maintain insurance, or if Company has in any event failed to comply with the notice requirements contained therein, and fails to cure such default within [**] days after receiving written notice thereof from the Institutions, then Institutions may terminate this Agreement immediately upon written notice to Company. If such default of Company’s material obligations under Section 9.2 arises as a result of a breach by a Sublicensee of the terms of a Sublicense, Company may cure such breach by purchasing additional insurance that covers the gaps in coverage created by virtue of such Sublicensee’s breach.</w:t>
      </w:r>
    </w:p>
    <w:p>
      <w:pPr>
        <w:spacing w:after="0" w:line="17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10.2.3.3.Institutions shall be entitled to terminate this Agreement in accordance with the provisions of Section 3.4.</w:t>
      </w:r>
    </w:p>
    <w:p>
      <w:pPr>
        <w:spacing w:after="0" w:line="225" w:lineRule="exact"/>
        <w:rPr>
          <w:sz w:val="20"/>
          <w:szCs w:val="20"/>
          <w:color w:val="auto"/>
        </w:rPr>
      </w:pPr>
    </w:p>
    <w:p>
      <w:pPr>
        <w:ind w:right="120" w:firstLine="1297"/>
        <w:spacing w:after="0" w:line="269" w:lineRule="auto"/>
        <w:rPr>
          <w:sz w:val="20"/>
          <w:szCs w:val="20"/>
          <w:color w:val="auto"/>
        </w:rPr>
      </w:pPr>
      <w:r>
        <w:rPr>
          <w:rFonts w:ascii="Arial" w:cs="Arial" w:eastAsia="Arial" w:hAnsi="Arial"/>
          <w:sz w:val="17"/>
          <w:szCs w:val="17"/>
          <w:color w:val="auto"/>
        </w:rPr>
        <w:t>10.2.4.</w:t>
      </w:r>
      <w:r>
        <w:rPr>
          <w:rFonts w:ascii="Arial" w:cs="Arial" w:eastAsia="Arial" w:hAnsi="Arial"/>
          <w:sz w:val="17"/>
          <w:szCs w:val="17"/>
          <w:u w:val="single" w:color="auto"/>
          <w:color w:val="auto"/>
        </w:rPr>
        <w:t>Termination for Patent Challenge</w:t>
      </w:r>
      <w:r>
        <w:rPr>
          <w:rFonts w:ascii="Arial" w:cs="Arial" w:eastAsia="Arial" w:hAnsi="Arial"/>
          <w:sz w:val="17"/>
          <w:szCs w:val="17"/>
          <w:color w:val="auto"/>
        </w:rPr>
        <w:t>. If Company or any of its Affiliates or Sublicensees directly or indirectly brings, assumes or participates in, or knowingly, willfully or recklessly assists in bringing a Patent Challenge (except as required under a court order or subpoena), then the following shall apply: (a) if Company or any of its Affiliates is the party so bringing, assuming, participating in or assisting in such Patent Challenge, then Institutions shall be entitled to immediately terminate this Agreement upon written notice to Company, and (b) if a Sublicensee is the party so bringing, assuming, participating in or assisting in such Patent Challenge, then (i) Institutions shall be entitled to immediately terminate the rights hereunder as and to the extent sublicensed to a Sublicensee upon written notice to Company and (ii) Institutions shall grant Company a period not to exceed [**] days from the date of notice by Institutions to Company of their intention to terminate the Agreement due to such Sublicensee bringing, assuming, participating in or assisting in a Patent Challenge, during which period Company may terminate any and all agreements with such Sublicensee that contain a Sublicense. If, pursuant to the foregoing clause (ii), Company terminates such agreement(s) during such [**] day period, then Institutions shall not be entitled to terminate this Agreement in its entirety by virtue of such Sublicensee bringing, assuming, participating in or assisting in such Patent Challenge. However, if Company does not terminate such agreement(s) during such [**] day period, then Institutions shall be entitled to immediately terminate this Agreement in its entirety upon written notice to Company thereof.</w:t>
      </w:r>
    </w:p>
    <w:p>
      <w:pPr>
        <w:spacing w:after="0" w:line="180"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10.2.5.</w:t>
      </w:r>
      <w:r>
        <w:rPr>
          <w:rFonts w:ascii="Arial" w:cs="Arial" w:eastAsia="Arial" w:hAnsi="Arial"/>
          <w:sz w:val="18"/>
          <w:szCs w:val="18"/>
          <w:u w:val="single" w:color="auto"/>
          <w:color w:val="auto"/>
        </w:rPr>
        <w:t>Bankruptcy</w:t>
      </w:r>
      <w:r>
        <w:rPr>
          <w:rFonts w:ascii="Arial" w:cs="Arial" w:eastAsia="Arial" w:hAnsi="Arial"/>
          <w:sz w:val="18"/>
          <w:szCs w:val="18"/>
          <w:color w:val="auto"/>
        </w:rPr>
        <w:t>. Institutions may terminate this Agreement upon notice to Company if Company becomes subject to a Bankruptcy Event or in the event of dissolution or cessation of operations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10.2.6.</w:t>
      </w:r>
      <w:r>
        <w:rPr>
          <w:rFonts w:ascii="Arial" w:cs="Arial" w:eastAsia="Arial" w:hAnsi="Arial"/>
          <w:sz w:val="18"/>
          <w:szCs w:val="18"/>
          <w:u w:val="single" w:color="auto"/>
          <w:color w:val="auto"/>
        </w:rPr>
        <w:t>Termination without Prejudice</w:t>
      </w:r>
      <w:r>
        <w:rPr>
          <w:rFonts w:ascii="Arial" w:cs="Arial" w:eastAsia="Arial" w:hAnsi="Arial"/>
          <w:sz w:val="18"/>
          <w:szCs w:val="18"/>
          <w:color w:val="auto"/>
        </w:rPr>
        <w:t>. Institutions’ right of termination in this Section 10.2 shall be in addition and without prejudice to, and shall not constitute a waiver of, any right of Institutions for recovery of any monies then due to it hereunder or any other right or remedy Institutions may have at law, in equity or under this Agreement.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Effect of Termination.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10.3.1.</w:t>
      </w:r>
      <w:r>
        <w:rPr>
          <w:rFonts w:ascii="Arial" w:cs="Arial" w:eastAsia="Arial" w:hAnsi="Arial"/>
          <w:sz w:val="17"/>
          <w:szCs w:val="17"/>
          <w:u w:val="single" w:color="auto"/>
          <w:color w:val="auto"/>
        </w:rPr>
        <w:t>Termination of Rights</w:t>
      </w:r>
      <w:r>
        <w:rPr>
          <w:rFonts w:ascii="Arial" w:cs="Arial" w:eastAsia="Arial" w:hAnsi="Arial"/>
          <w:sz w:val="17"/>
          <w:szCs w:val="17"/>
          <w:color w:val="auto"/>
        </w:rPr>
        <w:t>.Upon expiration or termination of this Agreement by either Party pursuant to any of the provisions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10.2:</w:t>
      </w:r>
    </w:p>
    <w:p>
      <w:pPr>
        <w:spacing w:after="0" w:line="211" w:lineRule="exact"/>
        <w:rPr>
          <w:sz w:val="20"/>
          <w:szCs w:val="20"/>
          <w:color w:val="auto"/>
        </w:rPr>
      </w:pPr>
    </w:p>
    <w:p>
      <w:pPr>
        <w:ind w:right="40" w:firstLine="1945"/>
        <w:spacing w:after="0" w:line="308" w:lineRule="auto"/>
        <w:rPr>
          <w:sz w:val="20"/>
          <w:szCs w:val="20"/>
          <w:color w:val="auto"/>
        </w:rPr>
      </w:pPr>
      <w:r>
        <w:rPr>
          <w:rFonts w:ascii="Arial" w:cs="Arial" w:eastAsia="Arial" w:hAnsi="Arial"/>
          <w:sz w:val="17"/>
          <w:szCs w:val="17"/>
          <w:color w:val="auto"/>
        </w:rPr>
        <w:t>10.3.1.1.the rights and licenses granted to Company under Article 2 shall terminate, all rights in and to and under the Patent Rights shall revert to Institutions and neither Company nor its Affiliates may make any further use or exploitation of the Patent Rights; and</w:t>
      </w:r>
    </w:p>
    <w:p>
      <w:pPr>
        <w:spacing w:after="0" w:line="147" w:lineRule="exact"/>
        <w:rPr>
          <w:sz w:val="20"/>
          <w:szCs w:val="20"/>
          <w:color w:val="auto"/>
        </w:rPr>
      </w:pPr>
    </w:p>
    <w:p>
      <w:pPr>
        <w:ind w:right="20" w:firstLine="1945"/>
        <w:spacing w:after="0" w:line="283" w:lineRule="auto"/>
        <w:rPr>
          <w:sz w:val="20"/>
          <w:szCs w:val="20"/>
          <w:color w:val="auto"/>
        </w:rPr>
      </w:pPr>
      <w:r>
        <w:rPr>
          <w:rFonts w:ascii="Arial" w:cs="Arial" w:eastAsia="Arial" w:hAnsi="Arial"/>
          <w:sz w:val="16"/>
          <w:szCs w:val="16"/>
          <w:color w:val="auto"/>
        </w:rPr>
        <w:t>10.3.1.2.all existing Sublicenses shall automatically terminate [**] days following the effective date of termination of this Agreement; provided that, if any Sublicensee is (i) an Affiliate of Company or (ii) in material default of any material provision of the applicable Sublicense such that Company would have the right to terminate the Sublicense ((i) and (ii) together, “</w:t>
      </w:r>
      <w:r>
        <w:rPr>
          <w:rFonts w:ascii="Arial" w:cs="Arial" w:eastAsia="Arial" w:hAnsi="Arial"/>
          <w:sz w:val="16"/>
          <w:szCs w:val="16"/>
          <w:b w:val="1"/>
          <w:bCs w:val="1"/>
          <w:color w:val="auto"/>
        </w:rPr>
        <w:t>Ineligible Sublicensees</w:t>
      </w:r>
      <w:r>
        <w:rPr>
          <w:rFonts w:ascii="Arial" w:cs="Arial" w:eastAsia="Arial" w:hAnsi="Arial"/>
          <w:sz w:val="16"/>
          <w:szCs w:val="16"/>
          <w:color w:val="auto"/>
        </w:rPr>
        <w:t>”) then the applicable Sublicense to which such Sublicensee is a party shall terminate effective immediately upon termination of this Agreement. Upon termination of this Agreement pursuant to any of the provisions of Section 10.2, (A) Company shall promptly provide notice of such termination to any Sublicensee, (B) each Sublicensee that is not an Ineligible Sublicensee shall have the right to enter into a separate license agreement directly with Institutions (a “</w:t>
      </w:r>
      <w:r>
        <w:rPr>
          <w:rFonts w:ascii="Arial" w:cs="Arial" w:eastAsia="Arial" w:hAnsi="Arial"/>
          <w:sz w:val="16"/>
          <w:szCs w:val="16"/>
          <w:b w:val="1"/>
          <w:bCs w:val="1"/>
          <w:color w:val="auto"/>
        </w:rPr>
        <w:t>Direct License</w:t>
      </w:r>
      <w:r>
        <w:rPr>
          <w:rFonts w:ascii="Arial" w:cs="Arial" w:eastAsia="Arial" w:hAnsi="Arial"/>
          <w:sz w:val="16"/>
          <w:szCs w:val="16"/>
          <w:color w:val="auto"/>
        </w:rPr>
        <w:t>”) on substantially the same non-economic terms and conditions set forth in the Sublicense and on economic terms providing for the payment by such Sublicensee to Institutions of the consideration that otherwise would have been payable to Institutions if the applicable Sublicense and this Agreement were still simultaneously in effect, adjusted as if a Change of Control of Company had occurred, (i.e., the Change of Control Multiplier shall automatically apply in accordance with</w:t>
      </w:r>
    </w:p>
    <w:p>
      <w:pPr>
        <w:spacing w:after="0" w:line="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Section 4.4.2.4 as of the effective date of termination of this Agreement, resulting in any Milestone Payments that have not accrued at such time being increased by [**]%), and (C) Institutions shall automatically grant each such Sublicensee a temporary continuation (to expire upon the earlier of (x) execution of the Direct License or (y) the date that is [**] days following termination of this Agreement) of the rights and obligations such Sublicensee had as a Sublicensee under this Agreement (a “</w:t>
      </w:r>
      <w:r>
        <w:rPr>
          <w:rFonts w:ascii="Arial" w:cs="Arial" w:eastAsia="Arial" w:hAnsi="Arial"/>
          <w:sz w:val="16"/>
          <w:szCs w:val="16"/>
          <w:b w:val="1"/>
          <w:bCs w:val="1"/>
          <w:color w:val="auto"/>
        </w:rPr>
        <w:t>Temporary Extension</w:t>
      </w:r>
      <w:r>
        <w:rPr>
          <w:rFonts w:ascii="Arial" w:cs="Arial" w:eastAsia="Arial" w:hAnsi="Arial"/>
          <w:sz w:val="16"/>
          <w:szCs w:val="16"/>
          <w:color w:val="auto"/>
        </w:rPr>
        <w:t>”); provided that, under both the Direct License and the Temporary Extension, (a) Institutions shall not have (i) any obligations that are greater than or inconsistent with the obligations of Institutions under this Agreement or the nature of Institutions as academic and non-profit entities; or (ii) any fewer rights than they have under this Agreement; (b) there shall be no representations, warranties, expenses or liabilities of or on Institutions or MIT that are not included in this Agreement; (c) all obligations arising prior to execution of the Direct License and grant of the Temporary Extension shall remain the responsibility of Company and Institutions shall be released from any and all liability relating to such obligations;</w:t>
      </w:r>
    </w:p>
    <w:p>
      <w:pPr>
        <w:spacing w:after="0" w:line="5" w:lineRule="exact"/>
        <w:rPr>
          <w:sz w:val="20"/>
          <w:szCs w:val="20"/>
          <w:color w:val="auto"/>
        </w:rPr>
      </w:pPr>
    </w:p>
    <w:p>
      <w:pPr>
        <w:ind w:right="60" w:firstLine="8"/>
        <w:spacing w:after="0" w:line="323" w:lineRule="auto"/>
        <w:tabs>
          <w:tab w:leader="none" w:pos="25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terms of such Direct License and Temporary Extension shall provide for payment to Institutions of the same consideration that would have been payable to Institutions if the applicable Sublicense and this Agreement were still simultaneously in effect, adjusted as if a Change of Control of Company had</w:t>
      </w:r>
    </w:p>
    <w:p>
      <w:pPr>
        <w:sectPr>
          <w:pgSz w:w="11900" w:h="16838" w:orient="portrait"/>
          <w:cols w:equalWidth="0" w:num="1">
            <w:col w:w="11420"/>
          </w:cols>
          <w:pgMar w:left="240" w:top="125" w:right="239" w:bottom="0" w:gutter="0" w:footer="0" w:header="0"/>
        </w:sectPr>
      </w:pPr>
    </w:p>
    <w:bookmarkStart w:id="325" w:name="page326"/>
    <w:bookmarkEnd w:id="325"/>
    <w:p>
      <w:pPr>
        <w:spacing w:after="0" w:line="1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occurred, (i.e., the Change of Control Multiplier shall automatically apply in accordance with Section 4.4.2.4 as of the effective date of termination of this Agreement);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271" w:lineRule="auto"/>
        <w:tabs>
          <w:tab w:leader="none" w:pos="24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such modifications shall be included as are reasonably necessary to accommodate the functional and structural differences between Company and Institutions. By way of example and not limitation of the foregoing clause (d), if the Sublicense required payment to Company of a license fee and Institutions would have been entitled to receive a percentage of such payment under Section 4.6 of the Agreement, then Institutions shall continue to be entitled, under the Temporary Extension or Direct License, to the same share of that same license fee payment under the Sublicense that Institutions would have received had this Agreement and the Sublicense been simultaneously in effect. If any Sublicensee desires to enter into a Direct License, it shall wholly be the responsibility of that Sublicensee to notify Institutions of such desire no later than [**] days after the effective date of termination of this Agreement. If Institutions and the applicable Sublicensee, for any reason, do not enter into a Direct License within [**] days after the effective date of termination of the Agreement, the applicable Sublicense and Temporary Extension, and all rights granted thereunder, shall automatically terminate.</w:t>
      </w:r>
    </w:p>
    <w:p>
      <w:pPr>
        <w:spacing w:after="0" w:line="17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10.3.2.</w:t>
      </w:r>
      <w:r>
        <w:rPr>
          <w:rFonts w:ascii="Arial" w:cs="Arial" w:eastAsia="Arial" w:hAnsi="Arial"/>
          <w:sz w:val="18"/>
          <w:szCs w:val="18"/>
          <w:u w:val="single" w:color="auto"/>
          <w:color w:val="auto"/>
        </w:rPr>
        <w:t>Accruing Obligations</w:t>
      </w:r>
      <w:r>
        <w:rPr>
          <w:rFonts w:ascii="Arial" w:cs="Arial" w:eastAsia="Arial" w:hAnsi="Arial"/>
          <w:sz w:val="18"/>
          <w:szCs w:val="18"/>
          <w:color w:val="auto"/>
        </w:rPr>
        <w:t>.Termination or expiration of this Agreement shall not relieve the Parties of obligations accruing prior to such termination or expiration, including obligations to pay amounts accruing hereunder up to the date of termination or expiration. After the date of termination or expiration (except in the case of termination by Institutions pursuant to Section 10.2), Company, its Affiliates and Sublicensees may sell Licensed Products then in stock; provided that Company shall pay the applicable Royalties and other payments to Institutions in accordance with Article 4, provide reports and audit rights to Institutions pursuant to Article 5 and maintain insurance in accordance with the requirements of Section 9.2. The Parties agree that the obligations in Section 4.8.1 shall accrue immediately upon execution of this Agreement by both Parties, regardless of the events, invoice and payment timing details set forth therein.</w:t>
      </w:r>
    </w:p>
    <w:p>
      <w:pPr>
        <w:spacing w:after="0" w:line="189"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10.3.3.</w:t>
      </w:r>
      <w:r>
        <w:rPr>
          <w:rFonts w:ascii="Arial" w:cs="Arial" w:eastAsia="Arial" w:hAnsi="Arial"/>
          <w:sz w:val="18"/>
          <w:szCs w:val="18"/>
          <w:u w:val="single" w:color="auto"/>
          <w:color w:val="auto"/>
        </w:rPr>
        <w:t>Enabled Products and Enabled Services</w:t>
      </w:r>
      <w:r>
        <w:rPr>
          <w:rFonts w:ascii="Arial" w:cs="Arial" w:eastAsia="Arial" w:hAnsi="Arial"/>
          <w:sz w:val="18"/>
          <w:szCs w:val="18"/>
          <w:color w:val="auto"/>
        </w:rPr>
        <w:t>. After the date of termination or expiration of this Agreement, Company and its Affiliates may continue to sell and provide Enabled Products and Enabled Services, provided that (a) for the remaining duration of any Royalty Term applicable to any such Enabled Product or Enabled Service, Company shall pay the applicable Royalties and other payments to Institutions in accordance with Article 4, provide reports and audit rights to Institutions pursuant to Article 5, and (b) Company shall maintain insurance in accordance with the requirements of Section 9.2.</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10.3.4.</w:t>
      </w:r>
      <w:r>
        <w:rPr>
          <w:rFonts w:ascii="Arial" w:cs="Arial" w:eastAsia="Arial" w:hAnsi="Arial"/>
          <w:sz w:val="16"/>
          <w:szCs w:val="16"/>
          <w:u w:val="single" w:color="auto"/>
          <w:color w:val="auto"/>
        </w:rPr>
        <w:t>Disposition of Company Developments</w:t>
      </w:r>
      <w:r>
        <w:rPr>
          <w:rFonts w:ascii="Arial" w:cs="Arial" w:eastAsia="Arial" w:hAnsi="Arial"/>
          <w:sz w:val="16"/>
          <w:szCs w:val="16"/>
          <w:color w:val="auto"/>
        </w:rPr>
        <w:t>. In the event this Agreement is terminated prior to expiration of the Term, Company shall:</w:t>
      </w:r>
    </w:p>
    <w:p>
      <w:pPr>
        <w:spacing w:after="0" w:line="248" w:lineRule="exact"/>
        <w:rPr>
          <w:sz w:val="20"/>
          <w:szCs w:val="20"/>
          <w:color w:val="auto"/>
        </w:rPr>
      </w:pPr>
    </w:p>
    <w:p>
      <w:pPr>
        <w:ind w:right="120" w:firstLine="1945"/>
        <w:spacing w:after="0" w:line="276" w:lineRule="auto"/>
        <w:rPr>
          <w:sz w:val="20"/>
          <w:szCs w:val="20"/>
          <w:color w:val="auto"/>
        </w:rPr>
      </w:pPr>
      <w:r>
        <w:rPr>
          <w:rFonts w:ascii="Arial" w:cs="Arial" w:eastAsia="Arial" w:hAnsi="Arial"/>
          <w:sz w:val="17"/>
          <w:szCs w:val="17"/>
          <w:color w:val="auto"/>
        </w:rPr>
        <w:t>10.3.4.1.consider in good faith with Institutions during the [**] day period after such termination, whether and on what terms Company will provide to Institutions and MIT a copy of, and, if requested by Institutions and MIT, grant Institutions and MIT a sublicensable license to, all patents and patent applications of the Company or its Affiliates that improve or are otherwise related to the Patent Rights or that cover a Licensed Product or Licensed Service that Institutions or MIT are interested in pursuing either themselves or through a licensee; provided that the terms of any such license shall be consistent with Company’s obligations under contract and applicable law and its officers’ and directors’ fiduciary obligations;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945"/>
        <w:spacing w:after="0" w:line="254" w:lineRule="auto"/>
        <w:rPr>
          <w:sz w:val="20"/>
          <w:szCs w:val="20"/>
          <w:color w:val="auto"/>
        </w:rPr>
      </w:pPr>
      <w:r>
        <w:rPr>
          <w:rFonts w:ascii="Arial" w:cs="Arial" w:eastAsia="Arial" w:hAnsi="Arial"/>
          <w:sz w:val="18"/>
          <w:szCs w:val="18"/>
          <w:color w:val="auto"/>
        </w:rPr>
        <w:t>10.3.4.2.provide Institutions and MIT with access to and, at Institutions’ and MIT’s request, deliver to Institutions and MIT all documents, filings, data and other information in Company’s or its Affiliates’ possession or control (other than documents, filings, data and other information owned by Sublicensees or Third Parties) relating to any of the Patent Rights, Licensed Products or Licensed Services, including all records required by regulatory authorities to be maintained with respect to Licensed Products or Licensed Services, all regulatory filings, approvals, reports, records, correspondence and other regulatory materials (including any related to reimbursement or pricing approvals), and all documents, data and other information related to clinical trials and other studies of Licensed Products or Licensed Services (collectively, “</w:t>
      </w:r>
      <w:r>
        <w:rPr>
          <w:rFonts w:ascii="Arial" w:cs="Arial" w:eastAsia="Arial" w:hAnsi="Arial"/>
          <w:sz w:val="18"/>
          <w:szCs w:val="18"/>
          <w:b w:val="1"/>
          <w:bCs w:val="1"/>
          <w:color w:val="auto"/>
        </w:rPr>
        <w:t>Documentation and Approvals</w:t>
      </w:r>
      <w:r>
        <w:rPr>
          <w:rFonts w:ascii="Arial" w:cs="Arial" w:eastAsia="Arial" w:hAnsi="Arial"/>
          <w:sz w:val="18"/>
          <w:szCs w:val="18"/>
          <w:color w:val="auto"/>
        </w:rPr>
        <w:t>”) if and to the extent that the provision of, access to and delivery of such Documentation and Approvals shall be consistent with Company’s obligations under contract and applicable law; and</w:t>
      </w:r>
    </w:p>
    <w:p>
      <w:pPr>
        <w:spacing w:after="0" w:line="192" w:lineRule="exact"/>
        <w:rPr>
          <w:sz w:val="20"/>
          <w:szCs w:val="20"/>
          <w:color w:val="auto"/>
        </w:rPr>
      </w:pPr>
    </w:p>
    <w:p>
      <w:pPr>
        <w:ind w:right="120" w:firstLine="1945"/>
        <w:spacing w:after="0" w:line="255" w:lineRule="auto"/>
        <w:rPr>
          <w:sz w:val="20"/>
          <w:szCs w:val="20"/>
          <w:color w:val="auto"/>
        </w:rPr>
      </w:pPr>
      <w:r>
        <w:rPr>
          <w:rFonts w:ascii="Arial" w:cs="Arial" w:eastAsia="Arial" w:hAnsi="Arial"/>
          <w:sz w:val="18"/>
          <w:szCs w:val="18"/>
          <w:color w:val="auto"/>
        </w:rPr>
        <w:t>10.3.4.3.permit Institutions and MIT and their licensees and sublicensees to utilize, reference, cross reference, have access to, incorporate in applications and filings (including with any Regulatory Authority in furtherance of applications for regulatory approval), and otherwise have the benefit of all Documentation and Approvals if and to the extent that the foregoing right to utilize, reference, cross reference, have access to, incorporate such Documentation and Approvals shall be consistent with Company’s obligations under contract and applicable law; provided, however, that notwithstanding anything in the foregoing to the contrary, the right to utilize, reference, cross reference, have access to, incorporate such Documentation and Approvals shall not be deemed or construed as a grant of any license or other right under any patent or patent application owned or controlled by Company, its Affiliates or any Third Party.</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10.4. Survival. </w:t>
      </w:r>
      <w:r>
        <w:rPr>
          <w:rFonts w:ascii="Arial" w:cs="Arial" w:eastAsia="Arial" w:hAnsi="Arial"/>
          <w:sz w:val="17"/>
          <w:szCs w:val="17"/>
          <w:color w:val="auto"/>
        </w:rPr>
        <w:t>The Parties’ respective rights, obligations and duties under Articles 5, 9, 10 and 11, Sections 8.3 and 8.4, as well as any rights,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 duties which by their nature extend beyond the expiration or termination of this Agreement, shall survive any expiration or termination of this Agreement. In addition, Company’s obligations under (a) Section 4.6, with respect to Sublicenses granted prior to expiration or termination of the Agreement, and (b) Sections 4.4 and 4.5, with respect to any sale, performance or other transfer of Licensed Products, Licensed Services, Enabled Products and Enabled Services occurring under Sections 10.3.2 and 10.3.3 after the Term, shall in each case survive such expiration or termination.</w:t>
      </w:r>
    </w:p>
    <w:p>
      <w:pPr>
        <w:spacing w:after="0" w:line="168" w:lineRule="exact"/>
        <w:rPr>
          <w:sz w:val="20"/>
          <w:szCs w:val="20"/>
          <w:color w:val="auto"/>
        </w:rPr>
      </w:pPr>
    </w:p>
    <w:p>
      <w:pPr>
        <w:ind w:left="640" w:hanging="632"/>
        <w:spacing w:after="0"/>
        <w:tabs>
          <w:tab w:leader="none" w:pos="64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   Confidentiality.</w:t>
      </w:r>
    </w:p>
    <w:p>
      <w:pPr>
        <w:spacing w:after="0" w:line="225" w:lineRule="exact"/>
        <w:rPr>
          <w:sz w:val="20"/>
          <w:szCs w:val="20"/>
          <w:color w:val="auto"/>
        </w:rPr>
      </w:pPr>
    </w:p>
    <w:p>
      <w:pPr>
        <w:ind w:right="40" w:firstLine="1297"/>
        <w:spacing w:after="0" w:line="298" w:lineRule="auto"/>
        <w:rPr>
          <w:sz w:val="20"/>
          <w:szCs w:val="20"/>
          <w:color w:val="auto"/>
        </w:rPr>
      </w:pPr>
      <w:r>
        <w:rPr>
          <w:rFonts w:ascii="Arial" w:cs="Arial" w:eastAsia="Arial" w:hAnsi="Arial"/>
          <w:sz w:val="16"/>
          <w:szCs w:val="16"/>
          <w:color w:val="auto"/>
        </w:rPr>
        <w:t>11.1.1.”</w:t>
      </w:r>
      <w:r>
        <w:rPr>
          <w:rFonts w:ascii="Arial" w:cs="Arial" w:eastAsia="Arial" w:hAnsi="Arial"/>
          <w:sz w:val="16"/>
          <w:szCs w:val="16"/>
          <w:b w:val="1"/>
          <w:bCs w:val="1"/>
          <w:color w:val="auto"/>
        </w:rPr>
        <w:t>Institution Confidential Information</w:t>
      </w:r>
      <w:r>
        <w:rPr>
          <w:rFonts w:ascii="Arial" w:cs="Arial" w:eastAsia="Arial" w:hAnsi="Arial"/>
          <w:sz w:val="16"/>
          <w:szCs w:val="16"/>
          <w:color w:val="auto"/>
        </w:rPr>
        <w:t>” means (a) any Institution Technology Transfer Materials or information related to Prosecution of Patent Rights provided to Company by Harvard (“</w:t>
      </w:r>
      <w:r>
        <w:rPr>
          <w:rFonts w:ascii="Arial" w:cs="Arial" w:eastAsia="Arial" w:hAnsi="Arial"/>
          <w:sz w:val="16"/>
          <w:szCs w:val="16"/>
          <w:b w:val="1"/>
          <w:bCs w:val="1"/>
          <w:color w:val="auto"/>
        </w:rPr>
        <w:t>Harvard Confidential Information</w:t>
      </w:r>
      <w:r>
        <w:rPr>
          <w:rFonts w:ascii="Arial" w:cs="Arial" w:eastAsia="Arial" w:hAnsi="Arial"/>
          <w:sz w:val="16"/>
          <w:szCs w:val="16"/>
          <w:color w:val="auto"/>
        </w:rPr>
        <w:t>”); (b) any Institution Technology Transfer Materials or information related to Prosecution of Patent Rights provided to Company by Broad (“</w:t>
      </w:r>
      <w:r>
        <w:rPr>
          <w:rFonts w:ascii="Arial" w:cs="Arial" w:eastAsia="Arial" w:hAnsi="Arial"/>
          <w:sz w:val="16"/>
          <w:szCs w:val="16"/>
          <w:b w:val="1"/>
          <w:bCs w:val="1"/>
          <w:color w:val="auto"/>
        </w:rPr>
        <w:t>Broad Confidential Information</w:t>
      </w:r>
      <w:r>
        <w:rPr>
          <w:rFonts w:ascii="Arial" w:cs="Arial" w:eastAsia="Arial" w:hAnsi="Arial"/>
          <w:sz w:val="16"/>
          <w:szCs w:val="16"/>
          <w:color w:val="auto"/>
        </w:rPr>
        <w:t>”); (c) any information or material in tangible form that is marked as “confidential” or proprietary by an Institution at the time it is sent to Company; and (d) information that is furnished orally by an Institution if such Institution identifies such information as “confidential” or proprietary in writing by a memorandum delivered to Company</w:t>
      </w:r>
    </w:p>
    <w:p>
      <w:pPr>
        <w:sectPr>
          <w:pgSz w:w="11900" w:h="16851" w:orient="portrait"/>
          <w:cols w:equalWidth="0" w:num="1">
            <w:col w:w="11420"/>
          </w:cols>
          <w:pgMar w:left="240" w:top="125"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51" w:orient="portrait"/>
          <w:cols w:equalWidth="0" w:num="1">
            <w:col w:w="11420"/>
          </w:cols>
          <w:pgMar w:left="240" w:top="125" w:right="239" w:bottom="0" w:gutter="0" w:footer="0" w:header="0"/>
          <w:type w:val="continuous"/>
        </w:sectPr>
      </w:pPr>
    </w:p>
    <w:bookmarkStart w:id="326" w:name="page327"/>
    <w:bookmarkEnd w:id="326"/>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256" w:lineRule="auto"/>
        <w:rPr>
          <w:sz w:val="20"/>
          <w:szCs w:val="20"/>
          <w:color w:val="auto"/>
        </w:rPr>
      </w:pPr>
      <w:r>
        <w:rPr>
          <w:rFonts w:ascii="Arial" w:cs="Arial" w:eastAsia="Arial" w:hAnsi="Arial"/>
          <w:sz w:val="18"/>
          <w:szCs w:val="18"/>
          <w:color w:val="auto"/>
        </w:rPr>
        <w:t>within [**] business days after the date of disclosure. “</w:t>
      </w:r>
      <w:r>
        <w:rPr>
          <w:rFonts w:ascii="Arial" w:cs="Arial" w:eastAsia="Arial" w:hAnsi="Arial"/>
          <w:sz w:val="18"/>
          <w:szCs w:val="18"/>
          <w:b w:val="1"/>
          <w:bCs w:val="1"/>
          <w:color w:val="auto"/>
        </w:rPr>
        <w:t>Company Confidential Information</w:t>
      </w:r>
      <w:r>
        <w:rPr>
          <w:rFonts w:ascii="Arial" w:cs="Arial" w:eastAsia="Arial" w:hAnsi="Arial"/>
          <w:sz w:val="18"/>
          <w:szCs w:val="18"/>
          <w:color w:val="auto"/>
        </w:rPr>
        <w:t>” means (i) the Development Plan and any Current Plan, Internal Development Plan or Collaboration Plan; (ii) any information regarding the identity of Selected Targets received by Institutions from the Gatekeeper; (iii) any reports prepared by Company and provided to Institutions pursuant to Sections 3.3, 4.4.4 and 5.1.1 and (iv) any copies of Sublicenses, or information extracted therefrom, provided by Company to Institutions under Section 2.5.2. The terms of this Agreement constitute the Confidential Information of both Parties. The Parties agree the terms of this Agreement may be shared with HHMI and MIT.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the Institution Confidential Information and the Company Confidential Information, as applicable.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11.1.2.For the Term of this Agreement and a period of [**] years thereafter, (a) Company shall maintain in confidence and shall not disclose</w:t>
      </w:r>
    </w:p>
    <w:p>
      <w:pPr>
        <w:spacing w:after="0" w:line="46" w:lineRule="exact"/>
        <w:rPr>
          <w:sz w:val="20"/>
          <w:szCs w:val="20"/>
          <w:color w:val="auto"/>
        </w:rPr>
      </w:pPr>
    </w:p>
    <w:p>
      <w:pPr>
        <w:ind w:right="20" w:firstLine="8"/>
        <w:spacing w:after="0" w:line="286" w:lineRule="auto"/>
        <w:tabs>
          <w:tab w:leader="none" w:pos="21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to any third party any Institution Confidential Information (ii) to Broad any Harvard Confidential Information, without the prior written consent of Harvard, and (iii) to Harvard any Broad Confidential Information, without the prior written consent of Broad and (b) Institutions shall maintain in confidence and shall not disclose to any third party any Company Confidential Information, provided that Institutions may disclose to MIT and HHMI (A) this Agreement including any Exhibits, and (B) such Confidential Information of Company as MIT or HHMI, as the case may be, reasonably requests, provided that any disclosure under the foregoing clause (A) shall be made in confidence to MIT or HHMI, as the case may be, and that any disclosure under the foregoing clause (B) shall be under terms of a written confidentiality agreement prohibiting the use and further disclosure by MIT or HHMI, as the case may be, of such Confidential Information on terms as least as restrictive as those contained herein. Each Party shall take all reasonable steps to protect the Confidential Information of the other Party with the same degree of care used to protect its own confidential or proprietary information. Neither Party shall use the Confidential Information of the other Party for any purpose other than those contemplated by this Agreement, which, for clarity, shall include the right of the Company to use the information provided by the Gatekeeper to Company in connection with the exploitation of the licenses granted hereunder, subject to the last sentence of Section 2.6.5.2 and the penultimate sentence of Section 2.6.5.4. The foregoing obligations under this Section 11.1.2 shall not apply to:</w:t>
      </w:r>
    </w:p>
    <w:p>
      <w:pPr>
        <w:spacing w:after="0" w:line="166" w:lineRule="exact"/>
        <w:rPr>
          <w:rFonts w:ascii="Arial" w:cs="Arial" w:eastAsia="Arial" w:hAnsi="Arial"/>
          <w:sz w:val="16"/>
          <w:szCs w:val="16"/>
          <w:color w:val="auto"/>
        </w:rPr>
      </w:pPr>
    </w:p>
    <w:p>
      <w:pPr>
        <w:ind w:left="660" w:right="160" w:hanging="328"/>
        <w:spacing w:after="0" w:line="308" w:lineRule="auto"/>
        <w:tabs>
          <w:tab w:leader="none" w:pos="681" w:val="left"/>
        </w:tabs>
        <w:numPr>
          <w:ilvl w:val="1"/>
          <w:numId w:val="243"/>
        </w:numPr>
        <w:rPr>
          <w:rFonts w:ascii="Arial" w:cs="Arial" w:eastAsia="Arial" w:hAnsi="Arial"/>
          <w:sz w:val="17"/>
          <w:szCs w:val="17"/>
          <w:color w:val="auto"/>
        </w:rPr>
      </w:pPr>
      <w:r>
        <w:rPr>
          <w:rFonts w:ascii="Arial" w:cs="Arial" w:eastAsia="Arial" w:hAnsi="Arial"/>
          <w:sz w:val="17"/>
          <w:szCs w:val="17"/>
          <w:color w:val="auto"/>
        </w:rPr>
        <w:t>information that is known to the receiving Party or independently developed by the receiving Party prior to the time of disclosure without use of or reference to the other Party’s Confidential Information, in each case, to the extent evidenced by contemporaneous written records;</w:t>
      </w:r>
    </w:p>
    <w:p>
      <w:pPr>
        <w:spacing w:after="0" w:line="146" w:lineRule="exact"/>
        <w:rPr>
          <w:rFonts w:ascii="Arial" w:cs="Arial" w:eastAsia="Arial" w:hAnsi="Arial"/>
          <w:sz w:val="17"/>
          <w:szCs w:val="17"/>
          <w:color w:val="auto"/>
        </w:rPr>
      </w:pPr>
    </w:p>
    <w:p>
      <w:pPr>
        <w:ind w:left="660" w:right="180" w:hanging="328"/>
        <w:spacing w:after="0" w:line="277" w:lineRule="auto"/>
        <w:tabs>
          <w:tab w:leader="none" w:pos="691"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information that is independently developed by the receiving Party at or after the time of disclosure without use of or reference to the other Party’s Confidential Information, to the extent evidenced by contemporaneous written records;</w:t>
      </w:r>
    </w:p>
    <w:p>
      <w:pPr>
        <w:spacing w:after="0" w:line="170" w:lineRule="exact"/>
        <w:rPr>
          <w:rFonts w:ascii="Arial" w:cs="Arial" w:eastAsia="Arial" w:hAnsi="Arial"/>
          <w:sz w:val="18"/>
          <w:szCs w:val="18"/>
          <w:color w:val="auto"/>
        </w:rPr>
      </w:pPr>
    </w:p>
    <w:p>
      <w:pPr>
        <w:ind w:left="700" w:hanging="368"/>
        <w:spacing w:after="0"/>
        <w:tabs>
          <w:tab w:leader="none" w:pos="7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information disclosed to the receiving Party by a Third Party (other than the Gatekeeper) that has a right to make such disclosure;</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7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information that is publicly disclosed at or prior to the time of disclosure hereunder or becomes patented, published or otherwise part of the public domain as a result of acts by the furnishing Party or a Third Party obtaining such information as a matter of right;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hanging="328"/>
        <w:spacing w:after="0" w:line="264" w:lineRule="auto"/>
        <w:tabs>
          <w:tab w:leader="none" w:pos="66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information that is required to be disclosed by order of the FDA or similar authority or a court of competent jurisdiction or other government authority or agency; provided that the Parties shall use commercially reasonable efforts to obtain confidential treatment of such information by the agency, authority, or court.</w:t>
      </w:r>
    </w:p>
    <w:p>
      <w:pPr>
        <w:spacing w:after="0" w:line="18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11.1.3.</w:t>
      </w:r>
      <w:r>
        <w:rPr>
          <w:rFonts w:ascii="Arial" w:cs="Arial" w:eastAsia="Arial" w:hAnsi="Arial"/>
          <w:sz w:val="18"/>
          <w:szCs w:val="18"/>
          <w:u w:val="single" w:color="auto"/>
          <w:color w:val="auto"/>
        </w:rPr>
        <w:t>Permitted Disclosures</w:t>
      </w:r>
      <w:r>
        <w:rPr>
          <w:rFonts w:ascii="Arial" w:cs="Arial" w:eastAsia="Arial" w:hAnsi="Arial"/>
          <w:sz w:val="18"/>
          <w:szCs w:val="18"/>
          <w:color w:val="auto"/>
        </w:rPr>
        <w:t>. Notwithstanding Section 11.1, either Party may disclose Confidential Information of the other Party to the extent such disclosure is reasonably necessary in the following instances: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11.1.3.1.prosecuting or defending litigation in accordance with Article 7 of this Agreement;</w:t>
      </w:r>
    </w:p>
    <w:p>
      <w:pPr>
        <w:spacing w:after="0" w:line="225" w:lineRule="exact"/>
        <w:rPr>
          <w:sz w:val="20"/>
          <w:szCs w:val="20"/>
          <w:color w:val="auto"/>
        </w:rPr>
      </w:pPr>
    </w:p>
    <w:p>
      <w:pPr>
        <w:ind w:right="60" w:firstLine="1945"/>
        <w:spacing w:after="0" w:line="264" w:lineRule="auto"/>
        <w:rPr>
          <w:sz w:val="20"/>
          <w:szCs w:val="20"/>
          <w:color w:val="auto"/>
        </w:rPr>
      </w:pPr>
      <w:r>
        <w:rPr>
          <w:rFonts w:ascii="Arial" w:cs="Arial" w:eastAsia="Arial" w:hAnsi="Arial"/>
          <w:sz w:val="18"/>
          <w:szCs w:val="18"/>
          <w:color w:val="auto"/>
        </w:rPr>
        <w:t>11.1.3.2.making filings with the Securities and Exchange Commission or foreign equivalent, any stock exchange or market, or any Regulatory Authorities, which shall include publicly disclosing or filing this Agreement as a “material agreement” in accordance with applicable law or applicable stock exchange regulations;</w:t>
      </w:r>
    </w:p>
    <w:p>
      <w:pPr>
        <w:spacing w:after="0" w:line="177" w:lineRule="exact"/>
        <w:rPr>
          <w:sz w:val="20"/>
          <w:szCs w:val="20"/>
          <w:color w:val="auto"/>
        </w:rPr>
      </w:pPr>
    </w:p>
    <w:p>
      <w:pPr>
        <w:ind w:right="40" w:firstLine="1945"/>
        <w:spacing w:after="0" w:line="303" w:lineRule="auto"/>
        <w:rPr>
          <w:sz w:val="20"/>
          <w:szCs w:val="20"/>
          <w:color w:val="auto"/>
        </w:rPr>
      </w:pPr>
      <w:r>
        <w:rPr>
          <w:rFonts w:ascii="Arial" w:cs="Arial" w:eastAsia="Arial" w:hAnsi="Arial"/>
          <w:sz w:val="16"/>
          <w:szCs w:val="16"/>
          <w:color w:val="auto"/>
        </w:rPr>
        <w:t>11.1.3.3.complying with applicable laws, rules, regulations or orders (collectively, “</w:t>
      </w:r>
      <w:r>
        <w:rPr>
          <w:rFonts w:ascii="Arial" w:cs="Arial" w:eastAsia="Arial" w:hAnsi="Arial"/>
          <w:sz w:val="16"/>
          <w:szCs w:val="16"/>
          <w:b w:val="1"/>
          <w:bCs w:val="1"/>
          <w:color w:val="auto"/>
        </w:rPr>
        <w:t>Law</w:t>
      </w:r>
      <w:r>
        <w:rPr>
          <w:rFonts w:ascii="Arial" w:cs="Arial" w:eastAsia="Arial" w:hAnsi="Arial"/>
          <w:sz w:val="16"/>
          <w:szCs w:val="16"/>
          <w:color w:val="auto"/>
        </w:rPr>
        <w:t xml:space="preserve">”) or submitting information to governmental authorities;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Party is required by Law to make any public disclosure of Confidential Information of the other Party, to the extent the Party so required may legally do so, it will give reasonable advance notice to the other Party of such disclosure and will use its reasonable efforts to secure confidential treatment of such Confidential Information prior to its disclosure (whether through protective orders or otherwise); and</w:t>
      </w:r>
    </w:p>
    <w:p>
      <w:pPr>
        <w:spacing w:after="0" w:line="155" w:lineRule="exact"/>
        <w:rPr>
          <w:sz w:val="20"/>
          <w:szCs w:val="20"/>
          <w:color w:val="auto"/>
        </w:rPr>
      </w:pPr>
    </w:p>
    <w:p>
      <w:pPr>
        <w:ind w:right="40" w:firstLine="1945"/>
        <w:spacing w:after="0" w:line="291" w:lineRule="auto"/>
        <w:rPr>
          <w:sz w:val="20"/>
          <w:szCs w:val="20"/>
          <w:color w:val="auto"/>
        </w:rPr>
      </w:pPr>
      <w:r>
        <w:rPr>
          <w:rFonts w:ascii="Arial" w:cs="Arial" w:eastAsia="Arial" w:hAnsi="Arial"/>
          <w:sz w:val="16"/>
          <w:szCs w:val="16"/>
          <w:color w:val="auto"/>
        </w:rPr>
        <w:t>11.1.3.4.to its Affiliates and its and their prospective and actual acquirers, licensees, sublicensees, distributors, investors, lenders and underwriters, and (a) its and their employees, consultants, agents, and advisors, on a need to know basis, each of whom prior to disclosure must be bound by written obligations of confidentiality and non-use of substantially equivalent or greater scope and duration than those set forth in this Article 11, and (b) its and their accountants and lawyers, on a need to know basis, each of whom prior to disclosure must be bound by written or legally enforceable professional ethical obligations of confidentiality and non-use of substantially equivalent or greater scope and duration than those set forth in this Article 11; provided that the scope of Confidential Information that may be disclosed to any Person under this Section 11.1.3.4 is limited to the terms of this Agreement and any notices given hereunder and not any other Institution Confidential Information unless otherwise agreed to in writing by such other Party.</w:t>
      </w:r>
    </w:p>
    <w:p>
      <w:pPr>
        <w:spacing w:after="0" w:line="167"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11.1.4.</w:t>
      </w:r>
      <w:r>
        <w:rPr>
          <w:rFonts w:ascii="Arial" w:cs="Arial" w:eastAsia="Arial" w:hAnsi="Arial"/>
          <w:sz w:val="18"/>
          <w:szCs w:val="18"/>
          <w:u w:val="single" w:color="auto"/>
          <w:color w:val="auto"/>
        </w:rPr>
        <w:t>Additional Permitted Disclosure</w:t>
      </w:r>
      <w:r>
        <w:rPr>
          <w:rFonts w:ascii="Arial" w:cs="Arial" w:eastAsia="Arial" w:hAnsi="Arial"/>
          <w:sz w:val="18"/>
          <w:szCs w:val="18"/>
          <w:color w:val="auto"/>
        </w:rPr>
        <w:t>. In addition to the rights set forth elsewhere in this Article 11, each of the Institutions and Company shall have the right to disclose to Third Parties without an obligation of confidentiality all or part of a redacted copy of this Agreement, or the substance thereof, in the form attached as Exhibit 11.1.4. The Party intending to make such disclosure shall use good faith efforts to notify the other Parties in advance of any such disclosure. In the event that such advance notice is not provided by a Party that makes such disclosure, such Party shall notify the other Parties of such disclosure promptly after such disclosure is made.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80" w:firstLine="648"/>
        <w:spacing w:after="0" w:line="314" w:lineRule="auto"/>
        <w:rPr>
          <w:sz w:val="20"/>
          <w:szCs w:val="20"/>
          <w:color w:val="auto"/>
        </w:rPr>
      </w:pPr>
      <w:r>
        <w:rPr>
          <w:rFonts w:ascii="Arial" w:cs="Arial" w:eastAsia="Arial" w:hAnsi="Arial"/>
          <w:sz w:val="16"/>
          <w:szCs w:val="16"/>
          <w:b w:val="1"/>
          <w:bCs w:val="1"/>
          <w:color w:val="auto"/>
        </w:rPr>
        <w:t xml:space="preserve">11.2. Use of Name. </w:t>
      </w:r>
      <w:r>
        <w:rPr>
          <w:rFonts w:ascii="Arial" w:cs="Arial" w:eastAsia="Arial" w:hAnsi="Arial"/>
          <w:sz w:val="16"/>
          <w:szCs w:val="16"/>
          <w:color w:val="auto"/>
        </w:rPr>
        <w:t>Except as provided below, Company shall not, and shall ensure that its Affiliates and Sublicensees shall not, use or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“The Broad Institute, Inc.,” “Wyss Institute for Biologically Inspired Engineering at Harvard University,” “President and Fellows of Harvard College,” “Massachusetts Institute of Technology,” “Lincoln Laboratory” or any variation, adaptation, or abbreviation thereof (alone or as part of another</w:t>
      </w:r>
    </w:p>
    <w:p>
      <w:pPr>
        <w:sectPr>
          <w:pgSz w:w="11900" w:h="16886" w:orient="portrait"/>
          <w:cols w:equalWidth="0" w:num="1">
            <w:col w:w="11420"/>
          </w:cols>
          <w:pgMar w:left="240" w:top="729" w:right="239" w:bottom="0" w:gutter="0" w:footer="0" w:header="0"/>
        </w:sectPr>
      </w:pPr>
    </w:p>
    <w:bookmarkStart w:id="327" w:name="page328"/>
    <w:bookmarkEnd w:id="327"/>
    <w:p>
      <w:pPr>
        <w:spacing w:after="0"/>
        <w:rPr>
          <w:sz w:val="20"/>
          <w:szCs w:val="20"/>
          <w:color w:val="auto"/>
        </w:rPr>
      </w:pPr>
      <w:r>
        <w:rPr>
          <w:rFonts w:ascii="Arial" w:cs="Arial" w:eastAsia="Arial" w:hAnsi="Arial"/>
          <w:sz w:val="17"/>
          <w:szCs w:val="17"/>
          <w:color w:val="auto"/>
        </w:rPr>
        <w:t>name) or any logos, seals, insignia or other words, names, symbols or devices that identify Institutions or any Institutions school, unit, division or affiliate</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Institution Names</w:t>
      </w:r>
      <w:r>
        <w:rPr>
          <w:rFonts w:ascii="Arial" w:cs="Arial" w:eastAsia="Arial" w:hAnsi="Arial"/>
          <w:sz w:val="17"/>
          <w:szCs w:val="17"/>
          <w:color w:val="auto"/>
        </w:rPr>
        <w:t>”) for any purpose except with the prior written approval of, and in accordance with restrictions required by, the applicable Institution or MIT, as applicable. Without limiting the foregoing, Company shall, and shall ensure that its Affiliates and Sublicensees shall, cease all use of Institution Names as permitted under or in connection with this Agreement on the termination or expiration of this Agreement except as otherwise approved in writing by the applicable Institution or MIT, as applicable. This restriction shall not apply to any information required by law to be disclosed to any governmental entity. Company shall not use or register the name “Howard Hughes Medical Institute” or any variation, adaptation, or abbreviation thereof (alone or as part of another name) or any logos, seals, insignia or other words, names, symbols or devices that identify HHMI or any unit of HHMI (“</w:t>
      </w:r>
      <w:r>
        <w:rPr>
          <w:rFonts w:ascii="Arial" w:cs="Arial" w:eastAsia="Arial" w:hAnsi="Arial"/>
          <w:sz w:val="17"/>
          <w:szCs w:val="17"/>
          <w:b w:val="1"/>
          <w:bCs w:val="1"/>
          <w:color w:val="auto"/>
        </w:rPr>
        <w:t>HHMI Names</w:t>
      </w:r>
      <w:r>
        <w:rPr>
          <w:rFonts w:ascii="Arial" w:cs="Arial" w:eastAsia="Arial" w:hAnsi="Arial"/>
          <w:sz w:val="17"/>
          <w:szCs w:val="17"/>
          <w:color w:val="auto"/>
        </w:rPr>
        <w:t>”) or of any HHMI employee (including [**]) in a manner that reasonably could constitute an endorsement of a commercial product or service; but that use for other purposes, even if commercially motivated, is permitted provided that (1) the use is limited to accurately reporting factual events or occurrences, and (2) any reference to an HHMI Name or any HHMI employees (including [**]) in press releases or similar materials intended for public release is approved by HHMI in advance.</w:t>
      </w:r>
    </w:p>
    <w:p>
      <w:pPr>
        <w:spacing w:after="0" w:line="176"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 xml:space="preserve">11.3. Press Release. </w:t>
      </w:r>
      <w:r>
        <w:rPr>
          <w:rFonts w:ascii="Arial" w:cs="Arial" w:eastAsia="Arial" w:hAnsi="Arial"/>
          <w:sz w:val="17"/>
          <w:szCs w:val="17"/>
          <w:color w:val="auto"/>
        </w:rPr>
        <w:t>Notwithstanding the provisions of Section 11.2, in addition to (and not in limitation of) the disclosure permitted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11.1.4, the Parties shall agree on a public communications plan that shall define the nature and scope of the information relating to this Agreement and the relationship among the Parties that shall be disclosed publicly and may issue a press release in such form as is consistent with such communications plan and mutually acceptable to the Parties (and MIT to the extent of any reference to MIT in such press release). Any use of HHMI Names or the name of any HHMI employee (including [**]) in any such press release must be approved by HHMI in advance. Each Party agrees that it will not issue a press release or other public statement without obtaining the prior written approval of the other Parties.</w:t>
      </w:r>
    </w:p>
    <w:p>
      <w:pPr>
        <w:spacing w:after="0" w:line="17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11.4. No Security Interest. </w:t>
      </w:r>
      <w:r>
        <w:rPr>
          <w:rFonts w:ascii="Arial" w:cs="Arial" w:eastAsia="Arial" w:hAnsi="Arial"/>
          <w:sz w:val="18"/>
          <w:szCs w:val="18"/>
          <w:color w:val="auto"/>
        </w:rPr>
        <w:t>Company shall not enter into any agreement under which Company grants to or otherwise creates in any third party 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this Agreement or any of the rights granted to Company herein. Any grant or creation of a security interest purported or attempted to be made in violation of the terms of this Section 11.4 shall be null and void and of no legal effect.</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11.5. Entire Agreement. </w:t>
      </w:r>
      <w:r>
        <w:rPr>
          <w:rFonts w:ascii="Arial" w:cs="Arial" w:eastAsia="Arial" w:hAnsi="Arial"/>
          <w:sz w:val="18"/>
          <w:szCs w:val="18"/>
          <w:color w:val="auto"/>
        </w:rPr>
        <w:t>This Agreement is the sole agreement with respect to the subject matter hereof and except as expressly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other agreements and understandings between the Parties with respect to the same.</w:t>
      </w:r>
    </w:p>
    <w:p>
      <w:pPr>
        <w:spacing w:after="0" w:line="162" w:lineRule="exact"/>
        <w:rPr>
          <w:sz w:val="20"/>
          <w:szCs w:val="20"/>
          <w:color w:val="auto"/>
        </w:rPr>
      </w:pPr>
    </w:p>
    <w:p>
      <w:pPr>
        <w:ind w:right="640" w:firstLine="648"/>
        <w:spacing w:after="0" w:line="313" w:lineRule="auto"/>
        <w:rPr>
          <w:sz w:val="20"/>
          <w:szCs w:val="20"/>
          <w:color w:val="auto"/>
        </w:rPr>
      </w:pPr>
      <w:r>
        <w:rPr>
          <w:rFonts w:ascii="Arial" w:cs="Arial" w:eastAsia="Arial" w:hAnsi="Arial"/>
          <w:sz w:val="17"/>
          <w:szCs w:val="17"/>
          <w:b w:val="1"/>
          <w:bCs w:val="1"/>
          <w:color w:val="auto"/>
        </w:rPr>
        <w:t xml:space="preserve">11.6. Notices. </w:t>
      </w:r>
      <w:r>
        <w:rPr>
          <w:rFonts w:ascii="Arial" w:cs="Arial" w:eastAsia="Arial" w:hAnsi="Arial"/>
          <w:sz w:val="17"/>
          <w:szCs w:val="17"/>
          <w:color w:val="auto"/>
        </w:rPr>
        <w:t>Unless otherwise specifically provided, all notices required or permitted by this Agreement shall be in writing and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personally, or may be sent by facsimile, expedited delivery or certified mail, return receipt requested, to the following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addresses, unless the Parties are subsequently notified of any change of address in accordance with this Section 11.6:</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If to Company (other than invoices):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to Company (invoices only):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Editas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Third Street, First Floor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Cambridge, Massachusetts 02142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Copy to: Legal Affairs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WilmerHale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617-526-5000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Richard Hoffman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Editas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Third Street, First Floor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Cambridge, Massachusetts 02142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200" w:lineRule="exact"/>
        <w:rPr>
          <w:sz w:val="20"/>
          <w:szCs w:val="20"/>
          <w:color w:val="auto"/>
        </w:rPr>
      </w:pPr>
    </w:p>
    <w:p>
      <w:pPr>
        <w:sectPr>
          <w:pgSz w:w="11900" w:h="16838" w:orient="portrait"/>
          <w:cols w:equalWidth="0" w:num="2">
            <w:col w:w="3140" w:space="560"/>
            <w:col w:w="7720"/>
          </w:cols>
          <w:pgMar w:left="240" w:top="125" w:right="239" w:bottom="0" w:gutter="0" w:footer="0" w:header="0"/>
          <w:type w:val="continuous"/>
        </w:sectPr>
      </w:pPr>
    </w:p>
    <w:p>
      <w:pPr>
        <w:spacing w:after="0" w:line="11" w:lineRule="exact"/>
        <w:rPr>
          <w:sz w:val="20"/>
          <w:szCs w:val="20"/>
          <w:color w:val="auto"/>
        </w:rPr>
      </w:pPr>
    </w:p>
    <w:p>
      <w:pPr>
        <w:ind w:left="520"/>
        <w:spacing w:after="0"/>
        <w:tabs>
          <w:tab w:leader="none" w:pos="3680" w:val="left"/>
        </w:tabs>
        <w:rPr>
          <w:sz w:val="20"/>
          <w:szCs w:val="20"/>
          <w:color w:val="auto"/>
        </w:rPr>
      </w:pPr>
      <w:r>
        <w:rPr>
          <w:rFonts w:ascii="Arial" w:cs="Arial" w:eastAsia="Arial" w:hAnsi="Arial"/>
          <w:sz w:val="18"/>
          <w:szCs w:val="18"/>
          <w:color w:val="auto"/>
        </w:rPr>
        <w:t>If to Institutions :</w:t>
      </w:r>
      <w:r>
        <w:rPr>
          <w:sz w:val="20"/>
          <w:szCs w:val="20"/>
          <w:color w:val="auto"/>
        </w:rPr>
        <w:tab/>
      </w:r>
      <w:r>
        <w:rPr>
          <w:rFonts w:ascii="Arial" w:cs="Arial" w:eastAsia="Arial" w:hAnsi="Arial"/>
          <w:sz w:val="16"/>
          <w:szCs w:val="16"/>
          <w:color w:val="auto"/>
        </w:rPr>
        <w:t>Office of Technology Development</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Harvard University</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Richard A. and Susan F. Smith Campus Center, Suite 727</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Cambridge, Massachusetts 02138</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Facsimile: (617) 495-9568</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Attn.: Chief Technology Development Officer</w:t>
      </w:r>
    </w:p>
    <w:p>
      <w:pPr>
        <w:spacing w:after="0" w:line="21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The Broad Institute, Inc.</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Director, Strategic Alliances</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415 Main Street</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Attn: [**]</w:t>
      </w:r>
    </w:p>
    <w:p>
      <w:pPr>
        <w:spacing w:after="0" w:line="211"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Any notice shall be deemed to have been received as follows: (a) by personal delivery or expedited delivery, upon receipt; (b) by facsimile, one business day after transmission or dispatch; (c) by certified mail, as evidenced by the return receipt. If notice is sent by facsimile, a</w:t>
      </w:r>
    </w:p>
    <w:p>
      <w:pPr>
        <w:sectPr>
          <w:pgSz w:w="11900" w:h="16838" w:orient="portrait"/>
          <w:cols w:equalWidth="0" w:num="1">
            <w:col w:w="11420"/>
          </w:cols>
          <w:pgMar w:left="240" w:top="125" w:right="239" w:bottom="0" w:gutter="0" w:footer="0" w:header="0"/>
          <w:type w:val="continuous"/>
        </w:sectPr>
      </w:pPr>
    </w:p>
    <w:bookmarkStart w:id="328" w:name="page329"/>
    <w:bookmarkEnd w:id="328"/>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confirming copy of the same shall be sent by mail to the same address.</w:t>
      </w:r>
    </w:p>
    <w:p>
      <w:pPr>
        <w:spacing w:after="0" w:line="2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 xml:space="preserve">Dispute Resolution. </w:t>
      </w:r>
      <w:r>
        <w:rPr>
          <w:rFonts w:ascii="Arial" w:cs="Arial" w:eastAsia="Arial" w:hAnsi="Arial"/>
          <w:sz w:val="16"/>
          <w:szCs w:val="16"/>
          <w:color w:val="auto"/>
        </w:rPr>
        <w:t>The Parties agree that, in the event of any dispute arising out of or relating to this Agreement (other than disputes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arising under Section 3.4 or relating to nonpayment of amounts due to Institutions hereunder or disputes affecting the rights or property of HHMI)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either Party by written notice to the other Party may have such issue referred for resolution to the Chief Executive Officer of Company, the Chief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Technology Development Officer of Harvard, and the Chief Operating Officer of Broad (collectively, the “</w:t>
      </w:r>
      <w:r>
        <w:rPr>
          <w:rFonts w:ascii="Arial" w:cs="Arial" w:eastAsia="Arial" w:hAnsi="Arial"/>
          <w:sz w:val="17"/>
          <w:szCs w:val="17"/>
          <w:b w:val="1"/>
          <w:bCs w:val="1"/>
          <w:color w:val="auto"/>
        </w:rPr>
        <w:t>Executive Officers</w:t>
      </w:r>
      <w:r>
        <w:rPr>
          <w:rFonts w:ascii="Arial" w:cs="Arial" w:eastAsia="Arial" w:hAnsi="Arial"/>
          <w:sz w:val="17"/>
          <w:szCs w:val="17"/>
          <w:color w:val="auto"/>
        </w:rPr>
        <w:t>”). The 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shall meet promptly to discuss the matter submitted and to determine a resolution. If the Executive Officers are unable to resolve the Dispute within [**]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it is referred to them, then the Parties may pursue all other rights and remedies available to them under this Agreement, including the right to terminate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Agreement, and the matter may be brought by a Party as a Suit in a court of competent jurisdiction in accordance with Section 11.8 hereof.</w:t>
      </w:r>
    </w:p>
    <w:p>
      <w:pPr>
        <w:spacing w:after="0" w:line="207"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b w:val="1"/>
          <w:bCs w:val="1"/>
          <w:color w:val="auto"/>
        </w:rPr>
        <w:t xml:space="preserve">11.8. Governing Law and Jurisdiction. </w:t>
      </w:r>
      <w:r>
        <w:rPr>
          <w:rFonts w:ascii="Arial" w:cs="Arial" w:eastAsia="Arial" w:hAnsi="Arial"/>
          <w:sz w:val="16"/>
          <w:szCs w:val="16"/>
          <w:color w:val="auto"/>
        </w:rPr>
        <w:t>This Agreement shall be governed by, and construed in accordance with, the substantive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w:t>
      </w:r>
      <w:r>
        <w:rPr>
          <w:rFonts w:ascii="Arial" w:cs="Arial" w:eastAsia="Arial" w:hAnsi="Arial"/>
          <w:sz w:val="16"/>
          <w:szCs w:val="16"/>
          <w:b w:val="1"/>
          <w:bCs w:val="1"/>
          <w:color w:val="auto"/>
        </w:rPr>
        <w:t>“Suit”</w:t>
      </w:r>
      <w:r>
        <w:rPr>
          <w:rFonts w:ascii="Arial" w:cs="Arial" w:eastAsia="Arial" w:hAnsi="Arial"/>
          <w:sz w:val="16"/>
          <w:szCs w:val="16"/>
          <w:color w:val="auto"/>
        </w:rPr>
        <w:t>) shall be brought in a court of competent jurisdiction in the Commonwealth of Massachusetts, and the Parties hereby consent to the sole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11.9. Binding Effect. </w:t>
      </w:r>
      <w:r>
        <w:rPr>
          <w:rFonts w:ascii="Arial" w:cs="Arial" w:eastAsia="Arial" w:hAnsi="Arial"/>
          <w:sz w:val="18"/>
          <w:szCs w:val="18"/>
          <w:color w:val="auto"/>
        </w:rPr>
        <w:t>This Agreement shall be binding upon and inure to the benefit of the Parties and their respective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and subsection headings are inserted for convenience of reference only and do not form a part of this Agreement.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The Parties may execute this Agreement in two or more counterparts, each of which shall be deemed an original.</w:t>
      </w:r>
    </w:p>
    <w:p>
      <w:pPr>
        <w:spacing w:after="0" w:line="22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11.12. Amendment; Waiver. </w:t>
      </w:r>
      <w:r>
        <w:rPr>
          <w:rFonts w:ascii="Arial" w:cs="Arial" w:eastAsia="Arial" w:hAnsi="Arial"/>
          <w:sz w:val="16"/>
          <w:szCs w:val="16"/>
          <w:color w:val="auto"/>
        </w:rPr>
        <w:t>This Agreement may be amended, modified, superseded or canceled, and any of the terms may be waived, only by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11.13. No Agency or Partnership. </w:t>
      </w:r>
      <w:r>
        <w:rPr>
          <w:rFonts w:ascii="Arial" w:cs="Arial" w:eastAsia="Arial" w:hAnsi="Arial"/>
          <w:sz w:val="18"/>
          <w:szCs w:val="18"/>
          <w:color w:val="auto"/>
        </w:rPr>
        <w:t>Nothing contained in this Agreement shall give either Party the right to bind the other, or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either Party as agent for or partner of the other or any third party.</w:t>
      </w:r>
    </w:p>
    <w:p>
      <w:pPr>
        <w:spacing w:after="0" w:line="16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color w:val="auto"/>
        </w:rPr>
        <w:t xml:space="preserve">11.14. Assignment and Successors. </w:t>
      </w:r>
      <w:r>
        <w:rPr>
          <w:rFonts w:ascii="Arial" w:cs="Arial" w:eastAsia="Arial" w:hAnsi="Arial"/>
          <w:sz w:val="16"/>
          <w:szCs w:val="16"/>
          <w:color w:val="auto"/>
        </w:rPr>
        <w:t>This Agreement may not be assigned by Company, whether by operation of law or otherwise,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Institutions, except that Company may assign or transfer the Agreement without the consent of the Institutions, to a successor in interest of all or substantially all of the Company’s assets or business related to the Licensed Products or the Agreement, whether by merger, consolidation, sale of assets, or Change of Control or other transaction, provided that (a) the Company shall provide the Institutions with a written notice of such assignment or Change of Control including the identity of the assignee, transferee or controlling party, and a copy of the assignment and assumption agreement or other documentary evidence sufficient to demonstrate Company’s compliance with this Section 11.14 within [**] days after such assignment or Change of Control, and (b) such assignee or transferee agrees in writing to assume the obligations to the Institutions and HHMI that are being assigned or transferred. Failure of an assignee to agree to be bound by the terms hereof or failure of Company to notify Institutions and provide copies of assignment documentation as specified above shall be grounds for termination of this Agreement for default. Any attempted assignment in contravention of this Section 11.14 shall be null and void.</w:t>
      </w:r>
    </w:p>
    <w:p>
      <w:pPr>
        <w:spacing w:after="0" w:line="160"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 xml:space="preserve">11.15. Force Majeure. </w:t>
      </w:r>
      <w:r>
        <w:rPr>
          <w:rFonts w:ascii="Arial" w:cs="Arial" w:eastAsia="Arial" w:hAnsi="Arial"/>
          <w:sz w:val="17"/>
          <w:szCs w:val="17"/>
          <w:color w:val="auto"/>
        </w:rPr>
        <w:t>Neither Party shall be responsible for delays resulting from causes beyond the reasonable control of such Party,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58"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 xml:space="preserve">11.16. Interpretation. </w:t>
      </w:r>
      <w:r>
        <w:rPr>
          <w:rFonts w:ascii="Arial" w:cs="Arial" w:eastAsia="Arial" w:hAnsi="Arial"/>
          <w:sz w:val="18"/>
          <w:szCs w:val="18"/>
          <w:color w:val="auto"/>
        </w:rPr>
        <w:t>Each Party hereto acknowledges and agrees that: (a) it and/or its counsel reviewed and negotiated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has contributed to its revision; (b) the rule of construction to the effect that any ambiguities are resolved against the drafting Party shall not be employed in the interpretation of this Agreement; (c) the terms and provisions of this Agreement shall be construed fairly as to both Parties hereto and not in favor of or against either Party, regardless of which Party was generally responsible for the preparation of this Agreement; and (d) the use of “include,” “includes,” or “including” herein shall not be limiting and “or” shall not be exclusive.</w:t>
      </w:r>
    </w:p>
    <w:p>
      <w:pPr>
        <w:spacing w:after="0" w:line="184"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11.17. Severability. </w:t>
      </w:r>
      <w:r>
        <w:rPr>
          <w:rFonts w:ascii="Arial" w:cs="Arial" w:eastAsia="Arial" w:hAnsi="Arial"/>
          <w:sz w:val="18"/>
          <w:szCs w:val="18"/>
          <w:color w:val="auto"/>
        </w:rPr>
        <w:t>If any provision of this Agreement is or becomes invalid or is ruled invalid by any court of competent jurisdiction or is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unenforceable, it is the intention of the Parties that the remainder of this Agreement shall not be affected.</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11.18. HHMI Third Party Beneficiary. </w:t>
      </w:r>
      <w:r>
        <w:rPr>
          <w:rFonts w:ascii="Arial" w:cs="Arial" w:eastAsia="Arial" w:hAnsi="Arial"/>
          <w:sz w:val="18"/>
          <w:szCs w:val="18"/>
          <w:color w:val="auto"/>
        </w:rPr>
        <w:t>HHMI is not a party to this Agreement and has no liability to Company or any licensee, sublicensee, or</w:t>
      </w:r>
      <w:r>
        <w:rPr>
          <w:rFonts w:ascii="Arial" w:cs="Arial" w:eastAsia="Arial" w:hAnsi="Arial"/>
          <w:sz w:val="18"/>
          <w:szCs w:val="18"/>
          <w:b w:val="1"/>
          <w:bCs w:val="1"/>
          <w:color w:val="auto"/>
        </w:rPr>
        <w:t xml:space="preserve"> </w:t>
      </w:r>
      <w:r>
        <w:rPr>
          <w:rFonts w:ascii="Arial" w:cs="Arial" w:eastAsia="Arial" w:hAnsi="Arial"/>
          <w:sz w:val="18"/>
          <w:szCs w:val="18"/>
          <w:color w:val="auto"/>
        </w:rPr>
        <w:t>user of anything covered by this Agreement, but HHMI is an intended third-party beneficiary of this Agreement and certain of its provisions are for the benefit of HHMI and are enforceable by HHMI in its own name.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remainder of this page intentionally left blank; 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5" w:gutter="0" w:footer="0" w:header="0"/>
        </w:sectPr>
      </w:pPr>
    </w:p>
    <w:bookmarkStart w:id="329" w:name="page330"/>
    <w:bookmarkEnd w:id="329"/>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by their duly authorized representatives as of the date first written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AND FELLOWS OF HARVARD COLLEGE: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Isaac T. Kohlberg</w:t>
            </w:r>
          </w:p>
        </w:tc>
        <w:tc>
          <w:tcPr>
            <w:tcW w:w="5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Isaac T. Kohlberg</w:t>
            </w:r>
          </w:p>
        </w:tc>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10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Senior Associate Provost, Chief Technology Development Officer</w:t>
            </w:r>
          </w:p>
        </w:tc>
        <w:tc>
          <w:tcPr>
            <w:tcW w:w="40" w:type="dxa"/>
            <w:vAlign w:val="bottom"/>
          </w:tcPr>
          <w:p>
            <w:pPr>
              <w:spacing w:after="0"/>
              <w:rPr>
                <w:sz w:val="24"/>
                <w:szCs w:val="24"/>
                <w:color w:val="auto"/>
              </w:rPr>
            </w:pPr>
          </w:p>
        </w:tc>
      </w:tr>
      <w:tr>
        <w:trPr>
          <w:trHeight w:val="426"/>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THE BROAD INSTITUTE, INC.:</w:t>
            </w:r>
          </w:p>
        </w:tc>
        <w:tc>
          <w:tcPr>
            <w:tcW w:w="4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Issi Rozen</w:t>
            </w:r>
          </w:p>
        </w:tc>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Issi Rozen</w:t>
            </w:r>
          </w:p>
        </w:tc>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Strategic Alliances</w:t>
            </w:r>
          </w:p>
        </w:tc>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EDITAS MEDICINE, INC.:</w:t>
            </w:r>
          </w:p>
        </w:tc>
        <w:tc>
          <w:tcPr>
            <w:tcW w:w="4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Katrine Bosley</w:t>
            </w:r>
          </w:p>
        </w:tc>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Katrine Bosley</w:t>
            </w:r>
          </w:p>
        </w:tc>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10620" w:type="dxa"/>
            <w:vAlign w:val="bottom"/>
            <w:gridSpan w:val="2"/>
          </w:tcPr>
          <w:p>
            <w:pPr>
              <w:spacing w:after="0"/>
              <w:rPr>
                <w:sz w:val="20"/>
                <w:szCs w:val="20"/>
                <w:color w:val="auto"/>
              </w:rPr>
            </w:pPr>
            <w:r>
              <w:rPr>
                <w:rFonts w:ascii="Arial" w:cs="Arial" w:eastAsia="Arial" w:hAnsi="Arial"/>
                <w:sz w:val="18"/>
                <w:szCs w:val="18"/>
                <w:color w:val="auto"/>
              </w:rPr>
              <w:t>President &amp; CEO</w:t>
            </w:r>
          </w:p>
        </w:tc>
        <w:tc>
          <w:tcPr>
            <w:tcW w:w="40" w:type="dxa"/>
            <w:vAlign w:val="bottom"/>
          </w:tcPr>
          <w:p>
            <w:pPr>
              <w:spacing w:after="0"/>
              <w:rPr>
                <w:sz w:val="24"/>
                <w:szCs w:val="24"/>
                <w:color w:val="auto"/>
              </w:rPr>
            </w:pPr>
          </w:p>
        </w:tc>
      </w:tr>
      <w:tr>
        <w:trPr>
          <w:trHeight w:val="341"/>
        </w:trPr>
        <w:tc>
          <w:tcPr>
            <w:tcW w:w="800" w:type="dxa"/>
            <w:vAlign w:val="bottom"/>
            <w:tcBorders>
              <w:bottom w:val="single" w:sz="8" w:color="808080"/>
            </w:tcBorders>
          </w:tcPr>
          <w:p>
            <w:pPr>
              <w:spacing w:after="0"/>
              <w:rPr>
                <w:sz w:val="24"/>
                <w:szCs w:val="24"/>
                <w:color w:val="auto"/>
              </w:rPr>
            </w:pPr>
          </w:p>
        </w:tc>
        <w:tc>
          <w:tcPr>
            <w:tcW w:w="4760" w:type="dxa"/>
            <w:vAlign w:val="bottom"/>
            <w:tcBorders>
              <w:top w:val="single" w:sz="8" w:color="auto"/>
              <w:bottom w:val="single" w:sz="8" w:color="808080"/>
            </w:tcBorders>
          </w:tcPr>
          <w:p>
            <w:pPr>
              <w:spacing w:after="0"/>
              <w:rPr>
                <w:sz w:val="24"/>
                <w:szCs w:val="24"/>
                <w:color w:val="auto"/>
              </w:rPr>
            </w:pPr>
          </w:p>
        </w:tc>
        <w:tc>
          <w:tcPr>
            <w:tcW w:w="5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1.80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Institution Technology Transfer Materials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1.80(A)—Institution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1.80(B)—Institution Materials:</w:t>
      </w:r>
    </w:p>
    <w:p>
      <w:pPr>
        <w:spacing w:after="0" w:line="229" w:lineRule="exact"/>
        <w:rPr>
          <w:sz w:val="20"/>
          <w:szCs w:val="20"/>
          <w:color w:val="auto"/>
        </w:rPr>
      </w:pPr>
    </w:p>
    <w:p>
      <w:pPr>
        <w:ind w:left="1960" w:right="8380" w:hanging="980"/>
        <w:spacing w:after="0" w:line="258" w:lineRule="auto"/>
        <w:tabs>
          <w:tab w:leader="none" w:pos="127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Description of Materials: [**]</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Quantity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1.87</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Listed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1.104 - Patent Rights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Broad-Controlled Patents</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Exhibit 1.104 shall be updated from time to time by mutual written agreement of Company and the relevant Institution. Any Patent Rights in existence after the Effective Date shall be categorized into the appropriate Patent Rights Category by the relevant Institution and included in Exhibit 1.105 accordingly.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Family</w:t>
            </w: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CaseNumber</w:t>
            </w: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Broad Ref#</w:t>
            </w:r>
          </w:p>
        </w:tc>
        <w:tc>
          <w:tcPr>
            <w:tcW w:w="28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AppNumber</w:t>
            </w:r>
          </w:p>
        </w:tc>
        <w:tc>
          <w:tcPr>
            <w:tcW w:w="280" w:type="dxa"/>
            <w:vAlign w:val="bottom"/>
          </w:tcPr>
          <w:p>
            <w:pPr>
              <w:spacing w:after="0"/>
              <w:rPr>
                <w:sz w:val="14"/>
                <w:szCs w:val="14"/>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FilDate</w:t>
            </w:r>
          </w:p>
        </w:tc>
        <w:tc>
          <w:tcPr>
            <w:tcW w:w="4500" w:type="dxa"/>
            <w:vAlign w:val="bottom"/>
          </w:tcPr>
          <w:p>
            <w:pPr>
              <w:ind w:left="1980"/>
              <w:spacing w:after="0"/>
              <w:rPr>
                <w:sz w:val="20"/>
                <w:szCs w:val="20"/>
                <w:color w:val="auto"/>
              </w:rPr>
            </w:pPr>
            <w:r>
              <w:rPr>
                <w:rFonts w:ascii="Arial" w:cs="Arial" w:eastAsia="Arial" w:hAnsi="Arial"/>
                <w:sz w:val="14"/>
                <w:szCs w:val="14"/>
                <w:b w:val="1"/>
                <w:bCs w:val="1"/>
                <w:color w:val="auto"/>
              </w:rPr>
              <w:t>AppTitle</w:t>
            </w:r>
          </w:p>
        </w:tc>
      </w:tr>
      <w:tr>
        <w:trPr>
          <w:trHeight w:val="210"/>
        </w:trPr>
        <w:tc>
          <w:tcPr>
            <w:tcW w:w="9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920" w:type="dxa"/>
            <w:vAlign w:val="bottom"/>
            <w:shd w:val="clear" w:color="auto" w:fill="CCEEFF"/>
          </w:tcPr>
          <w:p>
            <w:pPr>
              <w:jc w:val="right"/>
              <w:ind w:right="211"/>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71"/>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14/105,035</w:t>
            </w:r>
          </w:p>
        </w:tc>
        <w:tc>
          <w:tcPr>
            <w:tcW w:w="17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12-Dec-13</w:t>
            </w: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CRISPR-CAS COMPONENT SYSTEMS, METHODS AND</w:t>
            </w:r>
          </w:p>
        </w:tc>
      </w:tr>
      <w:tr>
        <w:trPr>
          <w:trHeight w:val="230"/>
        </w:trPr>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COMPOSITIONS FOR SEQUENCE MANIPULATION</w:t>
            </w:r>
          </w:p>
        </w:tc>
      </w:tr>
      <w:tr>
        <w:trPr>
          <w:trHeight w:val="216"/>
        </w:trPr>
        <w:tc>
          <w:tcPr>
            <w:tcW w:w="9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920" w:type="dxa"/>
            <w:vAlign w:val="bottom"/>
            <w:shd w:val="clear" w:color="auto" w:fill="CCEEFF"/>
          </w:tcPr>
          <w:p>
            <w:pPr>
              <w:jc w:val="right"/>
              <w:ind w:right="211"/>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71"/>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14/054,414</w:t>
            </w:r>
          </w:p>
        </w:tc>
        <w:tc>
          <w:tcPr>
            <w:tcW w:w="17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15-Oct-13</w:t>
            </w: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CRISPR-CAS SYSTEMS AND METHODS FOR</w:t>
            </w:r>
          </w:p>
        </w:tc>
      </w:tr>
      <w:tr>
        <w:trPr>
          <w:trHeight w:val="230"/>
        </w:trPr>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ALTERING EXPRESSION OF GENE PRODUCTS</w:t>
            </w:r>
          </w:p>
        </w:tc>
      </w:tr>
      <w:tr>
        <w:trPr>
          <w:trHeight w:val="202"/>
        </w:trPr>
        <w:tc>
          <w:tcPr>
            <w:tcW w:w="920" w:type="dxa"/>
            <w:vAlign w:val="bottom"/>
          </w:tcPr>
          <w:p>
            <w:pPr>
              <w:jc w:val="right"/>
              <w:ind w:right="211"/>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tcPr>
          <w:p>
            <w:pPr>
              <w:jc w:val="right"/>
              <w:ind w:right="771"/>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14/183,429</w:t>
            </w:r>
          </w:p>
        </w:tc>
        <w:tc>
          <w:tcPr>
            <w:tcW w:w="170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18-Feb-14</w:t>
            </w: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CRISPR-CAS SYSTEMS AND METHODS FOR</w:t>
            </w:r>
          </w:p>
        </w:tc>
      </w:tr>
      <w:tr>
        <w:trPr>
          <w:trHeight w:val="230"/>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ALTERING</w:t>
            </w:r>
          </w:p>
        </w:tc>
      </w:tr>
    </w:tbl>
    <w:p>
      <w:pPr>
        <w:sectPr>
          <w:pgSz w:w="11900" w:h="16838" w:orient="portrait"/>
          <w:cols w:equalWidth="0" w:num="1">
            <w:col w:w="11460"/>
          </w:cols>
          <w:pgMar w:left="240" w:top="121" w:right="199" w:bottom="0" w:gutter="0" w:footer="0" w:header="0"/>
        </w:sectPr>
      </w:pPr>
    </w:p>
    <w:bookmarkStart w:id="330" w:name="page331"/>
    <w:bookmarkEnd w:id="33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right="120" w:firstLine="8"/>
        <w:spacing w:after="0" w:line="277" w:lineRule="auto"/>
        <w:tabs>
          <w:tab w:leader="none" w:pos="13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Rockefeller is a joint applicant on this application with an inventive contribution to certain aspects of the inventions disclosed. Broad does not and does not purport to grant any rights in Rockefeller’s interest in these applications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EXPRESSION OF GENE PRODUCTS</w:t>
            </w:r>
          </w:p>
        </w:tc>
        <w:tc>
          <w:tcPr>
            <w:tcW w:w="40" w:type="dxa"/>
            <w:vAlign w:val="bottom"/>
          </w:tcPr>
          <w:p>
            <w:pPr>
              <w:spacing w:after="0"/>
              <w:rPr>
                <w:sz w:val="18"/>
                <w:szCs w:val="18"/>
                <w:color w:val="auto"/>
              </w:rPr>
            </w:pPr>
          </w:p>
        </w:tc>
      </w:tr>
      <w:tr>
        <w:trPr>
          <w:trHeight w:val="202"/>
        </w:trPr>
        <w:tc>
          <w:tcPr>
            <w:tcW w:w="9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680" w:type="dxa"/>
            <w:vAlign w:val="bottom"/>
          </w:tcPr>
          <w:p>
            <w:pPr>
              <w:ind w:left="560"/>
              <w:spacing w:after="0" w:line="201" w:lineRule="exact"/>
              <w:rPr>
                <w:sz w:val="20"/>
                <w:szCs w:val="20"/>
                <w:color w:val="auto"/>
              </w:rPr>
            </w:pPr>
            <w:r>
              <w:rPr>
                <w:rFonts w:ascii="Arial" w:cs="Arial" w:eastAsia="Arial" w:hAnsi="Arial"/>
                <w:sz w:val="18"/>
                <w:szCs w:val="18"/>
                <w:color w:val="auto"/>
              </w:rPr>
              <w:t>14/183,486</w:t>
            </w:r>
          </w:p>
        </w:tc>
        <w:tc>
          <w:tcPr>
            <w:tcW w:w="1400" w:type="dxa"/>
            <w:vAlign w:val="bottom"/>
          </w:tcPr>
          <w:p>
            <w:pPr>
              <w:ind w:left="300"/>
              <w:spacing w:after="0" w:line="201" w:lineRule="exact"/>
              <w:rPr>
                <w:sz w:val="20"/>
                <w:szCs w:val="20"/>
                <w:color w:val="auto"/>
              </w:rPr>
            </w:pPr>
            <w:r>
              <w:rPr>
                <w:rFonts w:ascii="Arial" w:cs="Arial" w:eastAsia="Arial" w:hAnsi="Arial"/>
                <w:sz w:val="18"/>
                <w:szCs w:val="18"/>
                <w:color w:val="auto"/>
              </w:rPr>
              <w:t>18-Feb-14</w:t>
            </w:r>
          </w:p>
        </w:tc>
        <w:tc>
          <w:tcPr>
            <w:tcW w:w="4820" w:type="dxa"/>
            <w:vAlign w:val="bottom"/>
          </w:tcPr>
          <w:p>
            <w:pPr>
              <w:ind w:left="320"/>
              <w:spacing w:after="0" w:line="201" w:lineRule="exact"/>
              <w:rPr>
                <w:sz w:val="20"/>
                <w:szCs w:val="20"/>
                <w:color w:val="auto"/>
              </w:rPr>
            </w:pPr>
            <w:r>
              <w:rPr>
                <w:rFonts w:ascii="Arial" w:cs="Arial" w:eastAsia="Arial" w:hAnsi="Arial"/>
                <w:sz w:val="18"/>
                <w:szCs w:val="18"/>
                <w:color w:val="auto"/>
                <w:w w:val="95"/>
              </w:rPr>
              <w:t>CRISPR-CAS COMPONENT SYSTEMS, METHODS AND</w:t>
            </w:r>
          </w:p>
        </w:tc>
        <w:tc>
          <w:tcPr>
            <w:tcW w:w="4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COMPOSITIONS FOR SEQUENCE MANIPULATION</w:t>
            </w:r>
          </w:p>
        </w:tc>
        <w:tc>
          <w:tcPr>
            <w:tcW w:w="40" w:type="dxa"/>
            <w:vAlign w:val="bottom"/>
          </w:tcPr>
          <w:p>
            <w:pPr>
              <w:spacing w:after="0"/>
              <w:rPr>
                <w:sz w:val="20"/>
                <w:szCs w:val="20"/>
                <w:color w:val="auto"/>
              </w:rPr>
            </w:pPr>
          </w:p>
        </w:tc>
      </w:tr>
      <w:tr>
        <w:trPr>
          <w:trHeight w:val="202"/>
        </w:trPr>
        <w:tc>
          <w:tcPr>
            <w:tcW w:w="9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14/256,912</w:t>
            </w:r>
          </w:p>
        </w:tc>
        <w:tc>
          <w:tcPr>
            <w:tcW w:w="14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18-Apr-14</w:t>
            </w:r>
          </w:p>
        </w:tc>
        <w:tc>
          <w:tcPr>
            <w:tcW w:w="48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CRISPR-CAS SYSTEMS AND METHODS FOR</w:t>
            </w:r>
          </w:p>
        </w:tc>
        <w:tc>
          <w:tcPr>
            <w:tcW w:w="40" w:type="dxa"/>
            <w:vAlign w:val="bottom"/>
          </w:tcPr>
          <w:p>
            <w:pPr>
              <w:spacing w:after="0"/>
              <w:rPr>
                <w:sz w:val="17"/>
                <w:szCs w:val="17"/>
                <w:color w:val="auto"/>
              </w:rPr>
            </w:pPr>
          </w:p>
        </w:tc>
      </w:tr>
      <w:tr>
        <w:trPr>
          <w:trHeight w:val="230"/>
        </w:trPr>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ALTERING EXPRESSION OF GENE PRODUCTS</w:t>
            </w:r>
          </w:p>
        </w:tc>
        <w:tc>
          <w:tcPr>
            <w:tcW w:w="40" w:type="dxa"/>
            <w:vAlign w:val="bottom"/>
          </w:tcPr>
          <w:p>
            <w:pPr>
              <w:spacing w:after="0"/>
              <w:rPr>
                <w:sz w:val="20"/>
                <w:szCs w:val="20"/>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00" w:type="dxa"/>
            <w:vAlign w:val="bottom"/>
          </w:tcPr>
          <w:p>
            <w:pPr>
              <w:ind w:left="300"/>
              <w:spacing w:after="0"/>
              <w:rPr>
                <w:sz w:val="20"/>
                <w:szCs w:val="20"/>
                <w:color w:val="auto"/>
              </w:rPr>
            </w:pPr>
            <w:r>
              <w:rPr>
                <w:rFonts w:ascii="Arial" w:cs="Arial" w:eastAsia="Arial" w:hAnsi="Arial"/>
                <w:sz w:val="18"/>
                <w:szCs w:val="18"/>
                <w:color w:val="auto"/>
              </w:rPr>
              <w:t>[**]</w:t>
            </w:r>
          </w:p>
        </w:tc>
        <w:tc>
          <w:tcPr>
            <w:tcW w:w="4820" w:type="dxa"/>
            <w:vAlign w:val="bottom"/>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9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680" w:type="dxa"/>
            <w:vAlign w:val="bottom"/>
          </w:tcPr>
          <w:p>
            <w:pPr>
              <w:ind w:left="560"/>
              <w:spacing w:after="0" w:line="201" w:lineRule="exact"/>
              <w:rPr>
                <w:sz w:val="20"/>
                <w:szCs w:val="20"/>
                <w:color w:val="auto"/>
              </w:rPr>
            </w:pPr>
            <w:r>
              <w:rPr>
                <w:rFonts w:ascii="Arial" w:cs="Arial" w:eastAsia="Arial" w:hAnsi="Arial"/>
                <w:sz w:val="18"/>
                <w:szCs w:val="18"/>
                <w:color w:val="auto"/>
              </w:rPr>
              <w:t>14/105,031</w:t>
            </w:r>
          </w:p>
        </w:tc>
        <w:tc>
          <w:tcPr>
            <w:tcW w:w="1400" w:type="dxa"/>
            <w:vAlign w:val="bottom"/>
          </w:tcPr>
          <w:p>
            <w:pPr>
              <w:ind w:left="300"/>
              <w:spacing w:after="0" w:line="201" w:lineRule="exact"/>
              <w:rPr>
                <w:sz w:val="20"/>
                <w:szCs w:val="20"/>
                <w:color w:val="auto"/>
              </w:rPr>
            </w:pPr>
            <w:r>
              <w:rPr>
                <w:rFonts w:ascii="Arial" w:cs="Arial" w:eastAsia="Arial" w:hAnsi="Arial"/>
                <w:sz w:val="18"/>
                <w:szCs w:val="18"/>
                <w:color w:val="auto"/>
              </w:rPr>
              <w:t>12-Dec-13</w:t>
            </w:r>
          </w:p>
        </w:tc>
        <w:tc>
          <w:tcPr>
            <w:tcW w:w="4820" w:type="dxa"/>
            <w:vAlign w:val="bottom"/>
          </w:tcPr>
          <w:p>
            <w:pPr>
              <w:ind w:left="320"/>
              <w:spacing w:after="0" w:line="201" w:lineRule="exact"/>
              <w:rPr>
                <w:sz w:val="20"/>
                <w:szCs w:val="20"/>
                <w:color w:val="auto"/>
              </w:rPr>
            </w:pPr>
            <w:r>
              <w:rPr>
                <w:rFonts w:ascii="Arial" w:cs="Arial" w:eastAsia="Arial" w:hAnsi="Arial"/>
                <w:sz w:val="18"/>
                <w:szCs w:val="18"/>
                <w:color w:val="auto"/>
              </w:rPr>
              <w:t>CRISPR-CAS NICKASE SYSTEMS, METHODS AND</w:t>
            </w:r>
          </w:p>
        </w:tc>
        <w:tc>
          <w:tcPr>
            <w:tcW w:w="4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w w:val="99"/>
              </w:rPr>
              <w:t>COMPOSITIONS FOR SEQUENCE MANIPULATION IN</w:t>
            </w:r>
          </w:p>
        </w:tc>
        <w:tc>
          <w:tcPr>
            <w:tcW w:w="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EUKARYOTES</w:t>
            </w:r>
          </w:p>
        </w:tc>
        <w:tc>
          <w:tcPr>
            <w:tcW w:w="40" w:type="dxa"/>
            <w:vAlign w:val="bottom"/>
          </w:tcPr>
          <w:p>
            <w:pPr>
              <w:spacing w:after="0"/>
              <w:rPr>
                <w:sz w:val="20"/>
                <w:szCs w:val="20"/>
                <w:color w:val="auto"/>
              </w:rPr>
            </w:pPr>
          </w:p>
        </w:tc>
      </w:tr>
      <w:tr>
        <w:trPr>
          <w:trHeight w:val="202"/>
        </w:trPr>
        <w:tc>
          <w:tcPr>
            <w:tcW w:w="9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14/183,471</w:t>
            </w:r>
          </w:p>
        </w:tc>
        <w:tc>
          <w:tcPr>
            <w:tcW w:w="14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18-Feb-14</w:t>
            </w:r>
          </w:p>
        </w:tc>
        <w:tc>
          <w:tcPr>
            <w:tcW w:w="48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CRISPR-CAS NICKASE SYSTEMS, METHODS AND</w:t>
            </w:r>
          </w:p>
        </w:tc>
        <w:tc>
          <w:tcPr>
            <w:tcW w:w="40" w:type="dxa"/>
            <w:vAlign w:val="bottom"/>
          </w:tcPr>
          <w:p>
            <w:pPr>
              <w:spacing w:after="0"/>
              <w:rPr>
                <w:sz w:val="17"/>
                <w:szCs w:val="17"/>
                <w:color w:val="auto"/>
              </w:rPr>
            </w:pPr>
          </w:p>
        </w:tc>
      </w:tr>
      <w:tr>
        <w:trPr>
          <w:trHeight w:val="216"/>
        </w:trPr>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COMPOSITIONS FOR SEQUENCE MANIPULATION IN</w:t>
            </w:r>
          </w:p>
        </w:tc>
        <w:tc>
          <w:tcPr>
            <w:tcW w:w="40" w:type="dxa"/>
            <w:vAlign w:val="bottom"/>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EUKARYOTES</w:t>
            </w:r>
          </w:p>
        </w:tc>
        <w:tc>
          <w:tcPr>
            <w:tcW w:w="40" w:type="dxa"/>
            <w:vAlign w:val="bottom"/>
          </w:tcPr>
          <w:p>
            <w:pPr>
              <w:spacing w:after="0"/>
              <w:rPr>
                <w:sz w:val="20"/>
                <w:szCs w:val="20"/>
                <w:color w:val="auto"/>
              </w:rPr>
            </w:pPr>
          </w:p>
        </w:tc>
      </w:tr>
      <w:tr>
        <w:trPr>
          <w:trHeight w:val="202"/>
        </w:trPr>
        <w:tc>
          <w:tcPr>
            <w:tcW w:w="9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680" w:type="dxa"/>
            <w:vAlign w:val="bottom"/>
          </w:tcPr>
          <w:p>
            <w:pPr>
              <w:ind w:left="560"/>
              <w:spacing w:after="0" w:line="201" w:lineRule="exact"/>
              <w:rPr>
                <w:sz w:val="20"/>
                <w:szCs w:val="20"/>
                <w:color w:val="auto"/>
              </w:rPr>
            </w:pPr>
            <w:r>
              <w:rPr>
                <w:rFonts w:ascii="Arial" w:cs="Arial" w:eastAsia="Arial" w:hAnsi="Arial"/>
                <w:sz w:val="18"/>
                <w:szCs w:val="18"/>
                <w:color w:val="auto"/>
              </w:rPr>
              <w:t>14/258,458</w:t>
            </w:r>
          </w:p>
        </w:tc>
        <w:tc>
          <w:tcPr>
            <w:tcW w:w="1400" w:type="dxa"/>
            <w:vAlign w:val="bottom"/>
          </w:tcPr>
          <w:p>
            <w:pPr>
              <w:ind w:left="300"/>
              <w:spacing w:after="0" w:line="201" w:lineRule="exact"/>
              <w:rPr>
                <w:sz w:val="20"/>
                <w:szCs w:val="20"/>
                <w:color w:val="auto"/>
              </w:rPr>
            </w:pPr>
            <w:r>
              <w:rPr>
                <w:rFonts w:ascii="Arial" w:cs="Arial" w:eastAsia="Arial" w:hAnsi="Arial"/>
                <w:sz w:val="18"/>
                <w:szCs w:val="18"/>
                <w:color w:val="auto"/>
              </w:rPr>
              <w:t>22-Apr-14</w:t>
            </w:r>
          </w:p>
        </w:tc>
        <w:tc>
          <w:tcPr>
            <w:tcW w:w="4820" w:type="dxa"/>
            <w:vAlign w:val="bottom"/>
          </w:tcPr>
          <w:p>
            <w:pPr>
              <w:ind w:left="320"/>
              <w:spacing w:after="0" w:line="201" w:lineRule="exact"/>
              <w:rPr>
                <w:sz w:val="20"/>
                <w:szCs w:val="20"/>
                <w:color w:val="auto"/>
              </w:rPr>
            </w:pPr>
            <w:r>
              <w:rPr>
                <w:rFonts w:ascii="Arial" w:cs="Arial" w:eastAsia="Arial" w:hAnsi="Arial"/>
                <w:sz w:val="18"/>
                <w:szCs w:val="18"/>
                <w:color w:val="auto"/>
                <w:w w:val="95"/>
              </w:rPr>
              <w:t>CRISPR-CAS COMPONENT SYSTEMS, METHODS AND</w:t>
            </w:r>
          </w:p>
        </w:tc>
        <w:tc>
          <w:tcPr>
            <w:tcW w:w="4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COMPOSITIONS FOR SEQUENCE MANIPULATION</w:t>
            </w:r>
          </w:p>
        </w:tc>
        <w:tc>
          <w:tcPr>
            <w:tcW w:w="40" w:type="dxa"/>
            <w:vAlign w:val="bottom"/>
          </w:tcPr>
          <w:p>
            <w:pPr>
              <w:spacing w:after="0"/>
              <w:rPr>
                <w:sz w:val="20"/>
                <w:szCs w:val="20"/>
                <w:color w:val="auto"/>
              </w:rPr>
            </w:pPr>
          </w:p>
        </w:tc>
      </w:tr>
      <w:tr>
        <w:trPr>
          <w:trHeight w:val="202"/>
        </w:trPr>
        <w:tc>
          <w:tcPr>
            <w:tcW w:w="9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14/259,420</w:t>
            </w:r>
          </w:p>
        </w:tc>
        <w:tc>
          <w:tcPr>
            <w:tcW w:w="14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23-Apr-14</w:t>
            </w:r>
          </w:p>
        </w:tc>
        <w:tc>
          <w:tcPr>
            <w:tcW w:w="48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CRISPR-CAS COMPONENT SYSTEMS, METHODS AND</w:t>
            </w:r>
          </w:p>
        </w:tc>
        <w:tc>
          <w:tcPr>
            <w:tcW w:w="40" w:type="dxa"/>
            <w:vAlign w:val="bottom"/>
          </w:tcPr>
          <w:p>
            <w:pPr>
              <w:spacing w:after="0"/>
              <w:rPr>
                <w:sz w:val="17"/>
                <w:szCs w:val="17"/>
                <w:color w:val="auto"/>
              </w:rPr>
            </w:pPr>
          </w:p>
        </w:tc>
      </w:tr>
      <w:tr>
        <w:trPr>
          <w:trHeight w:val="230"/>
        </w:trPr>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COMPOSITIONS FOR SEQUENCE MANIPULATION</w:t>
            </w:r>
          </w:p>
        </w:tc>
        <w:tc>
          <w:tcPr>
            <w:tcW w:w="40" w:type="dxa"/>
            <w:vAlign w:val="bottom"/>
          </w:tcPr>
          <w:p>
            <w:pPr>
              <w:spacing w:after="0"/>
              <w:rPr>
                <w:sz w:val="20"/>
                <w:szCs w:val="20"/>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00" w:type="dxa"/>
            <w:vAlign w:val="bottom"/>
          </w:tcPr>
          <w:p>
            <w:pPr>
              <w:ind w:left="300"/>
              <w:spacing w:after="0"/>
              <w:rPr>
                <w:sz w:val="20"/>
                <w:szCs w:val="20"/>
                <w:color w:val="auto"/>
              </w:rPr>
            </w:pPr>
            <w:r>
              <w:rPr>
                <w:rFonts w:ascii="Arial" w:cs="Arial" w:eastAsia="Arial" w:hAnsi="Arial"/>
                <w:sz w:val="18"/>
                <w:szCs w:val="18"/>
                <w:color w:val="auto"/>
              </w:rPr>
              <w:t>[**]</w:t>
            </w:r>
          </w:p>
        </w:tc>
        <w:tc>
          <w:tcPr>
            <w:tcW w:w="4820" w:type="dxa"/>
            <w:vAlign w:val="bottom"/>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00" w:type="dxa"/>
            <w:vAlign w:val="bottom"/>
          </w:tcPr>
          <w:p>
            <w:pPr>
              <w:ind w:left="300"/>
              <w:spacing w:after="0"/>
              <w:rPr>
                <w:sz w:val="20"/>
                <w:szCs w:val="20"/>
                <w:color w:val="auto"/>
              </w:rPr>
            </w:pPr>
            <w:r>
              <w:rPr>
                <w:rFonts w:ascii="Arial" w:cs="Arial" w:eastAsia="Arial" w:hAnsi="Arial"/>
                <w:sz w:val="18"/>
                <w:szCs w:val="18"/>
                <w:color w:val="auto"/>
              </w:rPr>
              <w:t>[**]</w:t>
            </w:r>
          </w:p>
        </w:tc>
        <w:tc>
          <w:tcPr>
            <w:tcW w:w="4820" w:type="dxa"/>
            <w:vAlign w:val="bottom"/>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00" w:type="dxa"/>
            <w:vAlign w:val="bottom"/>
          </w:tcPr>
          <w:p>
            <w:pPr>
              <w:ind w:left="300"/>
              <w:spacing w:after="0"/>
              <w:rPr>
                <w:sz w:val="20"/>
                <w:szCs w:val="20"/>
                <w:color w:val="auto"/>
              </w:rPr>
            </w:pPr>
            <w:r>
              <w:rPr>
                <w:rFonts w:ascii="Arial" w:cs="Arial" w:eastAsia="Arial" w:hAnsi="Arial"/>
                <w:sz w:val="18"/>
                <w:szCs w:val="18"/>
                <w:color w:val="auto"/>
              </w:rPr>
              <w:t>[**]</w:t>
            </w:r>
          </w:p>
        </w:tc>
        <w:tc>
          <w:tcPr>
            <w:tcW w:w="4820" w:type="dxa"/>
            <w:vAlign w:val="bottom"/>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348"/>
        </w:trPr>
        <w:tc>
          <w:tcPr>
            <w:tcW w:w="9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334"/>
        </w:trPr>
        <w:tc>
          <w:tcPr>
            <w:tcW w:w="9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14/222,930</w:t>
            </w:r>
          </w:p>
        </w:tc>
        <w:tc>
          <w:tcPr>
            <w:tcW w:w="1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24-Mar-14</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ENGINEERING AND OPTIMIZATION OF IMPROVED</w:t>
            </w:r>
          </w:p>
        </w:tc>
      </w:tr>
      <w:tr>
        <w:trPr>
          <w:trHeight w:val="216"/>
        </w:trPr>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SYSTEMS, METHODS AND ENZYME COMPOSITIONS</w:t>
            </w:r>
          </w:p>
        </w:tc>
      </w:tr>
      <w:tr>
        <w:trPr>
          <w:trHeight w:val="230"/>
        </w:trPr>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 SEQUENCE MANIPULATION</w:t>
            </w:r>
          </w:p>
        </w:tc>
      </w:tr>
      <w:tr>
        <w:trPr>
          <w:trHeight w:val="202"/>
        </w:trPr>
        <w:tc>
          <w:tcPr>
            <w:tcW w:w="9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00" w:type="dxa"/>
            <w:vAlign w:val="bottom"/>
          </w:tcPr>
          <w:p>
            <w:pPr>
              <w:ind w:left="560"/>
              <w:spacing w:after="0" w:line="201" w:lineRule="exact"/>
              <w:rPr>
                <w:sz w:val="20"/>
                <w:szCs w:val="20"/>
                <w:color w:val="auto"/>
              </w:rPr>
            </w:pPr>
            <w:r>
              <w:rPr>
                <w:rFonts w:ascii="Arial" w:cs="Arial" w:eastAsia="Arial" w:hAnsi="Arial"/>
                <w:sz w:val="18"/>
                <w:szCs w:val="18"/>
                <w:color w:val="auto"/>
              </w:rPr>
              <w:t>14/293,498</w:t>
            </w:r>
          </w:p>
        </w:tc>
        <w:tc>
          <w:tcPr>
            <w:tcW w:w="1400" w:type="dxa"/>
            <w:vAlign w:val="bottom"/>
          </w:tcPr>
          <w:p>
            <w:pPr>
              <w:ind w:left="280"/>
              <w:spacing w:after="0" w:line="201" w:lineRule="exact"/>
              <w:rPr>
                <w:sz w:val="20"/>
                <w:szCs w:val="20"/>
                <w:color w:val="auto"/>
              </w:rPr>
            </w:pPr>
            <w:r>
              <w:rPr>
                <w:rFonts w:ascii="Arial" w:cs="Arial" w:eastAsia="Arial" w:hAnsi="Arial"/>
                <w:sz w:val="18"/>
                <w:szCs w:val="18"/>
                <w:color w:val="auto"/>
              </w:rPr>
              <w:t>2-Jun-14</w:t>
            </w:r>
          </w:p>
        </w:tc>
        <w:tc>
          <w:tcPr>
            <w:tcW w:w="4800" w:type="dxa"/>
            <w:vAlign w:val="bottom"/>
          </w:tcPr>
          <w:p>
            <w:pPr>
              <w:ind w:left="300"/>
              <w:spacing w:after="0" w:line="201" w:lineRule="exact"/>
              <w:rPr>
                <w:sz w:val="20"/>
                <w:szCs w:val="20"/>
                <w:color w:val="auto"/>
              </w:rPr>
            </w:pPr>
            <w:r>
              <w:rPr>
                <w:rFonts w:ascii="Arial" w:cs="Arial" w:eastAsia="Arial" w:hAnsi="Arial"/>
                <w:sz w:val="18"/>
                <w:szCs w:val="18"/>
                <w:color w:val="auto"/>
              </w:rPr>
              <w:t>ENGINEERING AND OPTIMIZATION OF IMPROVED</w:t>
            </w:r>
          </w:p>
        </w:tc>
      </w:tr>
      <w:tr>
        <w:trPr>
          <w:trHeight w:val="216"/>
        </w:trPr>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0" w:type="dxa"/>
            <w:vAlign w:val="bottom"/>
          </w:tcPr>
          <w:p>
            <w:pPr>
              <w:ind w:left="300"/>
              <w:spacing w:after="0"/>
              <w:rPr>
                <w:sz w:val="20"/>
                <w:szCs w:val="20"/>
                <w:color w:val="auto"/>
              </w:rPr>
            </w:pPr>
            <w:r>
              <w:rPr>
                <w:rFonts w:ascii="Arial" w:cs="Arial" w:eastAsia="Arial" w:hAnsi="Arial"/>
                <w:sz w:val="18"/>
                <w:szCs w:val="18"/>
                <w:color w:val="auto"/>
                <w:w w:val="98"/>
              </w:rPr>
              <w:t>SYSTEMS, METHODS AND ENZYME COMPOSITIONS</w:t>
            </w:r>
          </w:p>
        </w:tc>
      </w:tr>
      <w:tr>
        <w:trPr>
          <w:trHeight w:val="230"/>
        </w:trPr>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0" w:type="dxa"/>
            <w:vAlign w:val="bottom"/>
          </w:tcPr>
          <w:p>
            <w:pPr>
              <w:ind w:left="300"/>
              <w:spacing w:after="0"/>
              <w:rPr>
                <w:sz w:val="20"/>
                <w:szCs w:val="20"/>
                <w:color w:val="auto"/>
              </w:rPr>
            </w:pPr>
            <w:r>
              <w:rPr>
                <w:rFonts w:ascii="Arial" w:cs="Arial" w:eastAsia="Arial" w:hAnsi="Arial"/>
                <w:sz w:val="18"/>
                <w:szCs w:val="18"/>
                <w:color w:val="auto"/>
              </w:rPr>
              <w:t>FOR SEQUENCE MANIPULATION</w:t>
            </w: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00" w:type="dxa"/>
            <w:vAlign w:val="bottom"/>
          </w:tcPr>
          <w:p>
            <w:pPr>
              <w:ind w:left="560"/>
              <w:spacing w:after="0"/>
              <w:rPr>
                <w:sz w:val="20"/>
                <w:szCs w:val="20"/>
                <w:color w:val="auto"/>
              </w:rPr>
            </w:pPr>
            <w:r>
              <w:rPr>
                <w:rFonts w:ascii="Arial" w:cs="Arial" w:eastAsia="Arial" w:hAnsi="Arial"/>
                <w:sz w:val="18"/>
                <w:szCs w:val="18"/>
                <w:color w:val="auto"/>
              </w:rPr>
              <w:t>[**]</w:t>
            </w:r>
          </w:p>
        </w:tc>
        <w:tc>
          <w:tcPr>
            <w:tcW w:w="1400" w:type="dxa"/>
            <w:vAlign w:val="bottom"/>
          </w:tcPr>
          <w:p>
            <w:pPr>
              <w:ind w:left="28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2"/>
        </w:trPr>
        <w:tc>
          <w:tcPr>
            <w:tcW w:w="9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00" w:type="dxa"/>
            <w:vAlign w:val="bottom"/>
          </w:tcPr>
          <w:p>
            <w:pPr>
              <w:ind w:left="560"/>
              <w:spacing w:after="0" w:line="201" w:lineRule="exact"/>
              <w:rPr>
                <w:sz w:val="20"/>
                <w:szCs w:val="20"/>
                <w:color w:val="auto"/>
              </w:rPr>
            </w:pPr>
            <w:r>
              <w:rPr>
                <w:rFonts w:ascii="Arial" w:cs="Arial" w:eastAsia="Arial" w:hAnsi="Arial"/>
                <w:sz w:val="18"/>
                <w:szCs w:val="18"/>
                <w:color w:val="auto"/>
              </w:rPr>
              <w:t>14/105,017</w:t>
            </w:r>
          </w:p>
        </w:tc>
        <w:tc>
          <w:tcPr>
            <w:tcW w:w="1400" w:type="dxa"/>
            <w:vAlign w:val="bottom"/>
          </w:tcPr>
          <w:p>
            <w:pPr>
              <w:ind w:left="280"/>
              <w:spacing w:after="0" w:line="201" w:lineRule="exact"/>
              <w:rPr>
                <w:sz w:val="20"/>
                <w:szCs w:val="20"/>
                <w:color w:val="auto"/>
              </w:rPr>
            </w:pPr>
            <w:r>
              <w:rPr>
                <w:rFonts w:ascii="Arial" w:cs="Arial" w:eastAsia="Arial" w:hAnsi="Arial"/>
                <w:sz w:val="18"/>
                <w:szCs w:val="18"/>
                <w:color w:val="auto"/>
              </w:rPr>
              <w:t>12-Dec-13</w:t>
            </w:r>
          </w:p>
        </w:tc>
        <w:tc>
          <w:tcPr>
            <w:tcW w:w="4800" w:type="dxa"/>
            <w:vAlign w:val="bottom"/>
          </w:tcPr>
          <w:p>
            <w:pPr>
              <w:ind w:left="300"/>
              <w:spacing w:after="0" w:line="201" w:lineRule="exact"/>
              <w:rPr>
                <w:sz w:val="20"/>
                <w:szCs w:val="20"/>
                <w:color w:val="auto"/>
              </w:rPr>
            </w:pPr>
            <w:r>
              <w:rPr>
                <w:rFonts w:ascii="Arial" w:cs="Arial" w:eastAsia="Arial" w:hAnsi="Arial"/>
                <w:sz w:val="18"/>
                <w:szCs w:val="18"/>
                <w:color w:val="auto"/>
              </w:rPr>
              <w:t>ENGINEERING AND OPTIMIZATION OF SYSTEMS,</w:t>
            </w:r>
          </w:p>
        </w:tc>
      </w:tr>
      <w:tr>
        <w:trPr>
          <w:trHeight w:val="216"/>
        </w:trPr>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0" w:type="dxa"/>
            <w:vAlign w:val="bottom"/>
          </w:tcPr>
          <w:p>
            <w:pPr>
              <w:ind w:left="300"/>
              <w:spacing w:after="0"/>
              <w:rPr>
                <w:sz w:val="20"/>
                <w:szCs w:val="20"/>
                <w:color w:val="auto"/>
              </w:rPr>
            </w:pPr>
            <w:r>
              <w:rPr>
                <w:rFonts w:ascii="Arial" w:cs="Arial" w:eastAsia="Arial" w:hAnsi="Arial"/>
                <w:sz w:val="18"/>
                <w:szCs w:val="18"/>
                <w:color w:val="auto"/>
              </w:rPr>
              <w:t>METHODS AND COMPOSITIONS FOR SEQUENCE</w:t>
            </w:r>
          </w:p>
        </w:tc>
      </w:tr>
      <w:tr>
        <w:trPr>
          <w:trHeight w:val="230"/>
        </w:trPr>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0" w:type="dxa"/>
            <w:vAlign w:val="bottom"/>
          </w:tcPr>
          <w:p>
            <w:pPr>
              <w:ind w:left="300"/>
              <w:spacing w:after="0"/>
              <w:rPr>
                <w:sz w:val="20"/>
                <w:szCs w:val="20"/>
                <w:color w:val="auto"/>
              </w:rPr>
            </w:pPr>
            <w:r>
              <w:rPr>
                <w:rFonts w:ascii="Arial" w:cs="Arial" w:eastAsia="Arial" w:hAnsi="Arial"/>
                <w:sz w:val="18"/>
                <w:szCs w:val="18"/>
                <w:color w:val="auto"/>
              </w:rPr>
              <w:t>MANIPULATION WITH FUNCTIONAL DOMAINS</w:t>
            </w:r>
          </w:p>
        </w:tc>
      </w:tr>
      <w:tr>
        <w:trPr>
          <w:trHeight w:val="202"/>
        </w:trPr>
        <w:tc>
          <w:tcPr>
            <w:tcW w:w="9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14/226,274</w:t>
            </w:r>
          </w:p>
        </w:tc>
        <w:tc>
          <w:tcPr>
            <w:tcW w:w="14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26-Mar-14</w:t>
            </w:r>
          </w:p>
        </w:tc>
        <w:tc>
          <w:tcPr>
            <w:tcW w:w="48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ENGINEERING AND OPTIMIZATION OF SYSTEMS,</w:t>
            </w:r>
          </w:p>
        </w:tc>
      </w:tr>
      <w:tr>
        <w:trPr>
          <w:trHeight w:val="216"/>
        </w:trPr>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METHODS AND COMPOSITIONS FOR SEQUENCE</w:t>
            </w:r>
          </w:p>
        </w:tc>
      </w:tr>
      <w:tr>
        <w:trPr>
          <w:trHeight w:val="230"/>
        </w:trPr>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MANIPULATION WITH FUNCTIONAL DOMAINS</w:t>
            </w: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00" w:type="dxa"/>
            <w:vAlign w:val="bottom"/>
          </w:tcPr>
          <w:p>
            <w:pPr>
              <w:ind w:left="560"/>
              <w:spacing w:after="0"/>
              <w:rPr>
                <w:sz w:val="20"/>
                <w:szCs w:val="20"/>
                <w:color w:val="auto"/>
              </w:rPr>
            </w:pPr>
            <w:r>
              <w:rPr>
                <w:rFonts w:ascii="Arial" w:cs="Arial" w:eastAsia="Arial" w:hAnsi="Arial"/>
                <w:sz w:val="18"/>
                <w:szCs w:val="18"/>
                <w:color w:val="auto"/>
              </w:rPr>
              <w:t>[**]</w:t>
            </w:r>
          </w:p>
        </w:tc>
        <w:tc>
          <w:tcPr>
            <w:tcW w:w="1400" w:type="dxa"/>
            <w:vAlign w:val="bottom"/>
          </w:tcPr>
          <w:p>
            <w:pPr>
              <w:ind w:left="28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02"/>
        </w:trPr>
        <w:tc>
          <w:tcPr>
            <w:tcW w:w="9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13818570.7</w:t>
            </w:r>
          </w:p>
        </w:tc>
        <w:tc>
          <w:tcPr>
            <w:tcW w:w="14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27-May-14</w:t>
            </w:r>
          </w:p>
        </w:tc>
        <w:tc>
          <w:tcPr>
            <w:tcW w:w="48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ENGINEERING OF SYSTEMS, METHODS AND</w:t>
            </w:r>
          </w:p>
        </w:tc>
      </w:tr>
      <w:tr>
        <w:trPr>
          <w:trHeight w:val="230"/>
        </w:trPr>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OPTIMIZED GUIDE COMPOSITIONS FOR SEQUENCE</w:t>
            </w:r>
          </w:p>
        </w:tc>
      </w:tr>
      <w:tr>
        <w:trPr>
          <w:trHeight w:val="138"/>
        </w:trPr>
        <w:tc>
          <w:tcPr>
            <w:tcW w:w="9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4800" w:type="dxa"/>
            <w:vAlign w:val="bottom"/>
            <w:shd w:val="clear" w:color="auto" w:fill="CCEEFF"/>
          </w:tcPr>
          <w:p>
            <w:pPr>
              <w:spacing w:after="0"/>
              <w:rPr>
                <w:sz w:val="11"/>
                <w:szCs w:val="11"/>
                <w:color w:val="auto"/>
              </w:rPr>
            </w:pPr>
          </w:p>
        </w:tc>
      </w:tr>
    </w:tbl>
    <w:p>
      <w:pPr>
        <w:sectPr>
          <w:pgSz w:w="11900" w:h="16900" w:orient="portrait"/>
          <w:cols w:equalWidth="0" w:num="1">
            <w:col w:w="11460"/>
          </w:cols>
          <w:pgMar w:left="240" w:top="571" w:right="199" w:bottom="0" w:gutter="0" w:footer="0" w:header="0"/>
        </w:sectPr>
      </w:pPr>
    </w:p>
    <w:bookmarkStart w:id="331" w:name="page332"/>
    <w:bookmarkEnd w:id="3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MANIPULATION</w:t>
            </w:r>
          </w:p>
        </w:tc>
        <w:tc>
          <w:tcPr>
            <w:tcW w:w="40" w:type="dxa"/>
            <w:vAlign w:val="bottom"/>
          </w:tcPr>
          <w:p>
            <w:pPr>
              <w:spacing w:after="0"/>
              <w:rPr>
                <w:sz w:val="18"/>
                <w:szCs w:val="18"/>
                <w:color w:val="auto"/>
              </w:rPr>
            </w:pPr>
          </w:p>
        </w:tc>
      </w:tr>
      <w:tr>
        <w:trPr>
          <w:trHeight w:val="202"/>
        </w:trPr>
        <w:tc>
          <w:tcPr>
            <w:tcW w:w="9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00" w:type="dxa"/>
            <w:vAlign w:val="bottom"/>
          </w:tcPr>
          <w:p>
            <w:pPr>
              <w:ind w:left="560"/>
              <w:spacing w:after="0" w:line="201" w:lineRule="exact"/>
              <w:rPr>
                <w:sz w:val="20"/>
                <w:szCs w:val="20"/>
                <w:color w:val="auto"/>
              </w:rPr>
            </w:pPr>
            <w:r>
              <w:rPr>
                <w:rFonts w:ascii="Arial" w:cs="Arial" w:eastAsia="Arial" w:hAnsi="Arial"/>
                <w:sz w:val="18"/>
                <w:szCs w:val="18"/>
                <w:color w:val="auto"/>
              </w:rPr>
              <w:t>14170383.5</w:t>
            </w:r>
          </w:p>
        </w:tc>
        <w:tc>
          <w:tcPr>
            <w:tcW w:w="1400" w:type="dxa"/>
            <w:vAlign w:val="bottom"/>
          </w:tcPr>
          <w:p>
            <w:pPr>
              <w:ind w:left="280"/>
              <w:spacing w:after="0" w:line="201" w:lineRule="exact"/>
              <w:rPr>
                <w:sz w:val="20"/>
                <w:szCs w:val="20"/>
                <w:color w:val="auto"/>
              </w:rPr>
            </w:pPr>
            <w:r>
              <w:rPr>
                <w:rFonts w:ascii="Arial" w:cs="Arial" w:eastAsia="Arial" w:hAnsi="Arial"/>
                <w:sz w:val="18"/>
                <w:szCs w:val="18"/>
                <w:color w:val="auto"/>
              </w:rPr>
              <w:t>28-May-14</w:t>
            </w:r>
          </w:p>
        </w:tc>
        <w:tc>
          <w:tcPr>
            <w:tcW w:w="4800" w:type="dxa"/>
            <w:vAlign w:val="bottom"/>
          </w:tcPr>
          <w:p>
            <w:pPr>
              <w:ind w:left="300"/>
              <w:spacing w:after="0" w:line="201" w:lineRule="exact"/>
              <w:rPr>
                <w:sz w:val="20"/>
                <w:szCs w:val="20"/>
                <w:color w:val="auto"/>
              </w:rPr>
            </w:pPr>
            <w:r>
              <w:rPr>
                <w:rFonts w:ascii="Arial" w:cs="Arial" w:eastAsia="Arial" w:hAnsi="Arial"/>
                <w:sz w:val="18"/>
                <w:szCs w:val="18"/>
                <w:color w:val="auto"/>
              </w:rPr>
              <w:t>ENGINEERING OF SYSTEMS, METHODS AND</w:t>
            </w:r>
          </w:p>
        </w:tc>
        <w:tc>
          <w:tcPr>
            <w:tcW w:w="4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0" w:type="dxa"/>
            <w:vAlign w:val="bottom"/>
          </w:tcPr>
          <w:p>
            <w:pPr>
              <w:ind w:left="300"/>
              <w:spacing w:after="0"/>
              <w:rPr>
                <w:sz w:val="20"/>
                <w:szCs w:val="20"/>
                <w:color w:val="auto"/>
              </w:rPr>
            </w:pPr>
            <w:r>
              <w:rPr>
                <w:rFonts w:ascii="Arial" w:cs="Arial" w:eastAsia="Arial" w:hAnsi="Arial"/>
                <w:sz w:val="18"/>
                <w:szCs w:val="18"/>
                <w:color w:val="auto"/>
                <w:w w:val="98"/>
              </w:rPr>
              <w:t>OPTIMIZED GUIDE COMPOSITIONS FOR SEQUENCE</w:t>
            </w:r>
          </w:p>
        </w:tc>
        <w:tc>
          <w:tcPr>
            <w:tcW w:w="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0" w:type="dxa"/>
            <w:vAlign w:val="bottom"/>
          </w:tcPr>
          <w:p>
            <w:pPr>
              <w:ind w:left="300"/>
              <w:spacing w:after="0"/>
              <w:rPr>
                <w:sz w:val="20"/>
                <w:szCs w:val="20"/>
                <w:color w:val="auto"/>
              </w:rPr>
            </w:pPr>
            <w:r>
              <w:rPr>
                <w:rFonts w:ascii="Arial" w:cs="Arial" w:eastAsia="Arial" w:hAnsi="Arial"/>
                <w:sz w:val="18"/>
                <w:szCs w:val="18"/>
                <w:color w:val="auto"/>
              </w:rPr>
              <w:t>MANIPULATION</w:t>
            </w:r>
          </w:p>
        </w:tc>
        <w:tc>
          <w:tcPr>
            <w:tcW w:w="40" w:type="dxa"/>
            <w:vAlign w:val="bottom"/>
          </w:tcPr>
          <w:p>
            <w:pPr>
              <w:spacing w:after="0"/>
              <w:rPr>
                <w:sz w:val="20"/>
                <w:szCs w:val="20"/>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9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00" w:type="dxa"/>
            <w:vAlign w:val="bottom"/>
          </w:tcPr>
          <w:p>
            <w:pPr>
              <w:ind w:left="560"/>
              <w:spacing w:after="0" w:line="201" w:lineRule="exact"/>
              <w:rPr>
                <w:sz w:val="20"/>
                <w:szCs w:val="20"/>
                <w:color w:val="auto"/>
              </w:rPr>
            </w:pPr>
            <w:r>
              <w:rPr>
                <w:rFonts w:ascii="Arial" w:cs="Arial" w:eastAsia="Arial" w:hAnsi="Arial"/>
                <w:sz w:val="18"/>
                <w:szCs w:val="18"/>
                <w:color w:val="auto"/>
              </w:rPr>
              <w:t>14/104,990</w:t>
            </w:r>
          </w:p>
        </w:tc>
        <w:tc>
          <w:tcPr>
            <w:tcW w:w="1400" w:type="dxa"/>
            <w:vAlign w:val="bottom"/>
          </w:tcPr>
          <w:p>
            <w:pPr>
              <w:ind w:left="280"/>
              <w:spacing w:after="0" w:line="201" w:lineRule="exact"/>
              <w:rPr>
                <w:sz w:val="20"/>
                <w:szCs w:val="20"/>
                <w:color w:val="auto"/>
              </w:rPr>
            </w:pPr>
            <w:r>
              <w:rPr>
                <w:rFonts w:ascii="Arial" w:cs="Arial" w:eastAsia="Arial" w:hAnsi="Arial"/>
                <w:sz w:val="18"/>
                <w:szCs w:val="18"/>
                <w:color w:val="auto"/>
              </w:rPr>
              <w:t>12-Dec-13</w:t>
            </w:r>
          </w:p>
        </w:tc>
        <w:tc>
          <w:tcPr>
            <w:tcW w:w="4800" w:type="dxa"/>
            <w:vAlign w:val="bottom"/>
          </w:tcPr>
          <w:p>
            <w:pPr>
              <w:ind w:left="300"/>
              <w:spacing w:after="0" w:line="201" w:lineRule="exact"/>
              <w:rPr>
                <w:sz w:val="20"/>
                <w:szCs w:val="20"/>
                <w:color w:val="auto"/>
              </w:rPr>
            </w:pPr>
            <w:r>
              <w:rPr>
                <w:rFonts w:ascii="Arial" w:cs="Arial" w:eastAsia="Arial" w:hAnsi="Arial"/>
                <w:sz w:val="18"/>
                <w:szCs w:val="18"/>
                <w:color w:val="auto"/>
              </w:rPr>
              <w:t>ENGINEERING OF SYSTEMS, METHODS AND</w:t>
            </w:r>
          </w:p>
        </w:tc>
        <w:tc>
          <w:tcPr>
            <w:tcW w:w="4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0" w:type="dxa"/>
            <w:vAlign w:val="bottom"/>
          </w:tcPr>
          <w:p>
            <w:pPr>
              <w:ind w:left="300"/>
              <w:spacing w:after="0"/>
              <w:rPr>
                <w:sz w:val="20"/>
                <w:szCs w:val="20"/>
                <w:color w:val="auto"/>
              </w:rPr>
            </w:pPr>
            <w:r>
              <w:rPr>
                <w:rFonts w:ascii="Arial" w:cs="Arial" w:eastAsia="Arial" w:hAnsi="Arial"/>
                <w:sz w:val="18"/>
                <w:szCs w:val="18"/>
                <w:color w:val="auto"/>
                <w:w w:val="98"/>
              </w:rPr>
              <w:t>OPTIMIZED GUIDE COMPOSITIONS FOR SEQUENCE</w:t>
            </w:r>
          </w:p>
        </w:tc>
        <w:tc>
          <w:tcPr>
            <w:tcW w:w="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0" w:type="dxa"/>
            <w:vAlign w:val="bottom"/>
          </w:tcPr>
          <w:p>
            <w:pPr>
              <w:ind w:left="300"/>
              <w:spacing w:after="0"/>
              <w:rPr>
                <w:sz w:val="20"/>
                <w:szCs w:val="20"/>
                <w:color w:val="auto"/>
              </w:rPr>
            </w:pPr>
            <w:r>
              <w:rPr>
                <w:rFonts w:ascii="Arial" w:cs="Arial" w:eastAsia="Arial" w:hAnsi="Arial"/>
                <w:sz w:val="18"/>
                <w:szCs w:val="18"/>
                <w:color w:val="auto"/>
              </w:rPr>
              <w:t>MANIPULATION</w:t>
            </w:r>
          </w:p>
        </w:tc>
        <w:tc>
          <w:tcPr>
            <w:tcW w:w="40" w:type="dxa"/>
            <w:vAlign w:val="bottom"/>
          </w:tcPr>
          <w:p>
            <w:pPr>
              <w:spacing w:after="0"/>
              <w:rPr>
                <w:sz w:val="20"/>
                <w:szCs w:val="20"/>
                <w:color w:val="auto"/>
              </w:rPr>
            </w:pPr>
          </w:p>
        </w:tc>
      </w:tr>
      <w:tr>
        <w:trPr>
          <w:trHeight w:val="348"/>
        </w:trPr>
        <w:tc>
          <w:tcPr>
            <w:tcW w:w="9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14/290,575</w:t>
            </w:r>
          </w:p>
        </w:tc>
        <w:tc>
          <w:tcPr>
            <w:tcW w:w="1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29-May-14</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ENGINEERING OF SYSTEMS, METHODS AND</w:t>
            </w:r>
          </w:p>
        </w:tc>
        <w:tc>
          <w:tcPr>
            <w:tcW w:w="40" w:type="dxa"/>
            <w:vAlign w:val="bottom"/>
          </w:tcPr>
          <w:p>
            <w:pPr>
              <w:spacing w:after="0"/>
              <w:rPr>
                <w:sz w:val="17"/>
                <w:szCs w:val="17"/>
                <w:color w:val="auto"/>
              </w:rPr>
            </w:pPr>
          </w:p>
        </w:tc>
      </w:tr>
      <w:tr>
        <w:trPr>
          <w:trHeight w:val="216"/>
        </w:trPr>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OPTIMIZED GUIDE COMPOSITIONS FOR SEQUENCE</w:t>
            </w:r>
          </w:p>
        </w:tc>
        <w:tc>
          <w:tcPr>
            <w:tcW w:w="40" w:type="dxa"/>
            <w:vAlign w:val="bottom"/>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MANIPULATION</w:t>
            </w:r>
          </w:p>
        </w:tc>
        <w:tc>
          <w:tcPr>
            <w:tcW w:w="40" w:type="dxa"/>
            <w:vAlign w:val="bottom"/>
          </w:tcPr>
          <w:p>
            <w:pPr>
              <w:spacing w:after="0"/>
              <w:rPr>
                <w:sz w:val="20"/>
                <w:szCs w:val="20"/>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20" w:type="dxa"/>
            <w:vAlign w:val="bottom"/>
          </w:tcPr>
          <w:p>
            <w:pPr>
              <w:ind w:left="30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20" w:type="dxa"/>
            <w:vAlign w:val="bottom"/>
          </w:tcPr>
          <w:p>
            <w:pPr>
              <w:ind w:left="30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20" w:type="dxa"/>
            <w:vAlign w:val="bottom"/>
          </w:tcPr>
          <w:p>
            <w:pPr>
              <w:ind w:left="30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20" w:type="dxa"/>
            <w:vAlign w:val="bottom"/>
          </w:tcPr>
          <w:p>
            <w:pPr>
              <w:ind w:left="30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20" w:type="dxa"/>
            <w:vAlign w:val="bottom"/>
          </w:tcPr>
          <w:p>
            <w:pPr>
              <w:ind w:left="30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20" w:type="dxa"/>
            <w:vAlign w:val="bottom"/>
          </w:tcPr>
          <w:p>
            <w:pPr>
              <w:ind w:left="30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20" w:type="dxa"/>
            <w:vAlign w:val="bottom"/>
          </w:tcPr>
          <w:p>
            <w:pPr>
              <w:ind w:left="30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20" w:type="dxa"/>
            <w:vAlign w:val="bottom"/>
          </w:tcPr>
          <w:p>
            <w:pPr>
              <w:ind w:left="30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80" w:type="dxa"/>
            <w:vAlign w:val="bottom"/>
          </w:tcPr>
          <w:p>
            <w:pPr>
              <w:ind w:left="560"/>
              <w:spacing w:after="0"/>
              <w:rPr>
                <w:sz w:val="20"/>
                <w:szCs w:val="20"/>
                <w:color w:val="auto"/>
              </w:rPr>
            </w:pPr>
            <w:r>
              <w:rPr>
                <w:rFonts w:ascii="Arial" w:cs="Arial" w:eastAsia="Arial" w:hAnsi="Arial"/>
                <w:sz w:val="18"/>
                <w:szCs w:val="18"/>
                <w:color w:val="auto"/>
              </w:rPr>
              <w:t>[**]</w:t>
            </w:r>
          </w:p>
        </w:tc>
        <w:tc>
          <w:tcPr>
            <w:tcW w:w="1420" w:type="dxa"/>
            <w:vAlign w:val="bottom"/>
          </w:tcPr>
          <w:p>
            <w:pPr>
              <w:ind w:left="300"/>
              <w:spacing w:after="0"/>
              <w:rPr>
                <w:sz w:val="20"/>
                <w:szCs w:val="20"/>
                <w:color w:val="auto"/>
              </w:rPr>
            </w:pPr>
            <w:r>
              <w:rPr>
                <w:rFonts w:ascii="Arial" w:cs="Arial" w:eastAsia="Arial" w:hAnsi="Arial"/>
                <w:sz w:val="18"/>
                <w:szCs w:val="18"/>
                <w:color w:val="auto"/>
              </w:rPr>
              <w:t>[**]</w:t>
            </w:r>
          </w:p>
        </w:tc>
        <w:tc>
          <w:tcPr>
            <w:tcW w:w="480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334"/>
        </w:trPr>
        <w:tc>
          <w:tcPr>
            <w:tcW w:w="9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334"/>
        </w:trPr>
        <w:tc>
          <w:tcPr>
            <w:tcW w:w="9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EFF"/>
          </w:tcPr>
          <w:p>
            <w:pPr>
              <w:jc w:val="right"/>
              <w:ind w:right="4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348"/>
        </w:trPr>
        <w:tc>
          <w:tcPr>
            <w:tcW w:w="9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1.104 — Patent Rights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Harvard-Controlled Patents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Harvard</w:t>
            </w:r>
          </w:p>
        </w:tc>
        <w:tc>
          <w:tcPr>
            <w:tcW w:w="1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Country</w:t>
            </w: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Serial Number</w:t>
            </w:r>
          </w:p>
        </w:tc>
        <w:tc>
          <w:tcPr>
            <w:tcW w:w="1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Filing Date</w:t>
            </w:r>
          </w:p>
        </w:tc>
        <w:tc>
          <w:tcPr>
            <w:tcW w:w="1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Application Title</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0" w:type="dxa"/>
            <w:vAlign w:val="bottom"/>
          </w:tcPr>
          <w:p>
            <w:pPr>
              <w:spacing w:after="0"/>
              <w:rPr>
                <w:sz w:val="1"/>
                <w:szCs w:val="1"/>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Case</w:t>
            </w:r>
          </w:p>
        </w:tc>
        <w:tc>
          <w:tcPr>
            <w:tcW w:w="196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jc w:val="right"/>
              <w:ind w:right="62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332" w:name="page333"/>
    <w:bookmarkEnd w:id="332"/>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4 pages were 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1.105 — Patent Rights Categories (Broad-Controlled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Patent</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Rights</w:t>
            </w:r>
          </w:p>
        </w:tc>
        <w:tc>
          <w:tcPr>
            <w:tcW w:w="1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CaseNumber</w:t>
            </w: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Broad Ref#</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AppNumber</w:t>
            </w:r>
          </w:p>
        </w:tc>
        <w:tc>
          <w:tcPr>
            <w:tcW w:w="280" w:type="dxa"/>
            <w:vAlign w:val="bottom"/>
          </w:tcPr>
          <w:p>
            <w:pPr>
              <w:spacing w:after="0"/>
              <w:rPr>
                <w:sz w:val="12"/>
                <w:szCs w:val="12"/>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FilDate</w:t>
            </w:r>
          </w:p>
        </w:tc>
        <w:tc>
          <w:tcPr>
            <w:tcW w:w="398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AppTitle</w:t>
            </w:r>
          </w:p>
        </w:tc>
        <w:tc>
          <w:tcPr>
            <w:tcW w:w="0" w:type="dxa"/>
            <w:vAlign w:val="bottom"/>
          </w:tcPr>
          <w:p>
            <w:pPr>
              <w:spacing w:after="0"/>
              <w:rPr>
                <w:sz w:val="1"/>
                <w:szCs w:val="1"/>
                <w:color w:val="auto"/>
              </w:rPr>
            </w:pPr>
          </w:p>
        </w:tc>
      </w:tr>
      <w:tr>
        <w:trPr>
          <w:trHeight w:val="17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14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71"/>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14/105,035</w:t>
            </w:r>
          </w:p>
        </w:tc>
        <w:tc>
          <w:tcPr>
            <w:tcW w:w="18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12-Dec-13</w:t>
            </w: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CRISPR-CAS COMPONENT SYSTEMS,</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METHODS AND COMPOSITIONS FOR</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SEQUENCE MANIPULATION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71"/>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14/054,414</w:t>
            </w:r>
          </w:p>
        </w:tc>
        <w:tc>
          <w:tcPr>
            <w:tcW w:w="18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15-Oct-13</w:t>
            </w: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CRISPR-CAS SYSTEMS AND METHODS FOR</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7"/>
              </w:rPr>
              <w:t>ALTERING EXPRESSION OF GENE PRODUCTS</w:t>
            </w:r>
          </w:p>
        </w:tc>
        <w:tc>
          <w:tcPr>
            <w:tcW w:w="0" w:type="dxa"/>
            <w:vAlign w:val="bottom"/>
          </w:tcPr>
          <w:p>
            <w:pPr>
              <w:spacing w:after="0"/>
              <w:rPr>
                <w:sz w:val="1"/>
                <w:szCs w:val="1"/>
                <w:color w:val="auto"/>
              </w:rPr>
            </w:pP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tcPr>
          <w:p>
            <w:pPr>
              <w:jc w:val="right"/>
              <w:ind w:right="771"/>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40" w:type="dxa"/>
            <w:vAlign w:val="bottom"/>
          </w:tcPr>
          <w:p>
            <w:pPr>
              <w:spacing w:after="0" w:line="201" w:lineRule="exact"/>
              <w:rPr>
                <w:sz w:val="20"/>
                <w:szCs w:val="20"/>
                <w:color w:val="auto"/>
              </w:rPr>
            </w:pPr>
            <w:r>
              <w:rPr>
                <w:rFonts w:ascii="Arial" w:cs="Arial" w:eastAsia="Arial" w:hAnsi="Arial"/>
                <w:sz w:val="18"/>
                <w:szCs w:val="18"/>
                <w:color w:val="auto"/>
              </w:rPr>
              <w:t>14/183,429</w:t>
            </w:r>
          </w:p>
        </w:tc>
        <w:tc>
          <w:tcPr>
            <w:tcW w:w="182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18-Feb-14</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CRISPR-CAS SYSTEMS AND METHODS FOR</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7"/>
              </w:rPr>
              <w:t>ALTERING EXPRESSION OF GENE PRODUCTS</w:t>
            </w:r>
          </w:p>
        </w:tc>
        <w:tc>
          <w:tcPr>
            <w:tcW w:w="0" w:type="dxa"/>
            <w:vAlign w:val="bottom"/>
          </w:tcPr>
          <w:p>
            <w:pPr>
              <w:spacing w:after="0"/>
              <w:rPr>
                <w:sz w:val="1"/>
                <w:szCs w:val="1"/>
                <w:color w:val="auto"/>
              </w:rPr>
            </w:pP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71"/>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14/183,486</w:t>
            </w:r>
          </w:p>
        </w:tc>
        <w:tc>
          <w:tcPr>
            <w:tcW w:w="18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18-Feb-14</w:t>
            </w: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CRISPR-CAS COMPONENT SYSTEMS,</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METHODS AND COMPOSITIONS FOR</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SEQUENCE MANIPULATION</w:t>
            </w:r>
          </w:p>
        </w:tc>
        <w:tc>
          <w:tcPr>
            <w:tcW w:w="0" w:type="dxa"/>
            <w:vAlign w:val="bottom"/>
          </w:tcPr>
          <w:p>
            <w:pPr>
              <w:spacing w:after="0"/>
              <w:rPr>
                <w:sz w:val="1"/>
                <w:szCs w:val="1"/>
                <w:color w:val="auto"/>
              </w:rPr>
            </w:pP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tcPr>
          <w:p>
            <w:pPr>
              <w:jc w:val="right"/>
              <w:ind w:right="771"/>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40" w:type="dxa"/>
            <w:vAlign w:val="bottom"/>
          </w:tcPr>
          <w:p>
            <w:pPr>
              <w:spacing w:after="0" w:line="201" w:lineRule="exact"/>
              <w:rPr>
                <w:sz w:val="20"/>
                <w:szCs w:val="20"/>
                <w:color w:val="auto"/>
              </w:rPr>
            </w:pPr>
            <w:r>
              <w:rPr>
                <w:rFonts w:ascii="Arial" w:cs="Arial" w:eastAsia="Arial" w:hAnsi="Arial"/>
                <w:sz w:val="18"/>
                <w:szCs w:val="18"/>
                <w:color w:val="auto"/>
              </w:rPr>
              <w:t>14/256,912</w:t>
            </w:r>
          </w:p>
        </w:tc>
        <w:tc>
          <w:tcPr>
            <w:tcW w:w="182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18-Apr-14</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CRISPR-CAS SYSTEMS AND METHODS FOR</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7"/>
              </w:rPr>
              <w:t>ALTERING EXPRESSION OF GENE 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See Exhibit 1.104 (Broad-Controlled Patents) regarding the interests of Rockefeller.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40"/>
              <w:spacing w:after="0"/>
              <w:rPr>
                <w:sz w:val="20"/>
                <w:szCs w:val="20"/>
                <w:color w:val="auto"/>
              </w:rPr>
            </w:pPr>
            <w:r>
              <w:rPr>
                <w:rFonts w:ascii="Arial" w:cs="Arial" w:eastAsia="Arial" w:hAnsi="Arial"/>
                <w:sz w:val="18"/>
                <w:szCs w:val="18"/>
                <w:color w:val="auto"/>
              </w:rPr>
              <w:t>[**]</w:t>
            </w:r>
          </w:p>
        </w:tc>
        <w:tc>
          <w:tcPr>
            <w:tcW w:w="4360" w:type="dxa"/>
            <w:vAlign w:val="bottom"/>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900" w:type="dxa"/>
            <w:vAlign w:val="bottom"/>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14/105,031</w:t>
            </w:r>
          </w:p>
        </w:tc>
        <w:tc>
          <w:tcPr>
            <w:tcW w:w="1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12-Dec-13</w:t>
            </w:r>
          </w:p>
        </w:tc>
        <w:tc>
          <w:tcPr>
            <w:tcW w:w="43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CRISPR-CAS NICKASE SYSTEMS, METHODS</w:t>
            </w:r>
          </w:p>
        </w:tc>
        <w:tc>
          <w:tcPr>
            <w:tcW w:w="40" w:type="dxa"/>
            <w:vAlign w:val="bottom"/>
          </w:tcPr>
          <w:p>
            <w:pPr>
              <w:spacing w:after="0"/>
              <w:rPr>
                <w:sz w:val="17"/>
                <w:szCs w:val="17"/>
                <w:color w:val="auto"/>
              </w:rPr>
            </w:pPr>
          </w:p>
        </w:tc>
      </w:tr>
      <w:tr>
        <w:trPr>
          <w:trHeight w:val="216"/>
        </w:trPr>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COMPOSITIONS FOR SEQUENCE</w:t>
            </w:r>
          </w:p>
        </w:tc>
        <w:tc>
          <w:tcPr>
            <w:tcW w:w="40" w:type="dxa"/>
            <w:vAlign w:val="bottom"/>
          </w:tcPr>
          <w:p>
            <w:pPr>
              <w:spacing w:after="0"/>
              <w:rPr>
                <w:sz w:val="18"/>
                <w:szCs w:val="18"/>
                <w:color w:val="auto"/>
              </w:rPr>
            </w:pPr>
          </w:p>
        </w:tc>
      </w:tr>
      <w:tr>
        <w:trPr>
          <w:trHeight w:val="230"/>
        </w:trPr>
        <w:tc>
          <w:tcPr>
            <w:tcW w:w="9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MANIPULATION IN EUKARYOTES</w:t>
            </w:r>
          </w:p>
        </w:tc>
        <w:tc>
          <w:tcPr>
            <w:tcW w:w="40" w:type="dxa"/>
            <w:vAlign w:val="bottom"/>
          </w:tcPr>
          <w:p>
            <w:pPr>
              <w:spacing w:after="0"/>
              <w:rPr>
                <w:sz w:val="20"/>
                <w:szCs w:val="20"/>
                <w:color w:val="auto"/>
              </w:rPr>
            </w:pPr>
          </w:p>
        </w:tc>
      </w:tr>
      <w:tr>
        <w:trPr>
          <w:trHeight w:val="202"/>
        </w:trPr>
        <w:tc>
          <w:tcPr>
            <w:tcW w:w="900" w:type="dxa"/>
            <w:vAlign w:val="bottom"/>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40" w:type="dxa"/>
            <w:vAlign w:val="bottom"/>
          </w:tcPr>
          <w:p>
            <w:pPr>
              <w:ind w:left="560"/>
              <w:spacing w:after="0" w:line="201" w:lineRule="exact"/>
              <w:rPr>
                <w:sz w:val="20"/>
                <w:szCs w:val="20"/>
                <w:color w:val="auto"/>
              </w:rPr>
            </w:pPr>
            <w:r>
              <w:rPr>
                <w:rFonts w:ascii="Arial" w:cs="Arial" w:eastAsia="Arial" w:hAnsi="Arial"/>
                <w:sz w:val="18"/>
                <w:szCs w:val="18"/>
                <w:color w:val="auto"/>
              </w:rPr>
              <w:t>14/183,471</w:t>
            </w:r>
          </w:p>
        </w:tc>
        <w:tc>
          <w:tcPr>
            <w:tcW w:w="1500" w:type="dxa"/>
            <w:vAlign w:val="bottom"/>
          </w:tcPr>
          <w:p>
            <w:pPr>
              <w:ind w:left="340"/>
              <w:spacing w:after="0" w:line="201" w:lineRule="exact"/>
              <w:rPr>
                <w:sz w:val="20"/>
                <w:szCs w:val="20"/>
                <w:color w:val="auto"/>
              </w:rPr>
            </w:pPr>
            <w:r>
              <w:rPr>
                <w:rFonts w:ascii="Arial" w:cs="Arial" w:eastAsia="Arial" w:hAnsi="Arial"/>
                <w:sz w:val="18"/>
                <w:szCs w:val="18"/>
                <w:color w:val="auto"/>
              </w:rPr>
              <w:t>18-Feb-14</w:t>
            </w:r>
          </w:p>
        </w:tc>
        <w:tc>
          <w:tcPr>
            <w:tcW w:w="4360" w:type="dxa"/>
            <w:vAlign w:val="bottom"/>
          </w:tcPr>
          <w:p>
            <w:pPr>
              <w:ind w:left="380"/>
              <w:spacing w:after="0" w:line="201" w:lineRule="exact"/>
              <w:rPr>
                <w:sz w:val="20"/>
                <w:szCs w:val="20"/>
                <w:color w:val="auto"/>
              </w:rPr>
            </w:pPr>
            <w:r>
              <w:rPr>
                <w:rFonts w:ascii="Arial" w:cs="Arial" w:eastAsia="Arial" w:hAnsi="Arial"/>
                <w:sz w:val="18"/>
                <w:szCs w:val="18"/>
                <w:color w:val="auto"/>
              </w:rPr>
              <w:t>CRISPR-CAS NICKASE SYSTEMS, METHODS</w:t>
            </w:r>
          </w:p>
        </w:tc>
        <w:tc>
          <w:tcPr>
            <w:tcW w:w="4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360" w:type="dxa"/>
            <w:vAlign w:val="bottom"/>
          </w:tcPr>
          <w:p>
            <w:pPr>
              <w:ind w:left="380"/>
              <w:spacing w:after="0"/>
              <w:rPr>
                <w:sz w:val="20"/>
                <w:szCs w:val="20"/>
                <w:color w:val="auto"/>
              </w:rPr>
            </w:pPr>
            <w:r>
              <w:rPr>
                <w:rFonts w:ascii="Arial" w:cs="Arial" w:eastAsia="Arial" w:hAnsi="Arial"/>
                <w:sz w:val="18"/>
                <w:szCs w:val="18"/>
                <w:color w:val="auto"/>
              </w:rPr>
              <w:t>AND COMPOSITIONS FOR SEQUENCE</w:t>
            </w:r>
          </w:p>
        </w:tc>
        <w:tc>
          <w:tcPr>
            <w:tcW w:w="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360" w:type="dxa"/>
            <w:vAlign w:val="bottom"/>
          </w:tcPr>
          <w:p>
            <w:pPr>
              <w:ind w:left="380"/>
              <w:spacing w:after="0"/>
              <w:rPr>
                <w:sz w:val="20"/>
                <w:szCs w:val="20"/>
                <w:color w:val="auto"/>
              </w:rPr>
            </w:pPr>
            <w:r>
              <w:rPr>
                <w:rFonts w:ascii="Arial" w:cs="Arial" w:eastAsia="Arial" w:hAnsi="Arial"/>
                <w:sz w:val="18"/>
                <w:szCs w:val="18"/>
                <w:color w:val="auto"/>
              </w:rPr>
              <w:t>MANIPULATION IN EUKARYOTES</w:t>
            </w:r>
          </w:p>
        </w:tc>
        <w:tc>
          <w:tcPr>
            <w:tcW w:w="40" w:type="dxa"/>
            <w:vAlign w:val="bottom"/>
          </w:tcPr>
          <w:p>
            <w:pPr>
              <w:spacing w:after="0"/>
              <w:rPr>
                <w:sz w:val="20"/>
                <w:szCs w:val="20"/>
                <w:color w:val="auto"/>
              </w:rPr>
            </w:pPr>
          </w:p>
        </w:tc>
      </w:tr>
      <w:tr>
        <w:trPr>
          <w:trHeight w:val="202"/>
        </w:trPr>
        <w:tc>
          <w:tcPr>
            <w:tcW w:w="900" w:type="dxa"/>
            <w:vAlign w:val="bottom"/>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14/258,458</w:t>
            </w:r>
          </w:p>
        </w:tc>
        <w:tc>
          <w:tcPr>
            <w:tcW w:w="1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22-Apr-14</w:t>
            </w:r>
          </w:p>
        </w:tc>
        <w:tc>
          <w:tcPr>
            <w:tcW w:w="43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CRISPR-CAS COMPONENT SYSTEMS,</w:t>
            </w:r>
          </w:p>
        </w:tc>
        <w:tc>
          <w:tcPr>
            <w:tcW w:w="40" w:type="dxa"/>
            <w:vAlign w:val="bottom"/>
          </w:tcPr>
          <w:p>
            <w:pPr>
              <w:spacing w:after="0"/>
              <w:rPr>
                <w:sz w:val="17"/>
                <w:szCs w:val="17"/>
                <w:color w:val="auto"/>
              </w:rPr>
            </w:pPr>
          </w:p>
        </w:tc>
      </w:tr>
      <w:tr>
        <w:trPr>
          <w:trHeight w:val="216"/>
        </w:trPr>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METHODS AND COMPOSITIONS FOR</w:t>
            </w:r>
          </w:p>
        </w:tc>
        <w:tc>
          <w:tcPr>
            <w:tcW w:w="40" w:type="dxa"/>
            <w:vAlign w:val="bottom"/>
          </w:tcPr>
          <w:p>
            <w:pPr>
              <w:spacing w:after="0"/>
              <w:rPr>
                <w:sz w:val="18"/>
                <w:szCs w:val="18"/>
                <w:color w:val="auto"/>
              </w:rPr>
            </w:pPr>
          </w:p>
        </w:tc>
      </w:tr>
      <w:tr>
        <w:trPr>
          <w:trHeight w:val="230"/>
        </w:trPr>
        <w:tc>
          <w:tcPr>
            <w:tcW w:w="9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SEQUENCE MANIPULATION</w:t>
            </w:r>
          </w:p>
        </w:tc>
        <w:tc>
          <w:tcPr>
            <w:tcW w:w="40" w:type="dxa"/>
            <w:vAlign w:val="bottom"/>
          </w:tcPr>
          <w:p>
            <w:pPr>
              <w:spacing w:after="0"/>
              <w:rPr>
                <w:sz w:val="20"/>
                <w:szCs w:val="20"/>
                <w:color w:val="auto"/>
              </w:rPr>
            </w:pPr>
          </w:p>
        </w:tc>
      </w:tr>
      <w:tr>
        <w:trPr>
          <w:trHeight w:val="202"/>
        </w:trPr>
        <w:tc>
          <w:tcPr>
            <w:tcW w:w="900" w:type="dxa"/>
            <w:vAlign w:val="bottom"/>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40" w:type="dxa"/>
            <w:vAlign w:val="bottom"/>
          </w:tcPr>
          <w:p>
            <w:pPr>
              <w:ind w:left="560"/>
              <w:spacing w:after="0" w:line="201" w:lineRule="exact"/>
              <w:rPr>
                <w:sz w:val="20"/>
                <w:szCs w:val="20"/>
                <w:color w:val="auto"/>
              </w:rPr>
            </w:pPr>
            <w:r>
              <w:rPr>
                <w:rFonts w:ascii="Arial" w:cs="Arial" w:eastAsia="Arial" w:hAnsi="Arial"/>
                <w:sz w:val="18"/>
                <w:szCs w:val="18"/>
                <w:color w:val="auto"/>
              </w:rPr>
              <w:t>14/259,420</w:t>
            </w:r>
          </w:p>
        </w:tc>
        <w:tc>
          <w:tcPr>
            <w:tcW w:w="1500" w:type="dxa"/>
            <w:vAlign w:val="bottom"/>
          </w:tcPr>
          <w:p>
            <w:pPr>
              <w:ind w:left="340"/>
              <w:spacing w:after="0" w:line="201" w:lineRule="exact"/>
              <w:rPr>
                <w:sz w:val="20"/>
                <w:szCs w:val="20"/>
                <w:color w:val="auto"/>
              </w:rPr>
            </w:pPr>
            <w:r>
              <w:rPr>
                <w:rFonts w:ascii="Arial" w:cs="Arial" w:eastAsia="Arial" w:hAnsi="Arial"/>
                <w:sz w:val="18"/>
                <w:szCs w:val="18"/>
                <w:color w:val="auto"/>
              </w:rPr>
              <w:t>23-Apr-14</w:t>
            </w:r>
          </w:p>
        </w:tc>
        <w:tc>
          <w:tcPr>
            <w:tcW w:w="4360" w:type="dxa"/>
            <w:vAlign w:val="bottom"/>
          </w:tcPr>
          <w:p>
            <w:pPr>
              <w:ind w:left="380"/>
              <w:spacing w:after="0" w:line="201" w:lineRule="exact"/>
              <w:rPr>
                <w:sz w:val="20"/>
                <w:szCs w:val="20"/>
                <w:color w:val="auto"/>
              </w:rPr>
            </w:pPr>
            <w:r>
              <w:rPr>
                <w:rFonts w:ascii="Arial" w:cs="Arial" w:eastAsia="Arial" w:hAnsi="Arial"/>
                <w:sz w:val="18"/>
                <w:szCs w:val="18"/>
                <w:color w:val="auto"/>
              </w:rPr>
              <w:t>CRISPR-CAS COMPONENT SYSTEMS,</w:t>
            </w:r>
          </w:p>
        </w:tc>
        <w:tc>
          <w:tcPr>
            <w:tcW w:w="4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360" w:type="dxa"/>
            <w:vAlign w:val="bottom"/>
          </w:tcPr>
          <w:p>
            <w:pPr>
              <w:ind w:left="380"/>
              <w:spacing w:after="0"/>
              <w:rPr>
                <w:sz w:val="20"/>
                <w:szCs w:val="20"/>
                <w:color w:val="auto"/>
              </w:rPr>
            </w:pPr>
            <w:r>
              <w:rPr>
                <w:rFonts w:ascii="Arial" w:cs="Arial" w:eastAsia="Arial" w:hAnsi="Arial"/>
                <w:sz w:val="18"/>
                <w:szCs w:val="18"/>
                <w:color w:val="auto"/>
              </w:rPr>
              <w:t>METHODS AND COMPOSITIONS FOR</w:t>
            </w:r>
          </w:p>
        </w:tc>
        <w:tc>
          <w:tcPr>
            <w:tcW w:w="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360" w:type="dxa"/>
            <w:vAlign w:val="bottom"/>
          </w:tcPr>
          <w:p>
            <w:pPr>
              <w:ind w:left="380"/>
              <w:spacing w:after="0"/>
              <w:rPr>
                <w:sz w:val="20"/>
                <w:szCs w:val="20"/>
                <w:color w:val="auto"/>
              </w:rPr>
            </w:pPr>
            <w:r>
              <w:rPr>
                <w:rFonts w:ascii="Arial" w:cs="Arial" w:eastAsia="Arial" w:hAnsi="Arial"/>
                <w:sz w:val="18"/>
                <w:szCs w:val="18"/>
                <w:color w:val="auto"/>
              </w:rPr>
              <w:t>SEQUENCE MANIPULATION</w:t>
            </w:r>
          </w:p>
        </w:tc>
        <w:tc>
          <w:tcPr>
            <w:tcW w:w="40" w:type="dxa"/>
            <w:vAlign w:val="bottom"/>
          </w:tcPr>
          <w:p>
            <w:pPr>
              <w:spacing w:after="0"/>
              <w:rPr>
                <w:sz w:val="20"/>
                <w:szCs w:val="20"/>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40"/>
              <w:spacing w:after="0"/>
              <w:rPr>
                <w:sz w:val="20"/>
                <w:szCs w:val="20"/>
                <w:color w:val="auto"/>
              </w:rPr>
            </w:pPr>
            <w:r>
              <w:rPr>
                <w:rFonts w:ascii="Arial" w:cs="Arial" w:eastAsia="Arial" w:hAnsi="Arial"/>
                <w:sz w:val="18"/>
                <w:szCs w:val="18"/>
                <w:color w:val="auto"/>
              </w:rPr>
              <w:t>[**]</w:t>
            </w:r>
          </w:p>
        </w:tc>
        <w:tc>
          <w:tcPr>
            <w:tcW w:w="4360" w:type="dxa"/>
            <w:vAlign w:val="bottom"/>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40"/>
              <w:spacing w:after="0"/>
              <w:rPr>
                <w:sz w:val="20"/>
                <w:szCs w:val="20"/>
                <w:color w:val="auto"/>
              </w:rPr>
            </w:pPr>
            <w:r>
              <w:rPr>
                <w:rFonts w:ascii="Arial" w:cs="Arial" w:eastAsia="Arial" w:hAnsi="Arial"/>
                <w:sz w:val="18"/>
                <w:szCs w:val="18"/>
                <w:color w:val="auto"/>
              </w:rPr>
              <w:t>[**]</w:t>
            </w:r>
          </w:p>
        </w:tc>
        <w:tc>
          <w:tcPr>
            <w:tcW w:w="4360" w:type="dxa"/>
            <w:vAlign w:val="bottom"/>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40"/>
              <w:spacing w:after="0"/>
              <w:rPr>
                <w:sz w:val="20"/>
                <w:szCs w:val="20"/>
                <w:color w:val="auto"/>
              </w:rPr>
            </w:pPr>
            <w:r>
              <w:rPr>
                <w:rFonts w:ascii="Arial" w:cs="Arial" w:eastAsia="Arial" w:hAnsi="Arial"/>
                <w:sz w:val="18"/>
                <w:szCs w:val="18"/>
                <w:color w:val="auto"/>
              </w:rPr>
              <w:t>[**]</w:t>
            </w:r>
          </w:p>
        </w:tc>
        <w:tc>
          <w:tcPr>
            <w:tcW w:w="4360" w:type="dxa"/>
            <w:vAlign w:val="bottom"/>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40"/>
              <w:spacing w:after="0"/>
              <w:rPr>
                <w:sz w:val="20"/>
                <w:szCs w:val="20"/>
                <w:color w:val="auto"/>
              </w:rPr>
            </w:pPr>
            <w:r>
              <w:rPr>
                <w:rFonts w:ascii="Arial" w:cs="Arial" w:eastAsia="Arial" w:hAnsi="Arial"/>
                <w:sz w:val="18"/>
                <w:szCs w:val="18"/>
                <w:color w:val="auto"/>
              </w:rPr>
              <w:t>[**]</w:t>
            </w:r>
          </w:p>
        </w:tc>
        <w:tc>
          <w:tcPr>
            <w:tcW w:w="4360" w:type="dxa"/>
            <w:vAlign w:val="bottom"/>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40"/>
              <w:spacing w:after="0"/>
              <w:rPr>
                <w:sz w:val="20"/>
                <w:szCs w:val="20"/>
                <w:color w:val="auto"/>
              </w:rPr>
            </w:pPr>
            <w:r>
              <w:rPr>
                <w:rFonts w:ascii="Arial" w:cs="Arial" w:eastAsia="Arial" w:hAnsi="Arial"/>
                <w:sz w:val="18"/>
                <w:szCs w:val="18"/>
                <w:color w:val="auto"/>
              </w:rPr>
              <w:t>[**]</w:t>
            </w:r>
          </w:p>
        </w:tc>
        <w:tc>
          <w:tcPr>
            <w:tcW w:w="4360" w:type="dxa"/>
            <w:vAlign w:val="bottom"/>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40"/>
              <w:spacing w:after="0"/>
              <w:rPr>
                <w:sz w:val="20"/>
                <w:szCs w:val="20"/>
                <w:color w:val="auto"/>
              </w:rPr>
            </w:pPr>
            <w:r>
              <w:rPr>
                <w:rFonts w:ascii="Arial" w:cs="Arial" w:eastAsia="Arial" w:hAnsi="Arial"/>
                <w:sz w:val="18"/>
                <w:szCs w:val="18"/>
                <w:color w:val="auto"/>
              </w:rPr>
              <w:t>[**]</w:t>
            </w:r>
          </w:p>
        </w:tc>
        <w:tc>
          <w:tcPr>
            <w:tcW w:w="4360" w:type="dxa"/>
            <w:vAlign w:val="bottom"/>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40"/>
              <w:spacing w:after="0"/>
              <w:rPr>
                <w:sz w:val="20"/>
                <w:szCs w:val="20"/>
                <w:color w:val="auto"/>
              </w:rPr>
            </w:pPr>
            <w:r>
              <w:rPr>
                <w:rFonts w:ascii="Arial" w:cs="Arial" w:eastAsia="Arial" w:hAnsi="Arial"/>
                <w:sz w:val="18"/>
                <w:szCs w:val="18"/>
                <w:color w:val="auto"/>
              </w:rPr>
              <w:t>[**]</w:t>
            </w:r>
          </w:p>
        </w:tc>
        <w:tc>
          <w:tcPr>
            <w:tcW w:w="4360" w:type="dxa"/>
            <w:vAlign w:val="bottom"/>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40"/>
              <w:spacing w:after="0"/>
              <w:rPr>
                <w:sz w:val="20"/>
                <w:szCs w:val="20"/>
                <w:color w:val="auto"/>
              </w:rPr>
            </w:pPr>
            <w:r>
              <w:rPr>
                <w:rFonts w:ascii="Arial" w:cs="Arial" w:eastAsia="Arial" w:hAnsi="Arial"/>
                <w:sz w:val="18"/>
                <w:szCs w:val="18"/>
                <w:color w:val="auto"/>
              </w:rPr>
              <w:t>[**]</w:t>
            </w:r>
          </w:p>
        </w:tc>
        <w:tc>
          <w:tcPr>
            <w:tcW w:w="4360" w:type="dxa"/>
            <w:vAlign w:val="bottom"/>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348"/>
        </w:trPr>
        <w:tc>
          <w:tcPr>
            <w:tcW w:w="9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64"/>
        </w:trPr>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9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-474980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-474980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333" w:name="page334"/>
    <w:bookmarkEnd w:id="33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2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2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2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900" w:type="dxa"/>
            <w:vAlign w:val="bottom"/>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60" w:type="dxa"/>
            <w:vAlign w:val="bottom"/>
          </w:tcPr>
          <w:p>
            <w:pPr>
              <w:ind w:left="560"/>
              <w:spacing w:after="0" w:line="201" w:lineRule="exact"/>
              <w:rPr>
                <w:sz w:val="20"/>
                <w:szCs w:val="20"/>
                <w:color w:val="auto"/>
              </w:rPr>
            </w:pPr>
            <w:r>
              <w:rPr>
                <w:rFonts w:ascii="Arial" w:cs="Arial" w:eastAsia="Arial" w:hAnsi="Arial"/>
                <w:sz w:val="18"/>
                <w:szCs w:val="18"/>
                <w:color w:val="auto"/>
              </w:rPr>
              <w:t>14/222,930</w:t>
            </w:r>
          </w:p>
        </w:tc>
        <w:tc>
          <w:tcPr>
            <w:tcW w:w="1500" w:type="dxa"/>
            <w:vAlign w:val="bottom"/>
          </w:tcPr>
          <w:p>
            <w:pPr>
              <w:ind w:left="320"/>
              <w:spacing w:after="0" w:line="201" w:lineRule="exact"/>
              <w:rPr>
                <w:sz w:val="20"/>
                <w:szCs w:val="20"/>
                <w:color w:val="auto"/>
              </w:rPr>
            </w:pPr>
            <w:r>
              <w:rPr>
                <w:rFonts w:ascii="Arial" w:cs="Arial" w:eastAsia="Arial" w:hAnsi="Arial"/>
                <w:sz w:val="18"/>
                <w:szCs w:val="18"/>
                <w:color w:val="auto"/>
              </w:rPr>
              <w:t>24-Mar-14</w:t>
            </w:r>
          </w:p>
        </w:tc>
        <w:tc>
          <w:tcPr>
            <w:tcW w:w="4340" w:type="dxa"/>
            <w:vAlign w:val="bottom"/>
          </w:tcPr>
          <w:p>
            <w:pPr>
              <w:ind w:left="360"/>
              <w:spacing w:after="0" w:line="201" w:lineRule="exact"/>
              <w:rPr>
                <w:sz w:val="20"/>
                <w:szCs w:val="20"/>
                <w:color w:val="auto"/>
              </w:rPr>
            </w:pPr>
            <w:r>
              <w:rPr>
                <w:rFonts w:ascii="Arial" w:cs="Arial" w:eastAsia="Arial" w:hAnsi="Arial"/>
                <w:sz w:val="18"/>
                <w:szCs w:val="18"/>
                <w:color w:val="auto"/>
              </w:rPr>
              <w:t>ENGINEERING AND OPTIMIZATION OF</w:t>
            </w:r>
          </w:p>
        </w:tc>
        <w:tc>
          <w:tcPr>
            <w:tcW w:w="4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IMPROVED SYSTEMS, METHODS AND</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ENZYME COMPOSITIONS FOR SEQUENCE</w:t>
            </w:r>
          </w:p>
        </w:tc>
        <w:tc>
          <w:tcPr>
            <w:tcW w:w="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MANIPULATION</w:t>
            </w:r>
          </w:p>
        </w:tc>
        <w:tc>
          <w:tcPr>
            <w:tcW w:w="40" w:type="dxa"/>
            <w:vAlign w:val="bottom"/>
          </w:tcPr>
          <w:p>
            <w:pPr>
              <w:spacing w:after="0"/>
              <w:rPr>
                <w:sz w:val="20"/>
                <w:szCs w:val="20"/>
                <w:color w:val="auto"/>
              </w:rPr>
            </w:pPr>
          </w:p>
        </w:tc>
      </w:tr>
      <w:tr>
        <w:trPr>
          <w:trHeight w:val="202"/>
        </w:trPr>
        <w:tc>
          <w:tcPr>
            <w:tcW w:w="900" w:type="dxa"/>
            <w:vAlign w:val="bottom"/>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14/293,498</w:t>
            </w:r>
          </w:p>
        </w:tc>
        <w:tc>
          <w:tcPr>
            <w:tcW w:w="1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2-Jun-14</w:t>
            </w:r>
          </w:p>
        </w:tc>
        <w:tc>
          <w:tcPr>
            <w:tcW w:w="4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ENGINEERING AND OPTIMIZATION OF</w:t>
            </w:r>
          </w:p>
        </w:tc>
        <w:tc>
          <w:tcPr>
            <w:tcW w:w="40" w:type="dxa"/>
            <w:vAlign w:val="bottom"/>
          </w:tcPr>
          <w:p>
            <w:pPr>
              <w:spacing w:after="0"/>
              <w:rPr>
                <w:sz w:val="17"/>
                <w:szCs w:val="17"/>
                <w:color w:val="auto"/>
              </w:rPr>
            </w:pPr>
          </w:p>
        </w:tc>
      </w:tr>
      <w:tr>
        <w:trPr>
          <w:trHeight w:val="216"/>
        </w:trPr>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IMPROVED SYSTEMS, METHODS AND</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ENZYME COMPOSITIONS FOR SEQUENCE</w:t>
            </w:r>
          </w:p>
        </w:tc>
        <w:tc>
          <w:tcPr>
            <w:tcW w:w="40" w:type="dxa"/>
            <w:vAlign w:val="bottom"/>
          </w:tcPr>
          <w:p>
            <w:pPr>
              <w:spacing w:after="0"/>
              <w:rPr>
                <w:sz w:val="18"/>
                <w:szCs w:val="18"/>
                <w:color w:val="auto"/>
              </w:rPr>
            </w:pPr>
          </w:p>
        </w:tc>
      </w:tr>
      <w:tr>
        <w:trPr>
          <w:trHeight w:val="230"/>
        </w:trPr>
        <w:tc>
          <w:tcPr>
            <w:tcW w:w="9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MANIPULATION</w:t>
            </w:r>
          </w:p>
        </w:tc>
        <w:tc>
          <w:tcPr>
            <w:tcW w:w="40" w:type="dxa"/>
            <w:vAlign w:val="bottom"/>
          </w:tcPr>
          <w:p>
            <w:pPr>
              <w:spacing w:after="0"/>
              <w:rPr>
                <w:sz w:val="20"/>
                <w:szCs w:val="20"/>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2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2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900" w:type="dxa"/>
            <w:vAlign w:val="bottom"/>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14/105,017</w:t>
            </w:r>
          </w:p>
        </w:tc>
        <w:tc>
          <w:tcPr>
            <w:tcW w:w="1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12-Dec-13</w:t>
            </w:r>
          </w:p>
        </w:tc>
        <w:tc>
          <w:tcPr>
            <w:tcW w:w="4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ENGINEERING AND OPTIMIZATION OF</w:t>
            </w:r>
          </w:p>
        </w:tc>
        <w:tc>
          <w:tcPr>
            <w:tcW w:w="40" w:type="dxa"/>
            <w:vAlign w:val="bottom"/>
          </w:tcPr>
          <w:p>
            <w:pPr>
              <w:spacing w:after="0"/>
              <w:rPr>
                <w:sz w:val="17"/>
                <w:szCs w:val="17"/>
                <w:color w:val="auto"/>
              </w:rPr>
            </w:pPr>
          </w:p>
        </w:tc>
      </w:tr>
      <w:tr>
        <w:trPr>
          <w:trHeight w:val="216"/>
        </w:trPr>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SYSTEMS, METHODS AND COMPOSITIONS FOR</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SEQUENCE MANIPULATION WITH</w:t>
            </w:r>
          </w:p>
        </w:tc>
        <w:tc>
          <w:tcPr>
            <w:tcW w:w="40" w:type="dxa"/>
            <w:vAlign w:val="bottom"/>
          </w:tcPr>
          <w:p>
            <w:pPr>
              <w:spacing w:after="0"/>
              <w:rPr>
                <w:sz w:val="18"/>
                <w:szCs w:val="18"/>
                <w:color w:val="auto"/>
              </w:rPr>
            </w:pPr>
          </w:p>
        </w:tc>
      </w:tr>
      <w:tr>
        <w:trPr>
          <w:trHeight w:val="230"/>
        </w:trPr>
        <w:tc>
          <w:tcPr>
            <w:tcW w:w="9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FUNCTIONAL DOMAINS</w:t>
            </w:r>
          </w:p>
        </w:tc>
        <w:tc>
          <w:tcPr>
            <w:tcW w:w="40" w:type="dxa"/>
            <w:vAlign w:val="bottom"/>
          </w:tcPr>
          <w:p>
            <w:pPr>
              <w:spacing w:after="0"/>
              <w:rPr>
                <w:sz w:val="20"/>
                <w:szCs w:val="20"/>
                <w:color w:val="auto"/>
              </w:rPr>
            </w:pPr>
          </w:p>
        </w:tc>
      </w:tr>
      <w:tr>
        <w:trPr>
          <w:trHeight w:val="202"/>
        </w:trPr>
        <w:tc>
          <w:tcPr>
            <w:tcW w:w="900" w:type="dxa"/>
            <w:vAlign w:val="bottom"/>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60" w:type="dxa"/>
            <w:vAlign w:val="bottom"/>
          </w:tcPr>
          <w:p>
            <w:pPr>
              <w:ind w:left="560"/>
              <w:spacing w:after="0" w:line="201" w:lineRule="exact"/>
              <w:rPr>
                <w:sz w:val="20"/>
                <w:szCs w:val="20"/>
                <w:color w:val="auto"/>
              </w:rPr>
            </w:pPr>
            <w:r>
              <w:rPr>
                <w:rFonts w:ascii="Arial" w:cs="Arial" w:eastAsia="Arial" w:hAnsi="Arial"/>
                <w:sz w:val="18"/>
                <w:szCs w:val="18"/>
                <w:color w:val="auto"/>
              </w:rPr>
              <w:t>14/226,274</w:t>
            </w:r>
          </w:p>
        </w:tc>
        <w:tc>
          <w:tcPr>
            <w:tcW w:w="1500" w:type="dxa"/>
            <w:vAlign w:val="bottom"/>
          </w:tcPr>
          <w:p>
            <w:pPr>
              <w:ind w:left="320"/>
              <w:spacing w:after="0" w:line="201" w:lineRule="exact"/>
              <w:rPr>
                <w:sz w:val="20"/>
                <w:szCs w:val="20"/>
                <w:color w:val="auto"/>
              </w:rPr>
            </w:pPr>
            <w:r>
              <w:rPr>
                <w:rFonts w:ascii="Arial" w:cs="Arial" w:eastAsia="Arial" w:hAnsi="Arial"/>
                <w:sz w:val="18"/>
                <w:szCs w:val="18"/>
                <w:color w:val="auto"/>
              </w:rPr>
              <w:t>26-Mar-14</w:t>
            </w:r>
          </w:p>
        </w:tc>
        <w:tc>
          <w:tcPr>
            <w:tcW w:w="4340" w:type="dxa"/>
            <w:vAlign w:val="bottom"/>
          </w:tcPr>
          <w:p>
            <w:pPr>
              <w:ind w:left="360"/>
              <w:spacing w:after="0" w:line="201" w:lineRule="exact"/>
              <w:rPr>
                <w:sz w:val="20"/>
                <w:szCs w:val="20"/>
                <w:color w:val="auto"/>
              </w:rPr>
            </w:pPr>
            <w:r>
              <w:rPr>
                <w:rFonts w:ascii="Arial" w:cs="Arial" w:eastAsia="Arial" w:hAnsi="Arial"/>
                <w:sz w:val="18"/>
                <w:szCs w:val="18"/>
                <w:color w:val="auto"/>
              </w:rPr>
              <w:t>ENGINEERING AND OPTIMIZATION OF</w:t>
            </w:r>
          </w:p>
        </w:tc>
        <w:tc>
          <w:tcPr>
            <w:tcW w:w="4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w w:val="94"/>
              </w:rPr>
              <w:t>SYSTEMS, METHODS AND COMPOSITIONS FOR</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SEQUENCE MANIPULATION WITH</w:t>
            </w:r>
          </w:p>
        </w:tc>
        <w:tc>
          <w:tcPr>
            <w:tcW w:w="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FUNCTIONAL DOMAINS</w:t>
            </w:r>
          </w:p>
        </w:tc>
        <w:tc>
          <w:tcPr>
            <w:tcW w:w="40" w:type="dxa"/>
            <w:vAlign w:val="bottom"/>
          </w:tcPr>
          <w:p>
            <w:pPr>
              <w:spacing w:after="0"/>
              <w:rPr>
                <w:sz w:val="20"/>
                <w:szCs w:val="20"/>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900" w:type="dxa"/>
            <w:vAlign w:val="bottom"/>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60" w:type="dxa"/>
            <w:vAlign w:val="bottom"/>
          </w:tcPr>
          <w:p>
            <w:pPr>
              <w:ind w:left="560"/>
              <w:spacing w:after="0" w:line="201" w:lineRule="exact"/>
              <w:rPr>
                <w:sz w:val="20"/>
                <w:szCs w:val="20"/>
                <w:color w:val="auto"/>
              </w:rPr>
            </w:pPr>
            <w:r>
              <w:rPr>
                <w:rFonts w:ascii="Arial" w:cs="Arial" w:eastAsia="Arial" w:hAnsi="Arial"/>
                <w:sz w:val="18"/>
                <w:szCs w:val="18"/>
                <w:color w:val="auto"/>
              </w:rPr>
              <w:t>13818570.7</w:t>
            </w:r>
          </w:p>
        </w:tc>
        <w:tc>
          <w:tcPr>
            <w:tcW w:w="1500" w:type="dxa"/>
            <w:vAlign w:val="bottom"/>
          </w:tcPr>
          <w:p>
            <w:pPr>
              <w:ind w:left="320"/>
              <w:spacing w:after="0" w:line="201" w:lineRule="exact"/>
              <w:rPr>
                <w:sz w:val="20"/>
                <w:szCs w:val="20"/>
                <w:color w:val="auto"/>
              </w:rPr>
            </w:pPr>
            <w:r>
              <w:rPr>
                <w:rFonts w:ascii="Arial" w:cs="Arial" w:eastAsia="Arial" w:hAnsi="Arial"/>
                <w:sz w:val="18"/>
                <w:szCs w:val="18"/>
                <w:color w:val="auto"/>
              </w:rPr>
              <w:t>27-May-14</w:t>
            </w:r>
          </w:p>
        </w:tc>
        <w:tc>
          <w:tcPr>
            <w:tcW w:w="4340" w:type="dxa"/>
            <w:vAlign w:val="bottom"/>
          </w:tcPr>
          <w:p>
            <w:pPr>
              <w:ind w:left="360"/>
              <w:spacing w:after="0" w:line="201" w:lineRule="exact"/>
              <w:rPr>
                <w:sz w:val="20"/>
                <w:szCs w:val="20"/>
                <w:color w:val="auto"/>
              </w:rPr>
            </w:pPr>
            <w:r>
              <w:rPr>
                <w:rFonts w:ascii="Arial" w:cs="Arial" w:eastAsia="Arial" w:hAnsi="Arial"/>
                <w:sz w:val="18"/>
                <w:szCs w:val="18"/>
                <w:color w:val="auto"/>
              </w:rPr>
              <w:t>ENGINEERING OF SYSTEMS, METHODS AND</w:t>
            </w:r>
          </w:p>
        </w:tc>
        <w:tc>
          <w:tcPr>
            <w:tcW w:w="4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OPTIMIZED GUIDE COMPOSITIONS FOR</w:t>
            </w:r>
          </w:p>
        </w:tc>
        <w:tc>
          <w:tcPr>
            <w:tcW w:w="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SEQUENCE MANIPULATION</w:t>
            </w:r>
          </w:p>
        </w:tc>
        <w:tc>
          <w:tcPr>
            <w:tcW w:w="40" w:type="dxa"/>
            <w:vAlign w:val="bottom"/>
          </w:tcPr>
          <w:p>
            <w:pPr>
              <w:spacing w:after="0"/>
              <w:rPr>
                <w:sz w:val="20"/>
                <w:szCs w:val="20"/>
                <w:color w:val="auto"/>
              </w:rPr>
            </w:pPr>
          </w:p>
        </w:tc>
      </w:tr>
      <w:tr>
        <w:trPr>
          <w:trHeight w:val="202"/>
        </w:trPr>
        <w:tc>
          <w:tcPr>
            <w:tcW w:w="900" w:type="dxa"/>
            <w:vAlign w:val="bottom"/>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14170383.5</w:t>
            </w:r>
          </w:p>
        </w:tc>
        <w:tc>
          <w:tcPr>
            <w:tcW w:w="1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28-May-14</w:t>
            </w:r>
          </w:p>
        </w:tc>
        <w:tc>
          <w:tcPr>
            <w:tcW w:w="4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ENGINEERING OF SYSTEMS, METHODS AND</w:t>
            </w:r>
          </w:p>
        </w:tc>
        <w:tc>
          <w:tcPr>
            <w:tcW w:w="40" w:type="dxa"/>
            <w:vAlign w:val="bottom"/>
          </w:tcPr>
          <w:p>
            <w:pPr>
              <w:spacing w:after="0"/>
              <w:rPr>
                <w:sz w:val="17"/>
                <w:szCs w:val="17"/>
                <w:color w:val="auto"/>
              </w:rPr>
            </w:pPr>
          </w:p>
        </w:tc>
      </w:tr>
      <w:tr>
        <w:trPr>
          <w:trHeight w:val="216"/>
        </w:trPr>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OPTIMIZED GUIDE COMPOSITIONS FOR</w:t>
            </w:r>
          </w:p>
        </w:tc>
        <w:tc>
          <w:tcPr>
            <w:tcW w:w="40" w:type="dxa"/>
            <w:vAlign w:val="bottom"/>
          </w:tcPr>
          <w:p>
            <w:pPr>
              <w:spacing w:after="0"/>
              <w:rPr>
                <w:sz w:val="18"/>
                <w:szCs w:val="18"/>
                <w:color w:val="auto"/>
              </w:rPr>
            </w:pPr>
          </w:p>
        </w:tc>
      </w:tr>
      <w:tr>
        <w:trPr>
          <w:trHeight w:val="230"/>
        </w:trPr>
        <w:tc>
          <w:tcPr>
            <w:tcW w:w="9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SEQUENCE MANIPULATION</w:t>
            </w:r>
          </w:p>
        </w:tc>
        <w:tc>
          <w:tcPr>
            <w:tcW w:w="40" w:type="dxa"/>
            <w:vAlign w:val="bottom"/>
          </w:tcPr>
          <w:p>
            <w:pPr>
              <w:spacing w:after="0"/>
              <w:rPr>
                <w:sz w:val="20"/>
                <w:szCs w:val="20"/>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6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tcPr>
          <w:p>
            <w:pPr>
              <w:ind w:left="32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900" w:type="dxa"/>
            <w:vAlign w:val="bottom"/>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line="201"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14/104,990</w:t>
            </w:r>
          </w:p>
        </w:tc>
        <w:tc>
          <w:tcPr>
            <w:tcW w:w="1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12-Dec-13</w:t>
            </w:r>
          </w:p>
        </w:tc>
        <w:tc>
          <w:tcPr>
            <w:tcW w:w="4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ENGINEERING OF SYSTEMS, METHODS AND</w:t>
            </w:r>
          </w:p>
        </w:tc>
        <w:tc>
          <w:tcPr>
            <w:tcW w:w="40" w:type="dxa"/>
            <w:vAlign w:val="bottom"/>
          </w:tcPr>
          <w:p>
            <w:pPr>
              <w:spacing w:after="0"/>
              <w:rPr>
                <w:sz w:val="17"/>
                <w:szCs w:val="17"/>
                <w:color w:val="auto"/>
              </w:rPr>
            </w:pPr>
          </w:p>
        </w:tc>
      </w:tr>
      <w:tr>
        <w:trPr>
          <w:trHeight w:val="216"/>
        </w:trPr>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OPTIMIZED GUIDE COMPOSITIONS FOR</w:t>
            </w:r>
          </w:p>
        </w:tc>
        <w:tc>
          <w:tcPr>
            <w:tcW w:w="40" w:type="dxa"/>
            <w:vAlign w:val="bottom"/>
          </w:tcPr>
          <w:p>
            <w:pPr>
              <w:spacing w:after="0"/>
              <w:rPr>
                <w:sz w:val="18"/>
                <w:szCs w:val="18"/>
                <w:color w:val="auto"/>
              </w:rPr>
            </w:pPr>
          </w:p>
        </w:tc>
      </w:tr>
      <w:tr>
        <w:trPr>
          <w:trHeight w:val="230"/>
        </w:trPr>
        <w:tc>
          <w:tcPr>
            <w:tcW w:w="9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SEQUENCE MANIPULATION</w:t>
            </w:r>
          </w:p>
        </w:tc>
        <w:tc>
          <w:tcPr>
            <w:tcW w:w="40" w:type="dxa"/>
            <w:vAlign w:val="bottom"/>
          </w:tcPr>
          <w:p>
            <w:pPr>
              <w:spacing w:after="0"/>
              <w:rPr>
                <w:sz w:val="20"/>
                <w:szCs w:val="20"/>
                <w:color w:val="auto"/>
              </w:rPr>
            </w:pPr>
          </w:p>
        </w:tc>
      </w:tr>
      <w:tr>
        <w:trPr>
          <w:trHeight w:val="348"/>
        </w:trPr>
        <w:tc>
          <w:tcPr>
            <w:tcW w:w="9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14/290,575</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29-May-14</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ENGINEERING OF SYSTEMS, METHODS AND</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OPTIMIZED GUIDE COMPOSITIONS FOR</w:t>
            </w:r>
          </w:p>
        </w:tc>
        <w:tc>
          <w:tcPr>
            <w:tcW w:w="40" w:type="dxa"/>
            <w:vAlign w:val="bottom"/>
          </w:tcPr>
          <w:p>
            <w:pPr>
              <w:spacing w:after="0"/>
              <w:rPr>
                <w:sz w:val="18"/>
                <w:szCs w:val="18"/>
                <w:color w:val="auto"/>
              </w:rPr>
            </w:pPr>
          </w:p>
        </w:tc>
      </w:tr>
      <w:tr>
        <w:trPr>
          <w:trHeight w:val="230"/>
        </w:trPr>
        <w:tc>
          <w:tcPr>
            <w:tcW w:w="9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SEQUENCE MANIPULATION</w:t>
            </w:r>
          </w:p>
        </w:tc>
        <w:tc>
          <w:tcPr>
            <w:tcW w:w="40" w:type="dxa"/>
            <w:vAlign w:val="bottom"/>
          </w:tcPr>
          <w:p>
            <w:pPr>
              <w:spacing w:after="0"/>
              <w:rPr>
                <w:sz w:val="20"/>
                <w:szCs w:val="20"/>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ind w:left="340"/>
              <w:spacing w:after="0"/>
              <w:rPr>
                <w:sz w:val="20"/>
                <w:szCs w:val="20"/>
                <w:color w:val="auto"/>
              </w:rPr>
            </w:pPr>
            <w:r>
              <w:rPr>
                <w:rFonts w:ascii="Arial" w:cs="Arial" w:eastAsia="Arial" w:hAnsi="Arial"/>
                <w:sz w:val="18"/>
                <w:szCs w:val="18"/>
                <w:color w:val="auto"/>
              </w:rPr>
              <w:t>[**]</w:t>
            </w:r>
          </w:p>
        </w:tc>
        <w:tc>
          <w:tcPr>
            <w:tcW w:w="4340" w:type="dxa"/>
            <w:vAlign w:val="bottom"/>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334"/>
        </w:trPr>
        <w:tc>
          <w:tcPr>
            <w:tcW w:w="9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600" w:type="dxa"/>
            <w:vAlign w:val="bottom"/>
            <w:shd w:val="clear" w:color="auto" w:fill="CCEEFF"/>
          </w:tcPr>
          <w:p>
            <w:pPr>
              <w:jc w:val="right"/>
              <w:ind w:right="359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600" w:type="dxa"/>
            <w:vAlign w:val="bottom"/>
          </w:tcPr>
          <w:p>
            <w:pPr>
              <w:jc w:val="right"/>
              <w:ind w:right="359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600" w:type="dxa"/>
            <w:vAlign w:val="bottom"/>
            <w:shd w:val="clear" w:color="auto" w:fill="CCEEFF"/>
          </w:tcPr>
          <w:p>
            <w:pPr>
              <w:jc w:val="right"/>
              <w:ind w:right="3590"/>
              <w:spacing w:after="0"/>
              <w:rPr>
                <w:sz w:val="20"/>
                <w:szCs w:val="20"/>
                <w:color w:val="auto"/>
              </w:rPr>
            </w:pPr>
            <w:r>
              <w:rPr>
                <w:rFonts w:ascii="Arial" w:cs="Arial" w:eastAsia="Arial" w:hAnsi="Arial"/>
                <w:sz w:val="18"/>
                <w:szCs w:val="18"/>
                <w:color w:val="auto"/>
              </w:rPr>
              <w:t>[**]</w:t>
            </w:r>
          </w:p>
        </w:tc>
      </w:tr>
    </w:tbl>
    <w:p>
      <w:pPr>
        <w:sectPr>
          <w:pgSz w:w="11900" w:h="16897" w:orient="portrait"/>
          <w:cols w:equalWidth="0" w:num="1">
            <w:col w:w="11460"/>
          </w:cols>
          <w:pgMar w:left="240" w:top="140" w:right="199" w:bottom="0" w:gutter="0" w:footer="0" w:header="0"/>
        </w:sectPr>
      </w:pPr>
    </w:p>
    <w:bookmarkStart w:id="334" w:name="page335"/>
    <w:bookmarkEnd w:id="334"/>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600" w:type="dxa"/>
            <w:vAlign w:val="bottom"/>
          </w:tcPr>
          <w:p>
            <w:pPr>
              <w:jc w:val="right"/>
              <w:ind w:right="35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9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600" w:type="dxa"/>
            <w:vAlign w:val="bottom"/>
            <w:shd w:val="clear" w:color="auto" w:fill="CCEEFF"/>
          </w:tcPr>
          <w:p>
            <w:pPr>
              <w:jc w:val="right"/>
              <w:ind w:right="35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348"/>
        </w:trPr>
        <w:tc>
          <w:tcPr>
            <w:tcW w:w="9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1.105 — Patent Rights Categories (Harvard-Controlled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Harvard</w:t>
            </w:r>
          </w:p>
        </w:tc>
        <w:tc>
          <w:tcPr>
            <w:tcW w:w="1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Country</w:t>
            </w:r>
          </w:p>
        </w:tc>
        <w:tc>
          <w:tcPr>
            <w:tcW w:w="1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Serial Number</w:t>
            </w: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Filing Date</w:t>
            </w:r>
          </w:p>
        </w:tc>
        <w:tc>
          <w:tcPr>
            <w:tcW w:w="1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Application Title</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Patent Rights Category</w:t>
            </w:r>
          </w:p>
        </w:tc>
        <w:tc>
          <w:tcPr>
            <w:tcW w:w="0" w:type="dxa"/>
            <w:vAlign w:val="bottom"/>
          </w:tcPr>
          <w:p>
            <w:pPr>
              <w:spacing w:after="0"/>
              <w:rPr>
                <w:sz w:val="1"/>
                <w:szCs w:val="1"/>
                <w:color w:val="auto"/>
              </w:rPr>
            </w:pPr>
          </w:p>
        </w:tc>
      </w:tr>
      <w:tr>
        <w:trPr>
          <w:trHeight w:val="171"/>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Case</w:t>
            </w:r>
          </w:p>
        </w:tc>
        <w:tc>
          <w:tcPr>
            <w:tcW w:w="194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0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4 pages were 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120" w:type="dxa"/>
            <w:vAlign w:val="bottom"/>
            <w:gridSpan w:val="3"/>
          </w:tcPr>
          <w:p>
            <w:pPr>
              <w:jc w:val="right"/>
              <w:ind w:right="5204"/>
              <w:spacing w:after="0"/>
              <w:rPr>
                <w:sz w:val="20"/>
                <w:szCs w:val="20"/>
                <w:color w:val="auto"/>
              </w:rPr>
            </w:pPr>
            <w:r>
              <w:rPr>
                <w:rFonts w:ascii="Arial" w:cs="Arial" w:eastAsia="Arial" w:hAnsi="Arial"/>
                <w:sz w:val="18"/>
                <w:szCs w:val="18"/>
                <w:b w:val="1"/>
                <w:bCs w:val="1"/>
                <w:color w:val="auto"/>
              </w:rPr>
              <w:t>Exhibit 3.1</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120" w:type="dxa"/>
            <w:vAlign w:val="bottom"/>
            <w:gridSpan w:val="3"/>
          </w:tcPr>
          <w:p>
            <w:pPr>
              <w:jc w:val="right"/>
              <w:ind w:right="4684"/>
              <w:spacing w:after="0"/>
              <w:rPr>
                <w:sz w:val="20"/>
                <w:szCs w:val="20"/>
                <w:color w:val="auto"/>
              </w:rPr>
            </w:pPr>
            <w:r>
              <w:rPr>
                <w:rFonts w:ascii="Arial" w:cs="Arial" w:eastAsia="Arial" w:hAnsi="Arial"/>
                <w:sz w:val="18"/>
                <w:szCs w:val="18"/>
                <w:b w:val="1"/>
                <w:bCs w:val="1"/>
                <w:color w:val="auto"/>
              </w:rPr>
              <w:t>Development Milestones</w:t>
            </w:r>
          </w:p>
        </w:tc>
        <w:tc>
          <w:tcPr>
            <w:tcW w:w="0" w:type="dxa"/>
            <w:vAlign w:val="bottom"/>
          </w:tcPr>
          <w:p>
            <w:pPr>
              <w:spacing w:after="0"/>
              <w:rPr>
                <w:sz w:val="1"/>
                <w:szCs w:val="1"/>
                <w:color w:val="auto"/>
              </w:rPr>
            </w:pPr>
          </w:p>
        </w:tc>
      </w:tr>
      <w:tr>
        <w:trPr>
          <w:trHeight w:val="432"/>
        </w:trPr>
        <w:tc>
          <w:tcPr>
            <w:tcW w:w="4300" w:type="dxa"/>
            <w:vAlign w:val="bottom"/>
            <w:gridSpan w:val="5"/>
          </w:tcPr>
          <w:p>
            <w:pPr>
              <w:spacing w:after="0"/>
              <w:rPr>
                <w:sz w:val="20"/>
                <w:szCs w:val="20"/>
                <w:color w:val="auto"/>
              </w:rPr>
            </w:pPr>
            <w:r>
              <w:rPr>
                <w:rFonts w:ascii="Arial" w:cs="Arial" w:eastAsia="Arial" w:hAnsi="Arial"/>
                <w:sz w:val="18"/>
                <w:szCs w:val="18"/>
                <w:color w:val="auto"/>
              </w:rPr>
              <w:t>For the purposes of this Exhibit 3.1, [**].</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300" w:type="dxa"/>
            <w:vAlign w:val="bottom"/>
            <w:gridSpan w:val="5"/>
          </w:tcPr>
          <w:p>
            <w:pPr>
              <w:ind w:left="660"/>
              <w:spacing w:after="0"/>
              <w:rPr>
                <w:sz w:val="20"/>
                <w:szCs w:val="20"/>
                <w:color w:val="auto"/>
              </w:rPr>
            </w:pPr>
            <w:r>
              <w:rPr>
                <w:rFonts w:ascii="Arial" w:cs="Arial" w:eastAsia="Arial" w:hAnsi="Arial"/>
                <w:sz w:val="18"/>
                <w:szCs w:val="18"/>
                <w:b w:val="1"/>
                <w:bCs w:val="1"/>
                <w:color w:val="auto"/>
              </w:rPr>
              <w:t>A. Biopharma Partnering</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Years from Effective Date within which</w:t>
            </w:r>
          </w:p>
        </w:tc>
        <w:tc>
          <w:tcPr>
            <w:tcW w:w="0" w:type="dxa"/>
            <w:vAlign w:val="bottom"/>
          </w:tcPr>
          <w:p>
            <w:pPr>
              <w:spacing w:after="0" w:line="20" w:lineRule="exact"/>
              <w:rPr>
                <w:sz w:val="1"/>
                <w:szCs w:val="1"/>
                <w:color w:val="auto"/>
              </w:rPr>
            </w:pPr>
          </w:p>
        </w:tc>
      </w:tr>
      <w:tr>
        <w:trPr>
          <w:trHeight w:val="362"/>
        </w:trPr>
        <w:tc>
          <w:tcPr>
            <w:tcW w:w="4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Development Milestone</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gridSpan w:val="5"/>
            <w:vMerge w:val="continue"/>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achieve Development Milestone</w:t>
            </w:r>
          </w:p>
        </w:tc>
        <w:tc>
          <w:tcPr>
            <w:tcW w:w="0" w:type="dxa"/>
            <w:vAlign w:val="bottom"/>
          </w:tcPr>
          <w:p>
            <w:pPr>
              <w:spacing w:after="0"/>
              <w:rPr>
                <w:sz w:val="1"/>
                <w:szCs w:val="1"/>
                <w:color w:val="auto"/>
              </w:rPr>
            </w:pPr>
          </w:p>
        </w:tc>
      </w:tr>
      <w:tr>
        <w:trPr>
          <w:trHeight w:val="210"/>
        </w:trPr>
        <w:tc>
          <w:tcPr>
            <w:tcW w:w="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jc w:val="right"/>
              <w:ind w:right="52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300" w:type="dxa"/>
            <w:vAlign w:val="bottom"/>
            <w:gridSpan w:val="5"/>
          </w:tcPr>
          <w:p>
            <w:pPr>
              <w:ind w:left="660"/>
              <w:spacing w:after="0"/>
              <w:rPr>
                <w:sz w:val="20"/>
                <w:szCs w:val="20"/>
                <w:color w:val="auto"/>
              </w:rPr>
            </w:pPr>
            <w:r>
              <w:rPr>
                <w:rFonts w:ascii="Arial" w:cs="Arial" w:eastAsia="Arial" w:hAnsi="Arial"/>
                <w:sz w:val="18"/>
                <w:szCs w:val="18"/>
                <w:b w:val="1"/>
                <w:bCs w:val="1"/>
                <w:color w:val="auto"/>
              </w:rPr>
              <w:t>B. First Licensed Product in the Field</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Years from Effective Date within which</w:t>
            </w:r>
          </w:p>
        </w:tc>
        <w:tc>
          <w:tcPr>
            <w:tcW w:w="0" w:type="dxa"/>
            <w:vAlign w:val="bottom"/>
          </w:tcPr>
          <w:p>
            <w:pPr>
              <w:spacing w:after="0" w:line="20" w:lineRule="exact"/>
              <w:rPr>
                <w:sz w:val="1"/>
                <w:szCs w:val="1"/>
                <w:color w:val="auto"/>
              </w:rPr>
            </w:pPr>
          </w:p>
        </w:tc>
      </w:tr>
      <w:tr>
        <w:trPr>
          <w:trHeight w:val="362"/>
        </w:trPr>
        <w:tc>
          <w:tcPr>
            <w:tcW w:w="4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Development Milestone</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gridSpan w:val="5"/>
            <w:vMerge w:val="continue"/>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achieve Development Milestone</w:t>
            </w:r>
          </w:p>
        </w:tc>
        <w:tc>
          <w:tcPr>
            <w:tcW w:w="0" w:type="dxa"/>
            <w:vAlign w:val="bottom"/>
          </w:tcPr>
          <w:p>
            <w:pPr>
              <w:spacing w:after="0"/>
              <w:rPr>
                <w:sz w:val="1"/>
                <w:szCs w:val="1"/>
                <w:color w:val="auto"/>
              </w:rPr>
            </w:pPr>
          </w:p>
        </w:tc>
      </w:tr>
      <w:tr>
        <w:trPr>
          <w:trHeight w:val="210"/>
        </w:trPr>
        <w:tc>
          <w:tcPr>
            <w:tcW w:w="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jc w:val="right"/>
              <w:ind w:right="52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120" w:type="dxa"/>
            <w:vAlign w:val="bottom"/>
            <w:gridSpan w:val="3"/>
          </w:tcPr>
          <w:p>
            <w:pPr>
              <w:jc w:val="right"/>
              <w:ind w:right="52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4300" w:type="dxa"/>
            <w:vAlign w:val="bottom"/>
            <w:gridSpan w:val="5"/>
          </w:tcPr>
          <w:p>
            <w:pPr>
              <w:ind w:left="660"/>
              <w:spacing w:after="0"/>
              <w:rPr>
                <w:sz w:val="20"/>
                <w:szCs w:val="20"/>
                <w:color w:val="auto"/>
              </w:rPr>
            </w:pPr>
            <w:r>
              <w:rPr>
                <w:rFonts w:ascii="Arial" w:cs="Arial" w:eastAsia="Arial" w:hAnsi="Arial"/>
                <w:sz w:val="18"/>
                <w:szCs w:val="18"/>
                <w:b w:val="1"/>
                <w:bCs w:val="1"/>
                <w:color w:val="auto"/>
              </w:rPr>
              <w:t>C. Second Licensed Product in the Field*</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Years from Effective Date within which</w:t>
            </w:r>
          </w:p>
        </w:tc>
        <w:tc>
          <w:tcPr>
            <w:tcW w:w="0" w:type="dxa"/>
            <w:vAlign w:val="bottom"/>
          </w:tcPr>
          <w:p>
            <w:pPr>
              <w:spacing w:after="0" w:line="20" w:lineRule="exact"/>
              <w:rPr>
                <w:sz w:val="1"/>
                <w:szCs w:val="1"/>
                <w:color w:val="auto"/>
              </w:rPr>
            </w:pPr>
          </w:p>
        </w:tc>
      </w:tr>
      <w:tr>
        <w:trPr>
          <w:trHeight w:val="362"/>
        </w:trPr>
        <w:tc>
          <w:tcPr>
            <w:tcW w:w="4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Development Milestone</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300" w:type="dxa"/>
            <w:vAlign w:val="bottom"/>
            <w:gridSpan w:val="5"/>
            <w:vMerge w:val="continue"/>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0"/>
              </w:rPr>
              <w:t>to achieve Development Milestone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77" w:orient="portrait"/>
          <w:cols w:equalWidth="0" w:num="1">
            <w:col w:w="11460"/>
          </w:cols>
          <w:pgMar w:left="240" w:top="126" w:right="199" w:bottom="0" w:gutter="0" w:footer="0" w:header="0"/>
        </w:sectPr>
      </w:pPr>
    </w:p>
    <w:p>
      <w:pPr>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right"/>
        <w:ind w:right="130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u w:val="single" w:color="auto"/>
          <w:color w:val="auto"/>
        </w:rPr>
        <w:t>Third Licensed Product in the Field</w:t>
      </w:r>
      <w:r>
        <w:rPr>
          <w:rFonts w:ascii="Arial" w:cs="Arial" w:eastAsia="Arial" w:hAnsi="Arial"/>
          <w:sz w:val="18"/>
          <w:szCs w:val="18"/>
          <w:b w:val="1"/>
          <w:bCs w:val="1"/>
          <w:color w:val="auto"/>
        </w:rPr>
        <w:t>**</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Development Milestone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Years from Effective Date within which</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to achieve Development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-3175</wp:posOffset>
            </wp:positionV>
            <wp:extent cx="7246620" cy="1460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ectPr>
          <w:pgSz w:w="11900" w:h="16877" w:orient="portrait"/>
          <w:cols w:equalWidth="0" w:num="2">
            <w:col w:w="5100" w:space="720"/>
            <w:col w:w="5640"/>
          </w:cols>
          <w:pgMar w:left="240" w:top="126" w:right="199" w:bottom="0" w:gutter="0" w:footer="0" w:header="0"/>
          <w:type w:val="continuous"/>
        </w:sectPr>
      </w:pPr>
    </w:p>
    <w:p>
      <w:pPr>
        <w:spacing w:after="0"/>
        <w:tabs>
          <w:tab w:leader="none" w:pos="5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Development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Confidnetial Materials omitted and filed separately with the Securities and Exchange Commission. A total of 6 pages were 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11.1.4</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Redacted Agreement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Redactions Indicated by “[***]”</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LICENSE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License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this 29th day of October, 2014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on the one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hand, President and Fellows of Harvard College, an educational and charitable corporation existing under the laws and the constitution of the Commonwealth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Massachusetts, having a place of business at Smith Campus Center, Suite 727, 1350 Massachusetts Avenue, Cambridge, Massachusetts 02138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Harvard</w:t>
      </w:r>
      <w:r>
        <w:rPr>
          <w:rFonts w:ascii="Arial" w:cs="Arial" w:eastAsia="Arial" w:hAnsi="Arial"/>
          <w:sz w:val="17"/>
          <w:szCs w:val="17"/>
          <w:color w:val="auto"/>
        </w:rPr>
        <w:t>”) and the Broad Institute, Inc., a non-profit Massachusetts corporation, with a principal office at 415 Main Street, Cambridge, MA 02142</w:t>
      </w:r>
    </w:p>
    <w:p>
      <w:pPr>
        <w:sectPr>
          <w:pgSz w:w="11900" w:h="16877" w:orient="portrait"/>
          <w:cols w:equalWidth="0" w:num="1">
            <w:col w:w="11460"/>
          </w:cols>
          <w:pgMar w:left="240" w:top="126" w:right="199" w:bottom="0" w:gutter="0" w:footer="0" w:header="0"/>
          <w:type w:val="continuous"/>
        </w:sectPr>
      </w:pPr>
    </w:p>
    <w:bookmarkStart w:id="335" w:name="page336"/>
    <w:bookmarkEnd w:id="335"/>
    <w:p>
      <w:pPr>
        <w:ind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Broad</w:t>
      </w:r>
      <w:r>
        <w:rPr>
          <w:rFonts w:ascii="Arial" w:cs="Arial" w:eastAsia="Arial" w:hAnsi="Arial"/>
          <w:sz w:val="18"/>
          <w:szCs w:val="18"/>
          <w:color w:val="auto"/>
        </w:rPr>
        <w:t>,” together with Harvard, the “</w:t>
      </w:r>
      <w:r>
        <w:rPr>
          <w:rFonts w:ascii="Arial" w:cs="Arial" w:eastAsia="Arial" w:hAnsi="Arial"/>
          <w:sz w:val="18"/>
          <w:szCs w:val="18"/>
          <w:b w:val="1"/>
          <w:bCs w:val="1"/>
          <w:color w:val="auto"/>
        </w:rPr>
        <w:t>Institutions</w:t>
      </w:r>
      <w:r>
        <w:rPr>
          <w:rFonts w:ascii="Arial" w:cs="Arial" w:eastAsia="Arial" w:hAnsi="Arial"/>
          <w:sz w:val="18"/>
          <w:szCs w:val="18"/>
          <w:color w:val="auto"/>
        </w:rPr>
        <w:t>” and each individually, an “</w:t>
      </w:r>
      <w:r>
        <w:rPr>
          <w:rFonts w:ascii="Arial" w:cs="Arial" w:eastAsia="Arial" w:hAnsi="Arial"/>
          <w:sz w:val="18"/>
          <w:szCs w:val="18"/>
          <w:b w:val="1"/>
          <w:bCs w:val="1"/>
          <w:color w:val="auto"/>
        </w:rPr>
        <w:t>Institution</w:t>
      </w:r>
      <w:r>
        <w:rPr>
          <w:rFonts w:ascii="Arial" w:cs="Arial" w:eastAsia="Arial" w:hAnsi="Arial"/>
          <w:sz w:val="18"/>
          <w:szCs w:val="18"/>
          <w:color w:val="auto"/>
        </w:rPr>
        <w:t>”) and, on the other hand, Editas Medicine, Inc., a Delaware corporation, with a principal office at 300 Third Street, First Floor, Cambridge, Massachusetts 02142 (“</w:t>
      </w:r>
      <w:r>
        <w:rPr>
          <w:rFonts w:ascii="Arial" w:cs="Arial" w:eastAsia="Arial" w:hAnsi="Arial"/>
          <w:sz w:val="18"/>
          <w:szCs w:val="18"/>
          <w:b w:val="1"/>
          <w:bCs w:val="1"/>
          <w:color w:val="auto"/>
        </w:rPr>
        <w:t>Company</w:t>
      </w:r>
      <w:r>
        <w:rPr>
          <w:rFonts w:ascii="Arial" w:cs="Arial" w:eastAsia="Arial" w:hAnsi="Arial"/>
          <w:sz w:val="18"/>
          <w:szCs w:val="18"/>
          <w:color w:val="auto"/>
        </w:rPr>
        <w:t>”). Company and Institutions are each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technology claimed in the Patent Rights (as defined below) was discovered by researchers at the Institutions;</w:t>
      </w:r>
    </w:p>
    <w:p>
      <w:pPr>
        <w:spacing w:after="0" w:line="225"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one or more of such researchers is an employee of the Howard Hughes Medical Institute (“</w:t>
      </w:r>
      <w:r>
        <w:rPr>
          <w:rFonts w:ascii="Arial" w:cs="Arial" w:eastAsia="Arial" w:hAnsi="Arial"/>
          <w:sz w:val="18"/>
          <w:szCs w:val="18"/>
          <w:b w:val="1"/>
          <w:bCs w:val="1"/>
          <w:color w:val="auto"/>
        </w:rPr>
        <w:t>HHMI</w:t>
      </w:r>
      <w:r>
        <w:rPr>
          <w:rFonts w:ascii="Arial" w:cs="Arial" w:eastAsia="Arial" w:hAnsi="Arial"/>
          <w:sz w:val="18"/>
          <w:szCs w:val="18"/>
          <w:color w:val="auto"/>
        </w:rPr>
        <w:t>”) and HHMI has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Harvard its rights in those Patent Rights on which an HHMI employee is an inventor, subject to certain rights retained by HHMI as specifically described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Harvard is a sole owner of certain of the Patent Rights, identified as “Harvard-Controlled Patents” on the attached Exhibit 1.104;</w:t>
      </w:r>
    </w:p>
    <w:p>
      <w:pPr>
        <w:spacing w:after="0" w:line="237"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Massachusetts Institute of Technology (hereinafter “</w:t>
      </w:r>
      <w:r>
        <w:rPr>
          <w:rFonts w:ascii="Arial" w:cs="Arial" w:eastAsia="Arial" w:hAnsi="Arial"/>
          <w:sz w:val="18"/>
          <w:szCs w:val="18"/>
          <w:b w:val="1"/>
          <w:bCs w:val="1"/>
          <w:color w:val="auto"/>
        </w:rPr>
        <w:t>MIT</w:t>
      </w:r>
      <w:r>
        <w:rPr>
          <w:rFonts w:ascii="Arial" w:cs="Arial" w:eastAsia="Arial" w:hAnsi="Arial"/>
          <w:sz w:val="18"/>
          <w:szCs w:val="18"/>
          <w:color w:val="auto"/>
        </w:rPr>
        <w:t>,” a not-for-profit Massachusetts Corporation with a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77 Massachusetts Avenue, Cambridge, Massachusetts 02139) and Broad are co-owners of certain of the Patent Rights (the “</w:t>
      </w:r>
      <w:r>
        <w:rPr>
          <w:rFonts w:ascii="Arial" w:cs="Arial" w:eastAsia="Arial" w:hAnsi="Arial"/>
          <w:sz w:val="18"/>
          <w:szCs w:val="18"/>
          <w:b w:val="1"/>
          <w:bCs w:val="1"/>
          <w:color w:val="auto"/>
        </w:rPr>
        <w:t>MIT/Broad Co-Owned Patent Rights</w:t>
      </w:r>
      <w:r>
        <w:rPr>
          <w:rFonts w:ascii="Arial" w:cs="Arial" w:eastAsia="Arial" w:hAnsi="Arial"/>
          <w:sz w:val="18"/>
          <w:szCs w:val="18"/>
          <w:color w:val="auto"/>
        </w:rPr>
        <w:t>”);</w:t>
      </w:r>
    </w:p>
    <w:p>
      <w:pPr>
        <w:spacing w:after="0" w:line="176"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Harvard, MIT and Broad are co-owners of certain of the Patent Rights (the “</w:t>
      </w:r>
      <w:r>
        <w:rPr>
          <w:rFonts w:ascii="Arial" w:cs="Arial" w:eastAsia="Arial" w:hAnsi="Arial"/>
          <w:sz w:val="18"/>
          <w:szCs w:val="18"/>
          <w:b w:val="1"/>
          <w:bCs w:val="1"/>
          <w:color w:val="auto"/>
        </w:rPr>
        <w:t>Harvard/MIT/Broad Co-Owned Patent Rights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together with the MIT/Broad Co-Owned Patent Rights as “Broad-Controlled Patents” on the attached Exhibit 1.104);</w:t>
      </w:r>
    </w:p>
    <w:p>
      <w:pPr>
        <w:spacing w:after="0" w:line="16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that certain Operating Agreement by and among Broad, MIT and Harvard dated July 1, 2009, MIT and Harvard have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Broad to act as their sole and exclusive agent for the purposes of licensing, as applicable, the MIT/Broad Co-Owned Patent Rights and the Harvard/MIT/Broad Co-Owned Patent Rights, and MIT and Harvard have authorized Broad to enter into this Agreement on their behalf with respect to such Patent Rights;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Company wishes to obtain a license under the Patent Rights;</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Institutions and MIT desire to have products based on the inventions described in the Patent Rights developed and commercialized to</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the public; and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Company has represented to Institutions, in order to induce Institutions to enter into this Agreement, that Company shall commit itself</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development and commercialization of such products so that public utilization shall result.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intending to be legally bound, hereby agree as follows:</w:t>
      </w:r>
    </w:p>
    <w:p>
      <w:pPr>
        <w:spacing w:after="0" w:line="225"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Whenever used in this Agreement with an initial capital letter, the terms defined in this Article 1, whether used in the singular or the plural, shall have the meanings specified below.</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“Abandoned Patent Rights” </w:t>
      </w:r>
      <w:r>
        <w:rPr>
          <w:rFonts w:ascii="Arial" w:cs="Arial" w:eastAsia="Arial" w:hAnsi="Arial"/>
          <w:sz w:val="16"/>
          <w:szCs w:val="16"/>
          <w:color w:val="auto"/>
        </w:rPr>
        <w:t>has the meaning set forth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“Additional National Stage Filings” </w:t>
      </w:r>
      <w:r>
        <w:rPr>
          <w:rFonts w:ascii="Arial" w:cs="Arial" w:eastAsia="Arial" w:hAnsi="Arial"/>
          <w:sz w:val="16"/>
          <w:szCs w:val="16"/>
          <w:color w:val="auto"/>
        </w:rPr>
        <w:t>has the meaning set forth in Section 6.1.5.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1.5. “Affiliate” </w:t>
      </w:r>
      <w:r>
        <w:rPr>
          <w:rFonts w:ascii="Arial" w:cs="Arial" w:eastAsia="Arial" w:hAnsi="Arial"/>
          <w:sz w:val="16"/>
          <w:szCs w:val="16"/>
          <w:color w:val="auto"/>
        </w:rPr>
        <w:t>means, as to any Person, any other Person that controls, is controlled by, or is under common control with, such Person.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this definition only, “control” and, with correlative meanings, the terms “controlled by” and “under common control with” means the possession, directly or indirectly, of the power to direct the management or policies of an organization or entity, whether through the ownership of voting securities or by contract relating to voting rights or corporate governance, or otherwise. Without limiting the foregoing, control shall be presumed to exist when a Person</w:t>
      </w:r>
    </w:p>
    <w:p>
      <w:pPr>
        <w:spacing w:after="0" w:line="3" w:lineRule="exact"/>
        <w:rPr>
          <w:sz w:val="20"/>
          <w:szCs w:val="20"/>
          <w:color w:val="auto"/>
        </w:rPr>
      </w:pPr>
    </w:p>
    <w:p>
      <w:pPr>
        <w:ind w:right="140" w:firstLine="8"/>
        <w:spacing w:after="0" w:line="290" w:lineRule="auto"/>
        <w:tabs>
          <w:tab w:leader="none" w:pos="24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owns or directly controls more than fifty percent (50%) of the voting securities or other ownership interest of another Person or (b) possesses, directly or indirectly, the power to elect or appoint more than fifty percent (50%) of the members of the governing body of the other Person.</w:t>
      </w:r>
    </w:p>
    <w:p>
      <w:pPr>
        <w:spacing w:after="0" w:line="158"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1.6. “Ag Product” </w:t>
      </w:r>
      <w:r>
        <w:rPr>
          <w:rFonts w:ascii="Arial" w:cs="Arial" w:eastAsia="Arial" w:hAnsi="Arial"/>
          <w:sz w:val="18"/>
          <w:szCs w:val="18"/>
          <w:color w:val="auto"/>
        </w:rPr>
        <w:t>means any product comprising a plant, plant tissue or plant seed, including any organism in the microbiome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with such plant, plant tissue or plant seed, that is used for agricultural purposes.</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1.7. “Ag Regulatory Authority” </w:t>
      </w:r>
      <w:r>
        <w:rPr>
          <w:rFonts w:ascii="Arial" w:cs="Arial" w:eastAsia="Arial" w:hAnsi="Arial"/>
          <w:sz w:val="18"/>
          <w:szCs w:val="18"/>
          <w:color w:val="auto"/>
        </w:rPr>
        <w:t>means the United States Environmental Protection Agency, United States Department of Agriculture,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agency, and any foreign governmental equivalent, having the authority over the regulation and/or commercialization of plants and agricultural products.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 xml:space="preserve">“Bankruptcy Event” </w:t>
      </w:r>
      <w:r>
        <w:rPr>
          <w:rFonts w:ascii="Arial" w:cs="Arial" w:eastAsia="Arial" w:hAnsi="Arial"/>
          <w:sz w:val="16"/>
          <w:szCs w:val="16"/>
          <w:color w:val="auto"/>
        </w:rPr>
        <w:t>means, with respect to any Person, any of the following:</w:t>
      </w:r>
    </w:p>
    <w:p>
      <w:pPr>
        <w:spacing w:after="0" w:line="229" w:lineRule="exact"/>
        <w:rPr>
          <w:sz w:val="20"/>
          <w:szCs w:val="20"/>
          <w:color w:val="auto"/>
        </w:rPr>
      </w:pPr>
    </w:p>
    <w:p>
      <w:pPr>
        <w:ind w:firstLine="1305"/>
        <w:spacing w:after="0" w:line="277" w:lineRule="auto"/>
        <w:tabs>
          <w:tab w:leader="none" w:pos="194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such Person shall commence a voluntary case or other proceeding seeking liquidation, reorganization or other relief with respect to itself or its debts under any bankruptcy,</w:t>
      </w:r>
    </w:p>
    <w:p>
      <w:pPr>
        <w:sectPr>
          <w:pgSz w:w="11900" w:h="16838" w:orient="portrait"/>
          <w:cols w:equalWidth="0" w:num="1">
            <w:col w:w="11380"/>
          </w:cols>
          <w:pgMar w:left="240" w:top="121" w:right="279" w:bottom="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type w:val="continuous"/>
        </w:sectPr>
      </w:pPr>
    </w:p>
    <w:bookmarkStart w:id="336" w:name="page337"/>
    <w:bookmarkEnd w:id="336"/>
    <w:p>
      <w:pPr>
        <w:ind w:right="80"/>
        <w:spacing w:after="0" w:line="263" w:lineRule="auto"/>
        <w:rPr>
          <w:sz w:val="20"/>
          <w:szCs w:val="20"/>
          <w:color w:val="auto"/>
        </w:rPr>
      </w:pPr>
      <w:r>
        <w:rPr>
          <w:rFonts w:ascii="Arial" w:cs="Arial" w:eastAsia="Arial" w:hAnsi="Arial"/>
          <w:sz w:val="18"/>
          <w:szCs w:val="18"/>
          <w:color w:val="auto"/>
        </w:rPr>
        <w:t xml:space="preserve">insolvency or other similar law now or hereafter in effect or seeking the appointment of a trustee, receiver, liquidator, custodian or other similar official of it or any substantial part of its property, </w:t>
      </w:r>
      <w:r>
        <w:rPr>
          <w:rFonts w:ascii="Arial" w:cs="Arial" w:eastAsia="Arial" w:hAnsi="Arial"/>
          <w:sz w:val="17"/>
          <w:szCs w:val="17"/>
          <w:color w:val="auto"/>
        </w:rPr>
        <w:t>or shall consent to any such relief or to the appointment of or taking possession by any such official in an involuntary case</w:t>
      </w:r>
      <w:r>
        <w:rPr>
          <w:rFonts w:ascii="Arial" w:cs="Arial" w:eastAsia="Arial" w:hAnsi="Arial"/>
          <w:sz w:val="18"/>
          <w:szCs w:val="18"/>
          <w:color w:val="auto"/>
        </w:rPr>
        <w:t xml:space="preserve"> </w:t>
      </w:r>
      <w:r>
        <w:rPr>
          <w:rFonts w:ascii="Arial" w:cs="Arial" w:eastAsia="Arial" w:hAnsi="Arial"/>
          <w:sz w:val="17"/>
          <w:szCs w:val="17"/>
          <w:color w:val="auto"/>
        </w:rPr>
        <w:t>or other proceeding commenced against it, or shall make a general assignment for the benefit of creditors, or shall fail generally to pay its debts as they become due, or shall take any corporate action to authorize any of the foregoing;</w:t>
      </w:r>
    </w:p>
    <w:p>
      <w:pPr>
        <w:spacing w:after="0" w:line="186" w:lineRule="exact"/>
        <w:rPr>
          <w:sz w:val="20"/>
          <w:szCs w:val="20"/>
          <w:color w:val="auto"/>
        </w:rPr>
      </w:pPr>
    </w:p>
    <w:p>
      <w:pPr>
        <w:ind w:right="20" w:firstLine="1305"/>
        <w:spacing w:after="0" w:line="257" w:lineRule="auto"/>
        <w:tabs>
          <w:tab w:leader="none" w:pos="195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 involuntary case or other proceeding shall be commenced against such Person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 days; or an order for relief shall be entered against such Person under the federal bankruptcy laws as now or hereafter in effect; or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 receiver or trustee shall be appointed with respect to such Person or all or substantially all of the assets of such Person.</w:t>
      </w:r>
    </w:p>
    <w:p>
      <w:pPr>
        <w:spacing w:after="0" w:line="23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1.11. “Bona Fide Proposal” </w:t>
      </w:r>
      <w:r>
        <w:rPr>
          <w:rFonts w:ascii="Arial" w:cs="Arial" w:eastAsia="Arial" w:hAnsi="Arial"/>
          <w:sz w:val="17"/>
          <w:szCs w:val="17"/>
          <w:color w:val="auto"/>
        </w:rPr>
        <w:t>means a proposal by a Proposing Party for the research, development and commercialization of a Proposed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A Bona Fide Proposal shall include, at a minimum, (a) a research, development and commercialization plan (including Development Milestones) for a Proposed Product, which must be commercially reasonable and reasonably satisfactory to Institutions, including evidence that the Proposing Party has, or reasonably expects to have, access to any intellectual property (other than the intellectual property that would be the subject of any Proposed Product License), that would be necessary to research, develop and commercialize such product and has, or reasonably expects to have, funding available to advance such plan, and (b) evidence that the Proposing Party has commenced, or would commence within [**] days after the date of a Proposed Product License, research, development or commercialization of such product under such plan.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“Breach Inventions” </w:t>
      </w:r>
      <w:r>
        <w:rPr>
          <w:rFonts w:ascii="Arial" w:cs="Arial" w:eastAsia="Arial" w:hAnsi="Arial"/>
          <w:sz w:val="16"/>
          <w:szCs w:val="16"/>
          <w:color w:val="auto"/>
        </w:rPr>
        <w:t>has the meaning set forth in Section 2.7.3.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 xml:space="preserve">“Broad”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 xml:space="preserve">“Broad Confidential Information” </w:t>
      </w:r>
      <w:r>
        <w:rPr>
          <w:rFonts w:ascii="Arial" w:cs="Arial" w:eastAsia="Arial" w:hAnsi="Arial"/>
          <w:sz w:val="16"/>
          <w:szCs w:val="16"/>
          <w:color w:val="auto"/>
        </w:rPr>
        <w:t>has the meaning set forth in Section 11.1.1.</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1.15. “Calendar Quarter” </w:t>
      </w:r>
      <w:r>
        <w:rPr>
          <w:rFonts w:ascii="Arial" w:cs="Arial" w:eastAsia="Arial" w:hAnsi="Arial"/>
          <w:sz w:val="18"/>
          <w:szCs w:val="18"/>
          <w:color w:val="auto"/>
        </w:rPr>
        <w:t>means each of the periods of three (3) consecutive calendar months ending on March 31, June 30, September 30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during the Term.</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 xml:space="preserve">“Calendar Year” </w:t>
      </w:r>
      <w:r>
        <w:rPr>
          <w:rFonts w:ascii="Arial" w:cs="Arial" w:eastAsia="Arial" w:hAnsi="Arial"/>
          <w:sz w:val="16"/>
          <w:szCs w:val="16"/>
          <w:color w:val="auto"/>
        </w:rPr>
        <w:t>means any twelve (12) month period commencing on January 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1.17.</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 xml:space="preserve">“Category Termination Notice” </w:t>
      </w:r>
      <w:r>
        <w:rPr>
          <w:rFonts w:ascii="Arial" w:cs="Arial" w:eastAsia="Arial" w:hAnsi="Arial"/>
          <w:sz w:val="16"/>
          <w:szCs w:val="16"/>
          <w:color w:val="auto"/>
        </w:rPr>
        <w:t>has the meaning set forth in Section 3.1.1.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1.19.</w:t>
        <w:tab/>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b w:val="1"/>
          <w:bCs w:val="1"/>
          <w:color w:val="auto"/>
        </w:rPr>
        <w:t xml:space="preserve">1.20. “Change of Control” </w:t>
      </w:r>
      <w:r>
        <w:rPr>
          <w:rFonts w:ascii="Arial" w:cs="Arial" w:eastAsia="Arial" w:hAnsi="Arial"/>
          <w:sz w:val="16"/>
          <w:szCs w:val="16"/>
          <w:color w:val="auto"/>
        </w:rPr>
        <w:t>means, with respect to Company, (a) a merger or consolidation of Company with a third party which results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securities of Company outstanding immediately prior thereto ceasing to represent at least fifty percent (50%) of the combined voting power of the surviving entity immediately after such merger or consolidation, (b) a transaction or series of related transactions in which a third party, together with its Affiliates, becomes the owner of fifty percent (50%) or more of the combined voting power of Company’s outstanding securities other than through issuances by Company of securities of Company in a bona fide financing transaction or series of related bona fide financing transactions, or (c) the sale or other transfer to a third party of all or substantially all of Company’s assets or all or substantially all of Company’s business to which this Agreement relates.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1.21.</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 xml:space="preserve">“Church IP” </w:t>
      </w:r>
      <w:r>
        <w:rPr>
          <w:rFonts w:ascii="Arial" w:cs="Arial" w:eastAsia="Arial" w:hAnsi="Arial"/>
          <w:sz w:val="16"/>
          <w:szCs w:val="16"/>
          <w:color w:val="auto"/>
        </w:rPr>
        <w:t>means the Patent Rights identified in Exhibit 1.104 as Church IP.</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“Claims” </w:t>
      </w:r>
      <w:r>
        <w:rPr>
          <w:rFonts w:ascii="Arial" w:cs="Arial" w:eastAsia="Arial" w:hAnsi="Arial"/>
          <w:sz w:val="16"/>
          <w:szCs w:val="16"/>
          <w:color w:val="auto"/>
        </w:rPr>
        <w:t>has the meaning set forth in Section 9.1.1.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 xml:space="preserve">“Collaboration Agreement” </w:t>
      </w:r>
      <w:r>
        <w:rPr>
          <w:rFonts w:ascii="Arial" w:cs="Arial" w:eastAsia="Arial" w:hAnsi="Arial"/>
          <w:sz w:val="16"/>
          <w:szCs w:val="16"/>
          <w:color w:val="auto"/>
        </w:rPr>
        <w:t>means a license, collaboration, co-development or joint venture agreement between Company and any Third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 xml:space="preserve">“Collaboration Period” </w:t>
      </w:r>
      <w:r>
        <w:rPr>
          <w:rFonts w:ascii="Arial" w:cs="Arial" w:eastAsia="Arial" w:hAnsi="Arial"/>
          <w:sz w:val="16"/>
          <w:szCs w:val="16"/>
          <w:color w:val="auto"/>
        </w:rPr>
        <w:t>has the meaning set forth in Section 2.6.5.5.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 xml:space="preserve">“Collaboration Plan” </w:t>
      </w:r>
      <w:r>
        <w:rPr>
          <w:rFonts w:ascii="Arial" w:cs="Arial" w:eastAsia="Arial" w:hAnsi="Arial"/>
          <w:sz w:val="16"/>
          <w:szCs w:val="16"/>
          <w:color w:val="auto"/>
        </w:rPr>
        <w:t>has the meaning set forth in Section 2.6.3.2(b), as may be amended in accordance therewith.</w:t>
      </w:r>
    </w:p>
    <w:p>
      <w:pPr>
        <w:spacing w:after="0" w:line="225"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b w:val="1"/>
          <w:bCs w:val="1"/>
          <w:color w:val="auto"/>
        </w:rPr>
        <w:t xml:space="preserve">1.27. “Committed Funding” </w:t>
      </w:r>
      <w:r>
        <w:rPr>
          <w:rFonts w:ascii="Arial" w:cs="Arial" w:eastAsia="Arial" w:hAnsi="Arial"/>
          <w:sz w:val="17"/>
          <w:szCs w:val="17"/>
          <w:color w:val="auto"/>
        </w:rPr>
        <w:t>means, with respect to a Target-Based Collaboration, the total amount of funding that has been contractually</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by the Target-Based Collaborator under such Target-Based Collaboration for further research and development by Company on products directed to Gene Targets selected for research and development under such Target-Based Collaboration; provided that, and so long as, such funding is expended in a commercially reasonable manner to advance such research and development on such products.</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 xml:space="preserve">“Company”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 xml:space="preserve">“Company Confidential Information” </w:t>
      </w:r>
      <w:r>
        <w:rPr>
          <w:rFonts w:ascii="Arial" w:cs="Arial" w:eastAsia="Arial" w:hAnsi="Arial"/>
          <w:sz w:val="16"/>
          <w:szCs w:val="16"/>
          <w:color w:val="auto"/>
        </w:rPr>
        <w:t>has the meaning set forth in Section 11.1.1.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1.30.</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has the meaning set forth in Section 11.1.1.</w:t>
      </w:r>
    </w:p>
    <w:p>
      <w:pPr>
        <w:sectPr>
          <w:pgSz w:w="11900" w:h="16838" w:orient="portrait"/>
          <w:cols w:equalWidth="0" w:num="1">
            <w:col w:w="11420"/>
          </w:cols>
          <w:pgMar w:left="240" w:top="584" w:right="239" w:bottom="0" w:gutter="0" w:footer="0" w:header="0"/>
        </w:sectPr>
      </w:pPr>
    </w:p>
    <w:bookmarkStart w:id="337" w:name="page338"/>
    <w:bookmarkEnd w:id="337"/>
    <w:p>
      <w:pPr>
        <w:spacing w:after="0" w:line="10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1.32. “Covered” </w:t>
      </w:r>
      <w:r>
        <w:rPr>
          <w:rFonts w:ascii="Arial" w:cs="Arial" w:eastAsia="Arial" w:hAnsi="Arial"/>
          <w:sz w:val="18"/>
          <w:szCs w:val="18"/>
          <w:color w:val="auto"/>
        </w:rPr>
        <w:t>means, with respect to a given product, process, method or service, that a Valid Claim would (absent a license thereunder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thereof) be infringed by the making, using, selling, offering for sale, importation or other exploitation of such product, process, method or service. With respect to a claim of a pending patent application, “infringed” refers to activity that would infringe or be covered by such Valid Claim if it were contained in an issued patent. Cognates of the word “Covered” shall have correlative meanings.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 xml:space="preserve">“CRISPR Patent Rights” </w:t>
      </w:r>
      <w:r>
        <w:rPr>
          <w:rFonts w:ascii="Arial" w:cs="Arial" w:eastAsia="Arial" w:hAnsi="Arial"/>
          <w:sz w:val="16"/>
          <w:szCs w:val="16"/>
          <w:color w:val="auto"/>
        </w:rPr>
        <w:t>means the Patent Rights identified on Exhibit 1.105 as CRISPR Patent Rights.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1.34.</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 xml:space="preserve">“Current Development Demonstration” </w:t>
      </w:r>
      <w:r>
        <w:rPr>
          <w:rFonts w:ascii="Arial" w:cs="Arial" w:eastAsia="Arial" w:hAnsi="Arial"/>
          <w:sz w:val="16"/>
          <w:szCs w:val="16"/>
          <w:color w:val="auto"/>
        </w:rPr>
        <w:t>has the meaning set forth in Section 2.6.2.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 xml:space="preserve">“Current Plan” </w:t>
      </w:r>
      <w:r>
        <w:rPr>
          <w:rFonts w:ascii="Arial" w:cs="Arial" w:eastAsia="Arial" w:hAnsi="Arial"/>
          <w:sz w:val="16"/>
          <w:szCs w:val="16"/>
          <w:color w:val="auto"/>
        </w:rPr>
        <w:t>has the meaning set forth in Section 2.6.2, as may be amended in accordance therewith.</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 xml:space="preserve">“Delivery Patent Rights” </w:t>
      </w:r>
      <w:r>
        <w:rPr>
          <w:rFonts w:ascii="Arial" w:cs="Arial" w:eastAsia="Arial" w:hAnsi="Arial"/>
          <w:sz w:val="16"/>
          <w:szCs w:val="16"/>
          <w:color w:val="auto"/>
        </w:rPr>
        <w:t>means the Patent Rights identified on Exhibit 1.105 as Delivery Patent Rights.</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1.38. “Developing Country” </w:t>
      </w:r>
      <w:r>
        <w:rPr>
          <w:rFonts w:ascii="Arial" w:cs="Arial" w:eastAsia="Arial" w:hAnsi="Arial"/>
          <w:sz w:val="18"/>
          <w:szCs w:val="18"/>
          <w:color w:val="auto"/>
        </w:rPr>
        <w:t>means any country identified as a Low-income or Lower-middle-income economy in the World Bank “Country and</w:t>
      </w:r>
      <w:r>
        <w:rPr>
          <w:rFonts w:ascii="Arial" w:cs="Arial" w:eastAsia="Arial" w:hAnsi="Arial"/>
          <w:sz w:val="18"/>
          <w:szCs w:val="18"/>
          <w:b w:val="1"/>
          <w:bCs w:val="1"/>
          <w:color w:val="auto"/>
        </w:rPr>
        <w:t xml:space="preserve"> </w:t>
      </w:r>
      <w:r>
        <w:rPr>
          <w:rFonts w:ascii="Arial" w:cs="Arial" w:eastAsia="Arial" w:hAnsi="Arial"/>
          <w:sz w:val="18"/>
          <w:szCs w:val="18"/>
          <w:color w:val="auto"/>
        </w:rPr>
        <w:t>Lending Groups” classification.</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1.39. “Development Milestones” </w:t>
      </w:r>
      <w:r>
        <w:rPr>
          <w:rFonts w:ascii="Arial" w:cs="Arial" w:eastAsia="Arial" w:hAnsi="Arial"/>
          <w:sz w:val="18"/>
          <w:szCs w:val="18"/>
          <w:color w:val="auto"/>
        </w:rPr>
        <w:t>means, with respect to a given product, the diligence milestones for the development and commercialization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product.</w:t>
      </w:r>
    </w:p>
    <w:p>
      <w:pPr>
        <w:spacing w:after="0" w:line="162"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1.40. “Development Plan” </w:t>
      </w:r>
      <w:r>
        <w:rPr>
          <w:rFonts w:ascii="Arial" w:cs="Arial" w:eastAsia="Arial" w:hAnsi="Arial"/>
          <w:sz w:val="18"/>
          <w:szCs w:val="18"/>
          <w:color w:val="auto"/>
        </w:rPr>
        <w:t>means the plan for the development and commercialization of Licensed Products attached hereto as Exhibit 3.2,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plan may be adjusted from time to time pursuant to Section 3.2.</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 xml:space="preserve">“Direct License” </w:t>
      </w:r>
      <w:r>
        <w:rPr>
          <w:rFonts w:ascii="Arial" w:cs="Arial" w:eastAsia="Arial" w:hAnsi="Arial"/>
          <w:sz w:val="16"/>
          <w:szCs w:val="16"/>
          <w:color w:val="auto"/>
        </w:rPr>
        <w:t>has the meaning set forth in Section 10.3.1.2.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 xml:space="preserve">“Dispute” </w:t>
      </w:r>
      <w:r>
        <w:rPr>
          <w:rFonts w:ascii="Arial" w:cs="Arial" w:eastAsia="Arial" w:hAnsi="Arial"/>
          <w:sz w:val="16"/>
          <w:szCs w:val="16"/>
          <w:color w:val="auto"/>
        </w:rPr>
        <w:t>has the meaning set forth in Section 11.7.</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 xml:space="preserve">“Documentation and Approvals” </w:t>
      </w:r>
      <w:r>
        <w:rPr>
          <w:rFonts w:ascii="Arial" w:cs="Arial" w:eastAsia="Arial" w:hAnsi="Arial"/>
          <w:sz w:val="16"/>
          <w:szCs w:val="16"/>
          <w:color w:val="auto"/>
        </w:rPr>
        <w:t>has the meaning set forth in Section 10.3.4.2.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b w:val="1"/>
          <w:bCs w:val="1"/>
          <w:color w:val="auto"/>
        </w:rPr>
        <w:t xml:space="preserve">1.45. “Enabled Product” </w:t>
      </w:r>
      <w:r>
        <w:rPr>
          <w:rFonts w:ascii="Arial" w:cs="Arial" w:eastAsia="Arial" w:hAnsi="Arial"/>
          <w:sz w:val="16"/>
          <w:szCs w:val="16"/>
          <w:color w:val="auto"/>
        </w:rPr>
        <w:t>means any product, other than a Licensed Product, which is or incorporates, or which is made, identified, discovered,</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optimized, characterized, selected, derived from or determined to have utility, in whole or in part, by the use or modification of, (a) any Patent Rights or any technology or invention covered thereby, (b) any Licensed Product or any Institution Technology Transfer Materials, (c) any progeny, modification or derivative of a Licensed Product, or (d) any living or nonliving cell, organism, microorganism (including viruses), plant, plant tissue or plant seed made or modified through use of a Licensed Product or technology covered by the Patent Rights, or any progeny, clone, modification or derivative of such living or nonliving cell, organism, microorganism (including viruses), plant, plant tissue or plant seed; provided, however, that the term “Enabled Product” shall not include any large or small molecule that (i) was identified or discovered using Institution Technology Transfer Materials, a Licensed Product or technology Covered by the Patent Rights and (ii) does not otherwise meet the definition of Enabled Product (i.e., it is identified or discovered using the Institution Technology Transfer Materials, a Licensed Product or technology covered by the Patent Rights but otherwise is not, or does not incorporate, or is not made, developed, optimized, characterized, selected, derived from or determined to have utility,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whole or in part, by the use or modification of the Institution Technology Transfer Materials, a Licensed Product or technology covered by the Patent Rights in a way that would cause it to be included in the definition of Enabled Product).</w:t>
      </w:r>
    </w:p>
    <w:p>
      <w:pPr>
        <w:spacing w:after="0" w:line="166" w:lineRule="exact"/>
        <w:rPr>
          <w:sz w:val="20"/>
          <w:szCs w:val="20"/>
          <w:color w:val="auto"/>
        </w:rPr>
      </w:pPr>
    </w:p>
    <w:p>
      <w:pPr>
        <w:ind w:right="400" w:firstLine="648"/>
        <w:spacing w:after="0" w:line="313" w:lineRule="auto"/>
        <w:rPr>
          <w:sz w:val="20"/>
          <w:szCs w:val="20"/>
          <w:color w:val="auto"/>
        </w:rPr>
      </w:pPr>
      <w:r>
        <w:rPr>
          <w:rFonts w:ascii="Arial" w:cs="Arial" w:eastAsia="Arial" w:hAnsi="Arial"/>
          <w:sz w:val="17"/>
          <w:szCs w:val="17"/>
          <w:b w:val="1"/>
          <w:bCs w:val="1"/>
          <w:color w:val="auto"/>
        </w:rPr>
        <w:t xml:space="preserve">1.46. “Enabled Service” </w:t>
      </w:r>
      <w:r>
        <w:rPr>
          <w:rFonts w:ascii="Arial" w:cs="Arial" w:eastAsia="Arial" w:hAnsi="Arial"/>
          <w:sz w:val="17"/>
          <w:szCs w:val="17"/>
          <w:color w:val="auto"/>
        </w:rPr>
        <w:t>means any process, method or service, other than a Licensed Service, which uses, incorporates, is based upon or is</w:t>
      </w:r>
      <w:r>
        <w:rPr>
          <w:rFonts w:ascii="Arial" w:cs="Arial" w:eastAsia="Arial" w:hAnsi="Arial"/>
          <w:sz w:val="17"/>
          <w:szCs w:val="17"/>
          <w:b w:val="1"/>
          <w:bCs w:val="1"/>
          <w:color w:val="auto"/>
        </w:rPr>
        <w:t xml:space="preserve"> </w:t>
      </w:r>
      <w:r>
        <w:rPr>
          <w:rFonts w:ascii="Arial" w:cs="Arial" w:eastAsia="Arial" w:hAnsi="Arial"/>
          <w:sz w:val="17"/>
          <w:szCs w:val="17"/>
          <w:color w:val="auto"/>
        </w:rPr>
        <w:t>derived from (a) any Patent Rights or any technology or invention covered thereby, or (b) a Licensed Product or Enabled Product.</w:t>
      </w:r>
    </w:p>
    <w:p>
      <w:pPr>
        <w:spacing w:after="0" w:line="13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1.47. “Enrolled” </w:t>
      </w:r>
      <w:r>
        <w:rPr>
          <w:rFonts w:ascii="Arial" w:cs="Arial" w:eastAsia="Arial" w:hAnsi="Arial"/>
          <w:sz w:val="18"/>
          <w:szCs w:val="18"/>
          <w:color w:val="auto"/>
        </w:rPr>
        <w:t>means that a human research subject has met the initial screening criteria for inclusion in a clinical study and has been deemed</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participate in such clinical study, all as provided in the applicable clinical study protocol(s) and statistical analysis plan(s). For clarity, human research subjects that have been screened for inclusion in a clinical study and deemed ineligible based on such the results of screening shall not be deemed to be “Enrolled” for the purposes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 xml:space="preserve">“E.U. Major Market Countries” </w:t>
      </w:r>
      <w:r>
        <w:rPr>
          <w:rFonts w:ascii="Arial" w:cs="Arial" w:eastAsia="Arial" w:hAnsi="Arial"/>
          <w:sz w:val="16"/>
          <w:szCs w:val="16"/>
          <w:color w:val="auto"/>
        </w:rPr>
        <w:t>means the United Kingdom, Germany, Italy, France and Spain.</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1.49. “Event” </w:t>
      </w:r>
      <w:r>
        <w:rPr>
          <w:rFonts w:ascii="Arial" w:cs="Arial" w:eastAsia="Arial" w:hAnsi="Arial"/>
          <w:sz w:val="18"/>
          <w:szCs w:val="18"/>
          <w:color w:val="auto"/>
        </w:rPr>
        <w:t>means each instance of modification, activation, suppression, editing, deletion, transgenic introduction, or other alteration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Gene Target within an Ag Product.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b w:val="1"/>
          <w:bCs w:val="1"/>
          <w:color w:val="auto"/>
        </w:rPr>
        <w:t xml:space="preserve">“Executive Officers” </w:t>
      </w:r>
      <w:r>
        <w:rPr>
          <w:rFonts w:ascii="Arial" w:cs="Arial" w:eastAsia="Arial" w:hAnsi="Arial"/>
          <w:sz w:val="16"/>
          <w:szCs w:val="16"/>
          <w:color w:val="auto"/>
        </w:rPr>
        <w:t>has the meaning set forth in Section 11.7.</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 xml:space="preserve">“FDA” </w:t>
      </w:r>
      <w:r>
        <w:rPr>
          <w:rFonts w:ascii="Arial" w:cs="Arial" w:eastAsia="Arial" w:hAnsi="Arial"/>
          <w:sz w:val="16"/>
          <w:szCs w:val="16"/>
          <w:color w:val="auto"/>
        </w:rPr>
        <w:t>means the United States Food and Drug Administration.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 xml:space="preserve">“Field” </w:t>
      </w:r>
      <w:r>
        <w:rPr>
          <w:rFonts w:ascii="Arial" w:cs="Arial" w:eastAsia="Arial" w:hAnsi="Arial"/>
          <w:sz w:val="16"/>
          <w:szCs w:val="16"/>
          <w:color w:val="auto"/>
        </w:rPr>
        <w:t>means the prevention or treatment of human disease using (i) gene therapy, (ii) editing (including modifying) of Genetic Material or</w:t>
      </w:r>
    </w:p>
    <w:p>
      <w:pPr>
        <w:spacing w:after="0" w:line="27" w:lineRule="exact"/>
        <w:rPr>
          <w:sz w:val="20"/>
          <w:szCs w:val="20"/>
          <w:color w:val="auto"/>
        </w:rPr>
      </w:pPr>
    </w:p>
    <w:p>
      <w:pPr>
        <w:ind w:right="20" w:firstLine="8"/>
        <w:spacing w:after="0" w:line="302" w:lineRule="auto"/>
        <w:tabs>
          <w:tab w:leader="none" w:pos="31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targeting of Genetic Material (including targeting of Genetic Material to modify associated chromatin), either (a) ex vivo for subsequent administration to a human, in the case of the foregoing clause (ii) or (iii) of a product so edited or targeted, or (b) in vivo, by a product administered to a human, in the case of the foregoing clause (ii) or (iii) of a product that so edits or targets; provided that, (I) the Field does not include the prevention or treatment of human disease</w:t>
      </w:r>
    </w:p>
    <w:p>
      <w:pPr>
        <w:sectPr>
          <w:pgSz w:w="11900" w:h="16943" w:orient="portrait"/>
          <w:cols w:equalWidth="0" w:num="1">
            <w:col w:w="11420"/>
          </w:cols>
          <w:pgMar w:left="240" w:top="337" w:right="239" w:bottom="0" w:gutter="0" w:footer="0" w:header="0"/>
        </w:sectPr>
      </w:pPr>
    </w:p>
    <w:bookmarkStart w:id="338" w:name="page339"/>
    <w:bookmarkEnd w:id="338"/>
    <w:p>
      <w:pPr>
        <w:ind w:right="80"/>
        <w:spacing w:after="0" w:line="289" w:lineRule="auto"/>
        <w:rPr>
          <w:sz w:val="20"/>
          <w:szCs w:val="20"/>
          <w:color w:val="auto"/>
        </w:rPr>
      </w:pPr>
      <w:r>
        <w:rPr>
          <w:rFonts w:ascii="Arial" w:cs="Arial" w:eastAsia="Arial" w:hAnsi="Arial"/>
          <w:sz w:val="16"/>
          <w:szCs w:val="16"/>
          <w:color w:val="auto"/>
        </w:rPr>
        <w:t>using a small or large molecule that (A) was identified or discovered using technology Covered by the Patent Rights, (B) is Covered by (x) a Valid Claim of the Patent Rights Covering the identifying or discovering of small or large molecules, and/or (y) a product-by-process or similar Valid Claim of the Patent Rights directed to a small or large molecule so identified or discovered, and (C) is not Covered by any other Valid Claim of the Patent Rights; (II) the Field does not include (A) modifying animals or animal cells for the creation, making, having made, use, sale, offer for sale, having sold, exportation and importation of organs suitable for xenotransplantation into humans or (B) research and development, and commercialization and other use or exploitation, of products or services in the field of Livestock Applications; (III) with respect to the Delivery Patent Rights, the Field only includes targeting of Genetic Material as set forth in clauses (a) and (b) above if such targeting is related to the use of CRISPR, TALE or zinc finger nuclease technology; and (IV) the Field does not include production or processing of small or large molecules, including for the prevention or treatment of human disease, that are made using technology Covered by the Patent Rights, unless such small or large molecules (xx) are used for gene therapy, editing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(including modifying) of Genetic Material or targeting of Genetic Material (including targeting of Genetic Material to modify associated chromatin), in each case as set forth in clauses (a) and (b) above, and provided that with respect to the Delivery Patent Rights such targeting is related to the use of CRISPR, TALE or zinc finger nuclease technology (other than through the making of such small or large molecules), and (yy) are not otherwise excluded from this definition of Field.</w:t>
      </w:r>
    </w:p>
    <w:p>
      <w:pPr>
        <w:spacing w:after="0" w:line="18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1.53. “Field Trial” </w:t>
      </w:r>
      <w:r>
        <w:rPr>
          <w:rFonts w:ascii="Arial" w:cs="Arial" w:eastAsia="Arial" w:hAnsi="Arial"/>
          <w:sz w:val="18"/>
          <w:szCs w:val="18"/>
          <w:color w:val="auto"/>
        </w:rPr>
        <w:t>means a field trial conducted by or on behalf of Company, an Affiliate of Company or a Sublicensee which evaluates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an Ag Product confers or improves the Trait of interest compared to the same or closely related products that do not contain the applicable Event and which occurs after initial laboratory studies of such Ag Product.</w:t>
      </w:r>
    </w:p>
    <w:p>
      <w:pPr>
        <w:spacing w:after="0" w:line="176"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b w:val="1"/>
          <w:bCs w:val="1"/>
          <w:color w:val="auto"/>
        </w:rPr>
        <w:t xml:space="preserve">1.54. “First Commercial Sale” </w:t>
      </w:r>
      <w:r>
        <w:rPr>
          <w:rFonts w:ascii="Arial" w:cs="Arial" w:eastAsia="Arial" w:hAnsi="Arial"/>
          <w:sz w:val="18"/>
          <w:szCs w:val="18"/>
          <w:color w:val="auto"/>
        </w:rPr>
        <w:t>means the date of the first sale by Company, its Affiliate or a Sublicensee of a Licensed Product,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Enabled Product or Enabled Service to a Third Party following receipt of Regulatory Approval in the country in which such Licensed Product, Licensed Service, Enabled Product or Enabled Service is sold, excluding, however, any sale or other distribution for use in a clinical study, charitable purposes or compassionate use or similar limited purposes.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 xml:space="preserve">“Gatekeeper” </w:t>
      </w:r>
      <w:r>
        <w:rPr>
          <w:rFonts w:ascii="Arial" w:cs="Arial" w:eastAsia="Arial" w:hAnsi="Arial"/>
          <w:sz w:val="16"/>
          <w:szCs w:val="16"/>
          <w:color w:val="auto"/>
        </w:rPr>
        <w:t>has the meaning set forth in Section 2.6.5.1.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 xml:space="preserve">“Gatekeeper Inquiry” </w:t>
      </w:r>
      <w:r>
        <w:rPr>
          <w:rFonts w:ascii="Arial" w:cs="Arial" w:eastAsia="Arial" w:hAnsi="Arial"/>
          <w:sz w:val="16"/>
          <w:szCs w:val="16"/>
          <w:color w:val="auto"/>
        </w:rPr>
        <w:t>has the meaning set forth in Section 2.6.5.4.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b w:val="1"/>
          <w:bCs w:val="1"/>
          <w:color w:val="auto"/>
        </w:rPr>
        <w:t xml:space="preserve">“Gatekeeper Inquiry Date” </w:t>
      </w:r>
      <w:r>
        <w:rPr>
          <w:rFonts w:ascii="Arial" w:cs="Arial" w:eastAsia="Arial" w:hAnsi="Arial"/>
          <w:sz w:val="16"/>
          <w:szCs w:val="16"/>
          <w:color w:val="auto"/>
        </w:rPr>
        <w:t>has the meaning set forth in Section 2.6.5.4.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6"/>
          <w:szCs w:val="16"/>
          <w:b w:val="1"/>
          <w:bCs w:val="1"/>
          <w:color w:val="auto"/>
        </w:rPr>
        <w:t xml:space="preserve">“Gatekeeper Non-Performance Notice” </w:t>
      </w:r>
      <w:r>
        <w:rPr>
          <w:rFonts w:ascii="Arial" w:cs="Arial" w:eastAsia="Arial" w:hAnsi="Arial"/>
          <w:sz w:val="16"/>
          <w:szCs w:val="16"/>
          <w:color w:val="auto"/>
        </w:rPr>
        <w:t>has the meaning set forth in Section 2.6.5.4.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 xml:space="preserve">“Gatekeeper Notice” </w:t>
      </w:r>
      <w:r>
        <w:rPr>
          <w:rFonts w:ascii="Arial" w:cs="Arial" w:eastAsia="Arial" w:hAnsi="Arial"/>
          <w:sz w:val="16"/>
          <w:szCs w:val="16"/>
          <w:color w:val="auto"/>
        </w:rPr>
        <w:t>has the meaning set forth in Section 2.6.5.4.</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1.62. “Gene Target” </w:t>
      </w:r>
      <w:r>
        <w:rPr>
          <w:rFonts w:ascii="Arial" w:cs="Arial" w:eastAsia="Arial" w:hAnsi="Arial"/>
          <w:sz w:val="18"/>
          <w:szCs w:val="18"/>
          <w:color w:val="auto"/>
        </w:rPr>
        <w:t>means any human or non-human gene target, including any Genetic Material therein and coding, non-coding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regions thereof.</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 xml:space="preserve">“Genetic Material” </w:t>
      </w:r>
      <w:r>
        <w:rPr>
          <w:rFonts w:ascii="Arial" w:cs="Arial" w:eastAsia="Arial" w:hAnsi="Arial"/>
          <w:sz w:val="16"/>
          <w:szCs w:val="16"/>
          <w:color w:val="auto"/>
        </w:rPr>
        <w:t>means all DNA (including without limitation DNA in and outside chromosomes) and RNA.</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 xml:space="preserve">“Harvard” </w:t>
      </w:r>
      <w:r>
        <w:rPr>
          <w:rFonts w:ascii="Arial" w:cs="Arial" w:eastAsia="Arial" w:hAnsi="Arial"/>
          <w:sz w:val="16"/>
          <w:szCs w:val="16"/>
          <w:color w:val="auto"/>
        </w:rPr>
        <w:t>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 xml:space="preserve">“Harvard Confidential Information” </w:t>
      </w:r>
      <w:r>
        <w:rPr>
          <w:rFonts w:ascii="Arial" w:cs="Arial" w:eastAsia="Arial" w:hAnsi="Arial"/>
          <w:sz w:val="16"/>
          <w:szCs w:val="16"/>
          <w:color w:val="auto"/>
        </w:rPr>
        <w:t>has the meaning set forth in Section 11.1.1.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b w:val="1"/>
          <w:bCs w:val="1"/>
          <w:color w:val="auto"/>
        </w:rPr>
        <w:t xml:space="preserve">“Harvard/MIT/Broad Co-Owned Patent Rights” </w:t>
      </w:r>
      <w:r>
        <w:rPr>
          <w:rFonts w:ascii="Arial" w:cs="Arial" w:eastAsia="Arial" w:hAnsi="Arial"/>
          <w:sz w:val="16"/>
          <w:szCs w:val="16"/>
          <w:color w:val="auto"/>
        </w:rPr>
        <w:t>has the meaning set forth in the Recitals.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b w:val="1"/>
          <w:bCs w:val="1"/>
          <w:color w:val="auto"/>
        </w:rPr>
        <w:t xml:space="preserve">“HHMI Indemnitees” </w:t>
      </w:r>
      <w:r>
        <w:rPr>
          <w:rFonts w:ascii="Arial" w:cs="Arial" w:eastAsia="Arial" w:hAnsi="Arial"/>
          <w:sz w:val="16"/>
          <w:szCs w:val="16"/>
          <w:color w:val="auto"/>
        </w:rPr>
        <w:t>has the meaning set forth in Section 9.1.3.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b w:val="1"/>
          <w:bCs w:val="1"/>
          <w:color w:val="auto"/>
        </w:rPr>
        <w:t xml:space="preserve">“HHMI License” </w:t>
      </w:r>
      <w:r>
        <w:rPr>
          <w:rFonts w:ascii="Arial" w:cs="Arial" w:eastAsia="Arial" w:hAnsi="Arial"/>
          <w:sz w:val="16"/>
          <w:szCs w:val="16"/>
          <w:color w:val="auto"/>
        </w:rPr>
        <w:t>has the meaning set forth in Section 2.2.1.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b w:val="1"/>
          <w:bCs w:val="1"/>
          <w:color w:val="auto"/>
        </w:rPr>
        <w:t xml:space="preserve">“HHMI Names” </w:t>
      </w:r>
      <w:r>
        <w:rPr>
          <w:rFonts w:ascii="Arial" w:cs="Arial" w:eastAsia="Arial" w:hAnsi="Arial"/>
          <w:sz w:val="16"/>
          <w:szCs w:val="16"/>
          <w:color w:val="auto"/>
        </w:rPr>
        <w:t>has the meaning set forth in Section 11.2.</w:t>
      </w:r>
    </w:p>
    <w:p>
      <w:pPr>
        <w:spacing w:after="0" w:line="225" w:lineRule="exact"/>
        <w:rPr>
          <w:sz w:val="20"/>
          <w:szCs w:val="20"/>
          <w:color w:val="auto"/>
        </w:rPr>
      </w:pPr>
    </w:p>
    <w:p>
      <w:pPr>
        <w:ind w:right="500" w:firstLine="648"/>
        <w:spacing w:after="0" w:line="313" w:lineRule="auto"/>
        <w:rPr>
          <w:sz w:val="20"/>
          <w:szCs w:val="20"/>
          <w:color w:val="auto"/>
        </w:rPr>
      </w:pPr>
      <w:r>
        <w:rPr>
          <w:rFonts w:ascii="Arial" w:cs="Arial" w:eastAsia="Arial" w:hAnsi="Arial"/>
          <w:sz w:val="17"/>
          <w:szCs w:val="17"/>
          <w:b w:val="1"/>
          <w:bCs w:val="1"/>
          <w:color w:val="auto"/>
        </w:rPr>
        <w:t xml:space="preserve">1.70. “IND” </w:t>
      </w:r>
      <w:r>
        <w:rPr>
          <w:rFonts w:ascii="Arial" w:cs="Arial" w:eastAsia="Arial" w:hAnsi="Arial"/>
          <w:sz w:val="17"/>
          <w:szCs w:val="17"/>
          <w:color w:val="auto"/>
        </w:rPr>
        <w:t>means an FDA Investigational New Drug application, or equivalent application or submission for approval to conduct human</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investigations filed with or submitted to a Regulatory Authority in conformance with the requirements of such Regulatory Authority.</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 xml:space="preserve">“Indemnitees” </w:t>
      </w:r>
      <w:r>
        <w:rPr>
          <w:rFonts w:ascii="Arial" w:cs="Arial" w:eastAsia="Arial" w:hAnsi="Arial"/>
          <w:sz w:val="16"/>
          <w:szCs w:val="16"/>
          <w:color w:val="auto"/>
        </w:rPr>
        <w:t>has the meaning set forth in Section 9.1.1.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 xml:space="preserve">“Indemnitor” </w:t>
      </w:r>
      <w:r>
        <w:rPr>
          <w:rFonts w:ascii="Arial" w:cs="Arial" w:eastAsia="Arial" w:hAnsi="Arial"/>
          <w:sz w:val="16"/>
          <w:szCs w:val="16"/>
          <w:color w:val="auto"/>
        </w:rPr>
        <w:t>has the meaning set forth in Section 9.1.1.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 xml:space="preserve">“Ineligible Sublicensees” </w:t>
      </w:r>
      <w:r>
        <w:rPr>
          <w:rFonts w:ascii="Arial" w:cs="Arial" w:eastAsia="Arial" w:hAnsi="Arial"/>
          <w:sz w:val="16"/>
          <w:szCs w:val="16"/>
          <w:color w:val="auto"/>
        </w:rPr>
        <w:t>has the meaning set forth in Section 10.3.1.2.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1.74.</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or</w:t>
      </w:r>
      <w:r>
        <w:rPr>
          <w:rFonts w:ascii="Arial" w:cs="Arial" w:eastAsia="Arial" w:hAnsi="Arial"/>
          <w:sz w:val="16"/>
          <w:szCs w:val="16"/>
          <w:b w:val="1"/>
          <w:bCs w:val="1"/>
          <w:color w:val="auto"/>
        </w:rPr>
        <w:t xml:space="preserve"> “Institutions” </w:t>
      </w:r>
      <w:r>
        <w:rPr>
          <w:rFonts w:ascii="Arial" w:cs="Arial" w:eastAsia="Arial" w:hAnsi="Arial"/>
          <w:sz w:val="16"/>
          <w:szCs w:val="16"/>
          <w:color w:val="auto"/>
        </w:rPr>
        <w:t>has the meaning set forth in the Preamble.</w:t>
      </w:r>
    </w:p>
    <w:p>
      <w:pPr>
        <w:sectPr>
          <w:pgSz w:w="11900" w:h="16838" w:orient="portrait"/>
          <w:cols w:equalWidth="0" w:num="1">
            <w:col w:w="11380"/>
          </w:cols>
          <w:pgMar w:left="240" w:top="125" w:right="279" w:bottom="0" w:gutter="0" w:footer="0" w:header="0"/>
        </w:sectPr>
      </w:pPr>
    </w:p>
    <w:bookmarkStart w:id="339" w:name="page340"/>
    <w:bookmarkEnd w:id="339"/>
    <w:p>
      <w:pPr>
        <w:ind w:left="660"/>
        <w:spacing w:after="0"/>
        <w:tabs>
          <w:tab w:leader="none" w:pos="12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 xml:space="preserve">“Institution Confidential Information” </w:t>
      </w:r>
      <w:r>
        <w:rPr>
          <w:rFonts w:ascii="Arial" w:cs="Arial" w:eastAsia="Arial" w:hAnsi="Arial"/>
          <w:sz w:val="16"/>
          <w:szCs w:val="16"/>
          <w:color w:val="auto"/>
        </w:rPr>
        <w:t>has the meaning set forth in Section 11.1.1.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 xml:space="preserve">“Institution Information” </w:t>
      </w:r>
      <w:r>
        <w:rPr>
          <w:rFonts w:ascii="Arial" w:cs="Arial" w:eastAsia="Arial" w:hAnsi="Arial"/>
          <w:sz w:val="16"/>
          <w:szCs w:val="16"/>
          <w:color w:val="auto"/>
        </w:rPr>
        <w:t>has the meaning set forth in Section 1.80.</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b w:val="1"/>
          <w:bCs w:val="1"/>
          <w:color w:val="auto"/>
        </w:rPr>
        <w:t xml:space="preserve">“Institution Materials” </w:t>
      </w:r>
      <w:r>
        <w:rPr>
          <w:rFonts w:ascii="Arial" w:cs="Arial" w:eastAsia="Arial" w:hAnsi="Arial"/>
          <w:sz w:val="16"/>
          <w:szCs w:val="16"/>
          <w:color w:val="auto"/>
        </w:rPr>
        <w:t>has the meaning set forth in Section 1.80.</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b w:val="1"/>
          <w:bCs w:val="1"/>
          <w:color w:val="auto"/>
        </w:rPr>
        <w:t xml:space="preserve">“Institution Names” </w:t>
      </w:r>
      <w:r>
        <w:rPr>
          <w:rFonts w:ascii="Arial" w:cs="Arial" w:eastAsia="Arial" w:hAnsi="Arial"/>
          <w:sz w:val="16"/>
          <w:szCs w:val="16"/>
          <w:color w:val="auto"/>
        </w:rPr>
        <w:t>has the meaning set forth in Section 11.2.</w:t>
      </w:r>
    </w:p>
    <w:p>
      <w:pPr>
        <w:spacing w:after="0" w:line="225"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b w:val="1"/>
          <w:bCs w:val="1"/>
          <w:color w:val="auto"/>
        </w:rPr>
        <w:t xml:space="preserve">1.80. “Institution Technology Transfer Materials” </w:t>
      </w:r>
      <w:r>
        <w:rPr>
          <w:rFonts w:ascii="Arial" w:cs="Arial" w:eastAsia="Arial" w:hAnsi="Arial"/>
          <w:sz w:val="18"/>
          <w:szCs w:val="18"/>
          <w:color w:val="auto"/>
        </w:rPr>
        <w:t>means (a) the protocols, data and other information listed in Exhibit 1.80A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upon the prior written approval of Company and the Institution providing the applicable protocols, data and information, such approval to be provided in Company’s and such Institution’s sole discretion (“</w:t>
      </w:r>
      <w:r>
        <w:rPr>
          <w:rFonts w:ascii="Arial" w:cs="Arial" w:eastAsia="Arial" w:hAnsi="Arial"/>
          <w:sz w:val="18"/>
          <w:szCs w:val="18"/>
          <w:b w:val="1"/>
          <w:bCs w:val="1"/>
          <w:color w:val="auto"/>
        </w:rPr>
        <w:t>Institution Information</w:t>
      </w:r>
      <w:r>
        <w:rPr>
          <w:rFonts w:ascii="Arial" w:cs="Arial" w:eastAsia="Arial" w:hAnsi="Arial"/>
          <w:sz w:val="18"/>
          <w:szCs w:val="18"/>
          <w:color w:val="auto"/>
        </w:rPr>
        <w:t>”), and (b) the material listed in Exhibit 1.80B (as may be amended upon the prior written approval of Company and the Institution providing the applicable material, such approval to be in Company’s and such Institution’s sole discretion) and any progeny, derivatives, analogs, and modifications of such material made by or on behalf of Company or its Affiliates or any of their Sublicensees or subcontractors (“</w:t>
      </w:r>
      <w:r>
        <w:rPr>
          <w:rFonts w:ascii="Arial" w:cs="Arial" w:eastAsia="Arial" w:hAnsi="Arial"/>
          <w:sz w:val="18"/>
          <w:szCs w:val="18"/>
          <w:b w:val="1"/>
          <w:bCs w:val="1"/>
          <w:color w:val="auto"/>
        </w:rPr>
        <w:t>Institution Materials</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b w:val="1"/>
          <w:bCs w:val="1"/>
          <w:color w:val="auto"/>
        </w:rPr>
        <w:t xml:space="preserve">“Internal Development Plan” </w:t>
      </w:r>
      <w:r>
        <w:rPr>
          <w:rFonts w:ascii="Arial" w:cs="Arial" w:eastAsia="Arial" w:hAnsi="Arial"/>
          <w:sz w:val="16"/>
          <w:szCs w:val="16"/>
          <w:color w:val="auto"/>
        </w:rPr>
        <w:t>has the meaning set forth in Section 2.6.3.1(b), as may be amended in accordance therewith.</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 xml:space="preserve">“Law” </w:t>
      </w:r>
      <w:r>
        <w:rPr>
          <w:rFonts w:ascii="Arial" w:cs="Arial" w:eastAsia="Arial" w:hAnsi="Arial"/>
          <w:sz w:val="16"/>
          <w:szCs w:val="16"/>
          <w:color w:val="auto"/>
        </w:rPr>
        <w:t>has the meaning set forth in Section 11.1.3.3.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1.84. “Licensed Product” </w:t>
      </w:r>
      <w:r>
        <w:rPr>
          <w:rFonts w:ascii="Arial" w:cs="Arial" w:eastAsia="Arial" w:hAnsi="Arial"/>
          <w:sz w:val="18"/>
          <w:szCs w:val="18"/>
          <w:color w:val="auto"/>
        </w:rPr>
        <w:t>means on a country-by-country basis, any product the making, using, selling, offering for sale, exporting or importing</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product in the country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question is Covered by at least one Valid Claim in that country. If, during the Royalty Term for a given Licensed Product, such Licensed Product is no longer Covered by at least one Valid Claim in a country, then [***].</w:t>
      </w:r>
    </w:p>
    <w:p>
      <w:pPr>
        <w:spacing w:after="0" w:line="16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1.85. “Licensed Service” </w:t>
      </w:r>
      <w:r>
        <w:rPr>
          <w:rFonts w:ascii="Arial" w:cs="Arial" w:eastAsia="Arial" w:hAnsi="Arial"/>
          <w:sz w:val="18"/>
          <w:szCs w:val="18"/>
          <w:color w:val="auto"/>
        </w:rPr>
        <w:t>means, on a country-by-country basis, any process, method or service (a) that is performed or provided using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or (b) that does not fall within the definition of clause (a) but the performing or providing of which process, method or service in the country in question is Covered by at least one Valid Claim. If, during the Royalty Term for a Licensed Service that falls under the foregoing clause (b), such Licensed Service is no longer Covered by at least one Valid Claim in a country, then [***].</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b w:val="1"/>
          <w:bCs w:val="1"/>
          <w:color w:val="auto"/>
        </w:rPr>
        <w:t xml:space="preserve">“List of Countries” </w:t>
      </w:r>
      <w:r>
        <w:rPr>
          <w:rFonts w:ascii="Arial" w:cs="Arial" w:eastAsia="Arial" w:hAnsi="Arial"/>
          <w:sz w:val="16"/>
          <w:szCs w:val="16"/>
          <w:color w:val="auto"/>
        </w:rPr>
        <w:t>has the meaning set forth in Section 6.1.5.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1.89. “Livestock Applications” </w:t>
      </w:r>
      <w:r>
        <w:rPr>
          <w:rFonts w:ascii="Arial" w:cs="Arial" w:eastAsia="Arial" w:hAnsi="Arial"/>
          <w:sz w:val="16"/>
          <w:szCs w:val="16"/>
          <w:color w:val="auto"/>
        </w:rPr>
        <w:t>means (a) the modification or alteration of livestock, or of any products, cells or materials derived from</w:t>
      </w:r>
      <w:r>
        <w:rPr>
          <w:rFonts w:ascii="Arial" w:cs="Arial" w:eastAsia="Arial" w:hAnsi="Arial"/>
          <w:sz w:val="16"/>
          <w:szCs w:val="16"/>
          <w:b w:val="1"/>
          <w:bCs w:val="1"/>
          <w:color w:val="auto"/>
        </w:rPr>
        <w:t xml:space="preserve"> </w:t>
      </w:r>
      <w:r>
        <w:rPr>
          <w:rFonts w:ascii="Arial" w:cs="Arial" w:eastAsia="Arial" w:hAnsi="Arial"/>
          <w:sz w:val="16"/>
          <w:szCs w:val="16"/>
          <w:color w:val="auto"/>
        </w:rPr>
        <w:t>livestock or the use or provision of any processes, methods or services using livestock or using any products, cells or materials derived from livestock, for the purposes of (i) affecting the fitness of such livestock, including affecting their ability to survive or reproduce, (ii) creating, expressing, transmitting, conferring, improving, or imparting a Trait of interest in such livestock, or (iii) bioproduction or bioprocessing, or (b) the use, production, alteration or modification of exotic animals, or of any products, cells, tissues or materials derived from exotic animals (including biomaterials derived from such exotic animals) in or for consumer goods or products. For the purposes of this definition, (A) “livestock” means (1) cattle, sheep, goats, buffalo, llamas, camels, swine, poultry and fowl (including egg-producing poultry and fowl), dogs, cats and equine animals, (2) animals used for food or in the production of food,</w:t>
      </w:r>
    </w:p>
    <w:p>
      <w:pPr>
        <w:spacing w:after="0" w:line="2" w:lineRule="exact"/>
        <w:rPr>
          <w:sz w:val="20"/>
          <w:szCs w:val="20"/>
          <w:color w:val="auto"/>
        </w:rPr>
      </w:pPr>
    </w:p>
    <w:p>
      <w:pPr>
        <w:ind w:right="100" w:firstLine="8"/>
        <w:spacing w:after="0" w:line="254" w:lineRule="auto"/>
        <w:tabs>
          <w:tab w:leader="none" w:pos="2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animals ordinarily raised or used on the farm or for home use, consumption, or profit, and (4) fish used for food, and (B) “exotic animals” means snakes, alligators, elephants, camels and other exotic animals but specifically excludes all rodents. Notwithstanding anything in this definition or elsewhere in this Agreement to the contrary, Livestock Applications does not include (i) the use of any animal or animal cell in preclinical research or (ii) the treatment of animal disease.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1.90.</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 xml:space="preserve">“Milestone Explanation” </w:t>
      </w:r>
      <w:r>
        <w:rPr>
          <w:rFonts w:ascii="Arial" w:cs="Arial" w:eastAsia="Arial" w:hAnsi="Arial"/>
          <w:sz w:val="16"/>
          <w:szCs w:val="16"/>
          <w:color w:val="auto"/>
        </w:rPr>
        <w:t>has the meaning set forth in Section 3.4.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 xml:space="preserve">“Milestone Plan” </w:t>
      </w:r>
      <w:r>
        <w:rPr>
          <w:rFonts w:ascii="Arial" w:cs="Arial" w:eastAsia="Arial" w:hAnsi="Arial"/>
          <w:sz w:val="16"/>
          <w:szCs w:val="16"/>
          <w:color w:val="auto"/>
        </w:rPr>
        <w:t>has the meaning set forth in Section 3.4.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 xml:space="preserve">“MIT” </w:t>
      </w:r>
      <w:r>
        <w:rPr>
          <w:rFonts w:ascii="Arial" w:cs="Arial" w:eastAsia="Arial" w:hAnsi="Arial"/>
          <w:sz w:val="16"/>
          <w:szCs w:val="16"/>
          <w:color w:val="auto"/>
        </w:rPr>
        <w:t>has the meaning set forth in the Recitals.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 xml:space="preserve">“MIT/Broad Co-Owned Patent Rights” </w:t>
      </w:r>
      <w:r>
        <w:rPr>
          <w:rFonts w:ascii="Arial" w:cs="Arial" w:eastAsia="Arial" w:hAnsi="Arial"/>
          <w:sz w:val="16"/>
          <w:szCs w:val="16"/>
          <w:color w:val="auto"/>
        </w:rPr>
        <w:t>has the meaning set forth in the Recitals.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 xml:space="preserve">“Non-Achieved Category” </w:t>
      </w:r>
      <w:r>
        <w:rPr>
          <w:rFonts w:ascii="Arial" w:cs="Arial" w:eastAsia="Arial" w:hAnsi="Arial"/>
          <w:sz w:val="16"/>
          <w:szCs w:val="16"/>
          <w:color w:val="auto"/>
        </w:rPr>
        <w:t>has the meaning set forth in Section 3.1.</w:t>
      </w:r>
    </w:p>
    <w:p>
      <w:pPr>
        <w:sectPr>
          <w:pgSz w:w="11900" w:h="16838" w:orient="portrait"/>
          <w:cols w:equalWidth="0" w:num="1">
            <w:col w:w="11360"/>
          </w:cols>
          <w:pgMar w:left="240" w:top="122" w:right="299" w:bottom="63" w:gutter="0" w:footer="0" w:header="0"/>
        </w:sectPr>
      </w:pPr>
    </w:p>
    <w:bookmarkStart w:id="340" w:name="page341"/>
    <w:bookmarkEnd w:id="340"/>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1.99. “Non-Exclusive Purpose” </w:t>
      </w:r>
      <w:r>
        <w:rPr>
          <w:rFonts w:ascii="Arial" w:cs="Arial" w:eastAsia="Arial" w:hAnsi="Arial"/>
          <w:sz w:val="18"/>
          <w:szCs w:val="18"/>
          <w:color w:val="auto"/>
        </w:rPr>
        <w:t>means (i) any of the purposes set forth in Section 2.1.2(a) - (i) except for research purposes within the Field, and</w:t>
      </w:r>
      <w:r>
        <w:rPr>
          <w:rFonts w:ascii="Arial" w:cs="Arial" w:eastAsia="Arial" w:hAnsi="Arial"/>
          <w:sz w:val="18"/>
          <w:szCs w:val="18"/>
          <w:b w:val="1"/>
          <w:bCs w:val="1"/>
          <w:color w:val="auto"/>
        </w:rPr>
        <w:t xml:space="preserve"> </w:t>
      </w:r>
      <w:r>
        <w:rPr>
          <w:rFonts w:ascii="Arial" w:cs="Arial" w:eastAsia="Arial" w:hAnsi="Arial"/>
          <w:sz w:val="18"/>
          <w:szCs w:val="18"/>
          <w:color w:val="auto"/>
        </w:rPr>
        <w:t>(ii) any other purpose outside of the Field.</w:t>
      </w:r>
    </w:p>
    <w:p>
      <w:pPr>
        <w:spacing w:after="0" w:line="162"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1.100. “Non-U.S. Milestone Market” </w:t>
      </w:r>
      <w:r>
        <w:rPr>
          <w:rFonts w:ascii="Arial" w:cs="Arial" w:eastAsia="Arial" w:hAnsi="Arial"/>
          <w:sz w:val="18"/>
          <w:szCs w:val="18"/>
          <w:color w:val="auto"/>
        </w:rPr>
        <w:t>means any country, other than the United States, that is not a Developing Country as of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Milestone Event occurs.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6"/>
          <w:szCs w:val="16"/>
          <w:b w:val="1"/>
          <w:bCs w:val="1"/>
          <w:color w:val="auto"/>
        </w:rPr>
        <w:t xml:space="preserve">“Party” </w:t>
      </w:r>
      <w:r>
        <w:rPr>
          <w:rFonts w:ascii="Arial" w:cs="Arial" w:eastAsia="Arial" w:hAnsi="Arial"/>
          <w:sz w:val="16"/>
          <w:szCs w:val="16"/>
          <w:color w:val="auto"/>
        </w:rPr>
        <w:t>and</w:t>
      </w:r>
      <w:r>
        <w:rPr>
          <w:rFonts w:ascii="Arial" w:cs="Arial" w:eastAsia="Arial" w:hAnsi="Arial"/>
          <w:sz w:val="16"/>
          <w:szCs w:val="16"/>
          <w:b w:val="1"/>
          <w:bCs w:val="1"/>
          <w:color w:val="auto"/>
        </w:rPr>
        <w:t xml:space="preserve"> “Parties” </w:t>
      </w:r>
      <w:r>
        <w:rPr>
          <w:rFonts w:ascii="Arial" w:cs="Arial" w:eastAsia="Arial" w:hAnsi="Arial"/>
          <w:sz w:val="16"/>
          <w:szCs w:val="16"/>
          <w:color w:val="auto"/>
        </w:rPr>
        <w:t>have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1.104. “Patent Rights” </w:t>
      </w:r>
      <w:r>
        <w:rPr>
          <w:rFonts w:ascii="Arial" w:cs="Arial" w:eastAsia="Arial" w:hAnsi="Arial"/>
          <w:sz w:val="16"/>
          <w:szCs w:val="16"/>
          <w:color w:val="auto"/>
        </w:rPr>
        <w:t>means the patents and patent applications that are listed on the attached Exhibit 1.104 and any and all divisionals,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continuations, continuations-in-part (only to the extent of claims that are entitled to the priority date of and directed specifically to the subject matter claimed in the applications listed on the attached Exhibit 1.104), substitutes, counterparts and foreign equivalents thereof filed in any country, and any patents issuing thereon (but in the case of patents issuing on continuations-in-part applications, only to the claims thereof that are entitled to the priority date of and directed specifically to the subject matter claimed in the applications listed on the attached Exhibit 1.104) and any reissues, reexaminations or extensions thereof.</w:t>
      </w:r>
    </w:p>
    <w:p>
      <w:pPr>
        <w:spacing w:after="0" w:line="15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1.105. “Patent Rights Categories” </w:t>
      </w:r>
      <w:r>
        <w:rPr>
          <w:rFonts w:ascii="Arial" w:cs="Arial" w:eastAsia="Arial" w:hAnsi="Arial"/>
          <w:sz w:val="18"/>
          <w:szCs w:val="18"/>
          <w:color w:val="auto"/>
        </w:rPr>
        <w:t>means the CRISPR Patent Rights, the TALE Patent Rights and the Delivery Patent Rights; provided that, if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reasonable interpretation of the claims of the Patent Rights within the foregoing categories requires that such Patent Rights be reclassified, then the Parties shall discuss such reclassification in good faith.</w:t>
      </w:r>
    </w:p>
    <w:p>
      <w:pPr>
        <w:spacing w:after="0" w:line="176" w:lineRule="exact"/>
        <w:rPr>
          <w:sz w:val="20"/>
          <w:szCs w:val="20"/>
          <w:color w:val="auto"/>
        </w:rPr>
      </w:pPr>
    </w:p>
    <w:p>
      <w:pPr>
        <w:jc w:val="both"/>
        <w:ind w:right="480" w:firstLine="648"/>
        <w:spacing w:after="0" w:line="266" w:lineRule="auto"/>
        <w:rPr>
          <w:sz w:val="20"/>
          <w:szCs w:val="20"/>
          <w:color w:val="auto"/>
        </w:rPr>
      </w:pPr>
      <w:r>
        <w:rPr>
          <w:rFonts w:ascii="Arial" w:cs="Arial" w:eastAsia="Arial" w:hAnsi="Arial"/>
          <w:sz w:val="18"/>
          <w:szCs w:val="18"/>
          <w:b w:val="1"/>
          <w:bCs w:val="1"/>
          <w:color w:val="auto"/>
        </w:rPr>
        <w:t xml:space="preserve">1.106. “Person” </w:t>
      </w:r>
      <w:r>
        <w:rPr>
          <w:rFonts w:ascii="Arial" w:cs="Arial" w:eastAsia="Arial" w:hAnsi="Arial"/>
          <w:sz w:val="18"/>
          <w:szCs w:val="18"/>
          <w:color w:val="auto"/>
        </w:rPr>
        <w:t>means an individual, sole proprietorship, partnership, limited partnership, limited liability partnership, corporation,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business trust, joint stock company, trust, unincorporated association, joint venture or other similar entity or organization, including a government or political subdivision, department or agency of a government.</w:t>
      </w:r>
    </w:p>
    <w:p>
      <w:pPr>
        <w:spacing w:after="0" w:line="176"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b w:val="1"/>
          <w:bCs w:val="1"/>
          <w:color w:val="auto"/>
        </w:rPr>
        <w:t xml:space="preserve">1.107. “Phase I Clinical Study” </w:t>
      </w:r>
      <w:r>
        <w:rPr>
          <w:rFonts w:ascii="Arial" w:cs="Arial" w:eastAsia="Arial" w:hAnsi="Arial"/>
          <w:sz w:val="17"/>
          <w:szCs w:val="17"/>
          <w:color w:val="auto"/>
        </w:rPr>
        <w:t>means, as to a specific Licensed Product, a study of such product in humans designed to satisfy the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of 21 C.F.R. § 312.21(a), as amended from time to time, or the corresponding regulation in jurisdictions other than the United States.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1.108. “Phase II Ag Trial” </w:t>
      </w:r>
      <w:r>
        <w:rPr>
          <w:rFonts w:ascii="Arial" w:cs="Arial" w:eastAsia="Arial" w:hAnsi="Arial"/>
          <w:sz w:val="18"/>
          <w:szCs w:val="18"/>
          <w:color w:val="auto"/>
        </w:rPr>
        <w:t>means the second phase of Field Trials for an Ag Product which is designed to test for the occurrence of a statistically</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level of desired Trait performance.</w:t>
      </w:r>
    </w:p>
    <w:p>
      <w:pPr>
        <w:spacing w:after="0" w:line="162"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 xml:space="preserve">1.109. “Phase II Clinical Study” </w:t>
      </w:r>
      <w:r>
        <w:rPr>
          <w:rFonts w:ascii="Arial" w:cs="Arial" w:eastAsia="Arial" w:hAnsi="Arial"/>
          <w:sz w:val="17"/>
          <w:szCs w:val="17"/>
          <w:color w:val="auto"/>
        </w:rPr>
        <w:t>means (a) a preliminary efficacy and safety human clinical study in any country conducted to evaluate a drug for</w:t>
      </w:r>
      <w:r>
        <w:rPr>
          <w:rFonts w:ascii="Arial" w:cs="Arial" w:eastAsia="Arial" w:hAnsi="Arial"/>
          <w:sz w:val="17"/>
          <w:szCs w:val="17"/>
          <w:b w:val="1"/>
          <w:bCs w:val="1"/>
          <w:color w:val="auto"/>
        </w:rPr>
        <w:t xml:space="preserve"> </w:t>
      </w:r>
      <w:r>
        <w:rPr>
          <w:rFonts w:ascii="Arial" w:cs="Arial" w:eastAsia="Arial" w:hAnsi="Arial"/>
          <w:sz w:val="17"/>
          <w:szCs w:val="17"/>
          <w:color w:val="auto"/>
        </w:rPr>
        <w:t>a particular indication or indications in patients with the disease or condition under study, where at least one of the primary endpoints of such study is an efficacy endpoint, or (b) any human clinical study that satisfies the requirements of 21 C.F.R. § 312.21(b) in the United States.</w:t>
      </w:r>
    </w:p>
    <w:p>
      <w:pPr>
        <w:spacing w:after="0" w:line="158"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 xml:space="preserve">1.110. “Phase III Clinical Study” </w:t>
      </w:r>
      <w:r>
        <w:rPr>
          <w:rFonts w:ascii="Arial" w:cs="Arial" w:eastAsia="Arial" w:hAnsi="Arial"/>
          <w:sz w:val="17"/>
          <w:szCs w:val="17"/>
          <w:color w:val="auto"/>
        </w:rPr>
        <w:t>means (a) a human clinical study in any country, whether controlled or uncontrolled, that is performed to obtain</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Approval of a drug after preliminary evidence suggesting effectiveness of the drug under evaluation has been obtained, and intended to confirm with statistical significance the efficacy and safety of a drug, to evaluate the overall benefit-risk relationship of the drug and to provide an adequate basis for physician labeling, or (b) a human clinical study that satisfies the requirements of 21 C.F.R. § 312.21(c) in the United States.</w:t>
      </w:r>
    </w:p>
    <w:p>
      <w:pPr>
        <w:spacing w:after="0" w:line="16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 xml:space="preserve">“Potential Target” </w:t>
      </w:r>
      <w:r>
        <w:rPr>
          <w:rFonts w:ascii="Arial" w:cs="Arial" w:eastAsia="Arial" w:hAnsi="Arial"/>
          <w:sz w:val="16"/>
          <w:szCs w:val="16"/>
          <w:color w:val="auto"/>
        </w:rPr>
        <w:t>has the meaning set forth in Section 2.6.5.2.</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 xml:space="preserve">“Potential Target Period” </w:t>
      </w:r>
      <w:r>
        <w:rPr>
          <w:rFonts w:ascii="Arial" w:cs="Arial" w:eastAsia="Arial" w:hAnsi="Arial"/>
          <w:sz w:val="16"/>
          <w:szCs w:val="16"/>
          <w:color w:val="auto"/>
        </w:rPr>
        <w:t>has the meaning set forth in Section 2.6.5.2.</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b w:val="1"/>
          <w:bCs w:val="1"/>
          <w:color w:val="auto"/>
        </w:rPr>
        <w:t xml:space="preserve">“Process” </w:t>
      </w:r>
      <w:r>
        <w:rPr>
          <w:rFonts w:ascii="Arial" w:cs="Arial" w:eastAsia="Arial" w:hAnsi="Arial"/>
          <w:sz w:val="16"/>
          <w:szCs w:val="16"/>
          <w:color w:val="auto"/>
        </w:rPr>
        <w:t>has the meaning set forth in Section 2.6.6.</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 xml:space="preserve">“Proposed Product” </w:t>
      </w:r>
      <w:r>
        <w:rPr>
          <w:rFonts w:ascii="Arial" w:cs="Arial" w:eastAsia="Arial" w:hAnsi="Arial"/>
          <w:sz w:val="16"/>
          <w:szCs w:val="16"/>
          <w:color w:val="auto"/>
        </w:rPr>
        <w:t>has the meaning set forth in Section 2.6.1.</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 xml:space="preserve">“Proposed Product Collaboration Partner” </w:t>
      </w:r>
      <w:r>
        <w:rPr>
          <w:rFonts w:ascii="Arial" w:cs="Arial" w:eastAsia="Arial" w:hAnsi="Arial"/>
          <w:sz w:val="16"/>
          <w:szCs w:val="16"/>
          <w:color w:val="auto"/>
        </w:rPr>
        <w:t>has the meaning set forth in Section 2.6.3.2(a).</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 xml:space="preserve">“Proposed Product Extension Period” </w:t>
      </w:r>
      <w:r>
        <w:rPr>
          <w:rFonts w:ascii="Arial" w:cs="Arial" w:eastAsia="Arial" w:hAnsi="Arial"/>
          <w:sz w:val="16"/>
          <w:szCs w:val="16"/>
          <w:color w:val="auto"/>
        </w:rPr>
        <w:t>has the meaning set forth in Section 2.6.6.</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b w:val="1"/>
          <w:bCs w:val="1"/>
          <w:color w:val="auto"/>
        </w:rPr>
        <w:t xml:space="preserve">“Proposed Product License” </w:t>
      </w:r>
      <w:r>
        <w:rPr>
          <w:rFonts w:ascii="Arial" w:cs="Arial" w:eastAsia="Arial" w:hAnsi="Arial"/>
          <w:sz w:val="16"/>
          <w:szCs w:val="16"/>
          <w:color w:val="auto"/>
        </w:rPr>
        <w:t>has the meaning set forth in Section 2.6.4.</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 xml:space="preserve">“Proposed Product Notice” </w:t>
      </w:r>
      <w:r>
        <w:rPr>
          <w:rFonts w:ascii="Arial" w:cs="Arial" w:eastAsia="Arial" w:hAnsi="Arial"/>
          <w:sz w:val="16"/>
          <w:szCs w:val="16"/>
          <w:color w:val="auto"/>
        </w:rPr>
        <w:t>has the meaning set forth in Section 2.6.1.</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b w:val="1"/>
          <w:bCs w:val="1"/>
          <w:color w:val="auto"/>
        </w:rPr>
        <w:t xml:space="preserve">“Proposed Product Notice Date” </w:t>
      </w:r>
      <w:r>
        <w:rPr>
          <w:rFonts w:ascii="Arial" w:cs="Arial" w:eastAsia="Arial" w:hAnsi="Arial"/>
          <w:sz w:val="16"/>
          <w:szCs w:val="16"/>
          <w:color w:val="auto"/>
        </w:rPr>
        <w:t>has the meaning set forth in Section 2.6.1.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b w:val="1"/>
          <w:bCs w:val="1"/>
          <w:color w:val="auto"/>
        </w:rPr>
        <w:t xml:space="preserve">“Proposed Product Option” </w:t>
      </w:r>
      <w:r>
        <w:rPr>
          <w:rFonts w:ascii="Arial" w:cs="Arial" w:eastAsia="Arial" w:hAnsi="Arial"/>
          <w:sz w:val="16"/>
          <w:szCs w:val="16"/>
          <w:color w:val="auto"/>
        </w:rPr>
        <w:t>has the meaning set forth in Section 2.6.2.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 xml:space="preserve">“Proposing Party” </w:t>
      </w:r>
      <w:r>
        <w:rPr>
          <w:rFonts w:ascii="Arial" w:cs="Arial" w:eastAsia="Arial" w:hAnsi="Arial"/>
          <w:sz w:val="16"/>
          <w:szCs w:val="16"/>
          <w:color w:val="auto"/>
        </w:rPr>
        <w:t>has the meaning set forth in Section 2.6.1.</w:t>
      </w:r>
    </w:p>
    <w:p>
      <w:pPr>
        <w:spacing w:after="0" w:line="225"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b w:val="1"/>
          <w:bCs w:val="1"/>
          <w:color w:val="auto"/>
        </w:rPr>
        <w:t xml:space="preserve">1.122. “Prosecution” </w:t>
      </w:r>
      <w:r>
        <w:rPr>
          <w:rFonts w:ascii="Arial" w:cs="Arial" w:eastAsia="Arial" w:hAnsi="Arial"/>
          <w:sz w:val="18"/>
          <w:szCs w:val="18"/>
          <w:color w:val="auto"/>
        </w:rPr>
        <w:t>means the preparation, filing, prosecution, issuance and maintenance of the Patent Rights, including continuations,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continuations-in-part, divisionals, extensions,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reissues, supplemental examination, appeals, interferences, derivation proceedings, oppositions, all other proceedings before the United States Patent and Trademark Office (including the Patent Trial and Appeal Board) and foreign patent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t>offices, and any judicial or other appeals of the foregoing. Cognates of the word “Prosecution” have their correlative meanings.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b w:val="1"/>
          <w:bCs w:val="1"/>
          <w:color w:val="auto"/>
        </w:rPr>
        <w:t xml:space="preserve">“Record Retention Period” </w:t>
      </w:r>
      <w:r>
        <w:rPr>
          <w:rFonts w:ascii="Arial" w:cs="Arial" w:eastAsia="Arial" w:hAnsi="Arial"/>
          <w:sz w:val="16"/>
          <w:szCs w:val="16"/>
          <w:color w:val="auto"/>
        </w:rPr>
        <w:t>has the meaning set forth in Section 5.3.</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1.124. “Regulatory Approval” </w:t>
      </w:r>
      <w:r>
        <w:rPr>
          <w:rFonts w:ascii="Arial" w:cs="Arial" w:eastAsia="Arial" w:hAnsi="Arial"/>
          <w:sz w:val="18"/>
          <w:szCs w:val="18"/>
          <w:color w:val="auto"/>
        </w:rPr>
        <w:t>means, with respect to a particular product or service, receipt of all regulatory clearances or approvals (which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the E.U. may be through the centralized procedure) required in the jurisdiction in question for the sale of the applicable product or service in such jurisdiction, including receipt of pricing approval, if any, legally required for such sale.</w:t>
      </w:r>
    </w:p>
    <w:p>
      <w:pPr>
        <w:spacing w:after="0" w:line="176" w:lineRule="exact"/>
        <w:rPr>
          <w:sz w:val="20"/>
          <w:szCs w:val="20"/>
          <w:color w:val="auto"/>
        </w:rPr>
      </w:pPr>
    </w:p>
    <w:p>
      <w:pPr>
        <w:ind w:right="540" w:firstLine="648"/>
        <w:spacing w:after="0" w:line="347" w:lineRule="auto"/>
        <w:rPr>
          <w:sz w:val="20"/>
          <w:szCs w:val="20"/>
          <w:color w:val="auto"/>
        </w:rPr>
      </w:pPr>
      <w:r>
        <w:rPr>
          <w:rFonts w:ascii="Arial" w:cs="Arial" w:eastAsia="Arial" w:hAnsi="Arial"/>
          <w:sz w:val="16"/>
          <w:szCs w:val="16"/>
          <w:b w:val="1"/>
          <w:bCs w:val="1"/>
          <w:color w:val="auto"/>
        </w:rPr>
        <w:t xml:space="preserve">1.125. “Regulatory Authority” </w:t>
      </w:r>
      <w:r>
        <w:rPr>
          <w:rFonts w:ascii="Arial" w:cs="Arial" w:eastAsia="Arial" w:hAnsi="Arial"/>
          <w:sz w:val="16"/>
          <w:szCs w:val="16"/>
          <w:color w:val="auto"/>
        </w:rPr>
        <w:t>means any applicable government regulatory authority involved in granting clearances or approvals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and marketing of a Licensed Product, Licensed Service, Enabled Product or Enabled Service including, in the United States, the FDA.</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1.127.</w:t>
      </w:r>
      <w:r>
        <w:rPr>
          <w:sz w:val="20"/>
          <w:szCs w:val="20"/>
          <w:color w:val="auto"/>
        </w:rPr>
        <w:tab/>
      </w:r>
      <w:r>
        <w:rPr>
          <w:rFonts w:ascii="Arial" w:cs="Arial" w:eastAsia="Arial" w:hAnsi="Arial"/>
          <w:sz w:val="15"/>
          <w:szCs w:val="15"/>
          <w:b w:val="1"/>
          <w:bCs w:val="1"/>
          <w:color w:val="auto"/>
        </w:rPr>
        <w:t xml:space="preserve">“Response Notice” </w:t>
      </w:r>
      <w:r>
        <w:rPr>
          <w:rFonts w:ascii="Arial" w:cs="Arial" w:eastAsia="Arial" w:hAnsi="Arial"/>
          <w:sz w:val="15"/>
          <w:szCs w:val="15"/>
          <w:color w:val="auto"/>
        </w:rPr>
        <w:t>has the meaning set forth in Section 3.1.1.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1.128.</w:t>
      </w:r>
      <w:r>
        <w:rPr>
          <w:sz w:val="20"/>
          <w:szCs w:val="20"/>
          <w:color w:val="auto"/>
        </w:rPr>
        <w:tab/>
      </w:r>
      <w:r>
        <w:rPr>
          <w:rFonts w:ascii="Arial" w:cs="Arial" w:eastAsia="Arial" w:hAnsi="Arial"/>
          <w:sz w:val="16"/>
          <w:szCs w:val="16"/>
          <w:b w:val="1"/>
          <w:bCs w:val="1"/>
          <w:color w:val="auto"/>
        </w:rPr>
        <w:t xml:space="preserve">“Response Period” </w:t>
      </w:r>
      <w:r>
        <w:rPr>
          <w:rFonts w:ascii="Arial" w:cs="Arial" w:eastAsia="Arial" w:hAnsi="Arial"/>
          <w:sz w:val="16"/>
          <w:szCs w:val="16"/>
          <w:color w:val="auto"/>
        </w:rPr>
        <w:t>has the meaning set forth in Section 3.1.1.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1.129.</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b w:val="1"/>
          <w:bCs w:val="1"/>
          <w:color w:val="auto"/>
        </w:rPr>
        <w:t xml:space="preserve">1.130. “Royalty Term” </w:t>
      </w:r>
      <w:r>
        <w:rPr>
          <w:rFonts w:ascii="Arial" w:cs="Arial" w:eastAsia="Arial" w:hAnsi="Arial"/>
          <w:sz w:val="16"/>
          <w:szCs w:val="16"/>
          <w:color w:val="auto"/>
        </w:rPr>
        <w:t>means, on a country-by-country and product/service-byproduct/service basis, the period commencing on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and ending on the later of: (a) the expiration of the last Valid Claim within the Patent Rights Covering the Licensed Product or Licensed Service or</w:t>
      </w:r>
    </w:p>
    <w:p>
      <w:pPr>
        <w:spacing w:after="0" w:line="1" w:lineRule="exact"/>
        <w:rPr>
          <w:sz w:val="20"/>
          <w:szCs w:val="20"/>
          <w:color w:val="auto"/>
        </w:rPr>
      </w:pPr>
    </w:p>
    <w:p>
      <w:pPr>
        <w:ind w:right="180" w:firstLine="8"/>
        <w:spacing w:after="0" w:line="261" w:lineRule="auto"/>
        <w:tabs>
          <w:tab w:leader="none" w:pos="2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 anniversary of the date of the First Commercial Sale of the Licensed Product, Licensed Service, Enabled Product or Enabled Service; provided that, [***].</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6"/>
          <w:szCs w:val="16"/>
          <w:b w:val="1"/>
          <w:bCs w:val="1"/>
          <w:color w:val="auto"/>
        </w:rPr>
        <w:t xml:space="preserve">“Selected Target” </w:t>
      </w:r>
      <w:r>
        <w:rPr>
          <w:rFonts w:ascii="Arial" w:cs="Arial" w:eastAsia="Arial" w:hAnsi="Arial"/>
          <w:sz w:val="16"/>
          <w:szCs w:val="16"/>
          <w:color w:val="auto"/>
        </w:rPr>
        <w:t>has the meaning set forth in Section 2.6.5.2.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6"/>
          <w:szCs w:val="16"/>
          <w:b w:val="1"/>
          <w:bCs w:val="1"/>
          <w:color w:val="auto"/>
        </w:rPr>
        <w:t xml:space="preserve">“Selection Date” </w:t>
      </w:r>
      <w:r>
        <w:rPr>
          <w:rFonts w:ascii="Arial" w:cs="Arial" w:eastAsia="Arial" w:hAnsi="Arial"/>
          <w:sz w:val="16"/>
          <w:szCs w:val="16"/>
          <w:color w:val="auto"/>
        </w:rPr>
        <w:t>has the meaning set forth in Section 2.6.5.2.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1.139.</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1.140.</w:t>
      </w:r>
      <w:r>
        <w:rPr>
          <w:sz w:val="20"/>
          <w:szCs w:val="20"/>
          <w:color w:val="auto"/>
        </w:rPr>
        <w:tab/>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b w:val="1"/>
          <w:bCs w:val="1"/>
          <w:color w:val="auto"/>
        </w:rPr>
        <w:t xml:space="preserve">“Sublicense” </w:t>
      </w:r>
      <w:r>
        <w:rPr>
          <w:rFonts w:ascii="Arial" w:cs="Arial" w:eastAsia="Arial" w:hAnsi="Arial"/>
          <w:sz w:val="16"/>
          <w:szCs w:val="16"/>
          <w:color w:val="auto"/>
        </w:rPr>
        <w:t>means an agreement (other than an assignment of this Agreement in compliance with Section 11.14) in which Company</w:t>
      </w:r>
    </w:p>
    <w:p>
      <w:pPr>
        <w:spacing w:after="0" w:line="27" w:lineRule="exact"/>
        <w:rPr>
          <w:sz w:val="20"/>
          <w:szCs w:val="20"/>
          <w:color w:val="auto"/>
        </w:rPr>
      </w:pPr>
    </w:p>
    <w:p>
      <w:pPr>
        <w:ind w:firstLine="8"/>
        <w:spacing w:after="0" w:line="281" w:lineRule="auto"/>
        <w:tabs>
          <w:tab w:leader="none" w:pos="24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grants or otherwise transfers any of the rights licensed to Company hereunder or rights relating to Licensed Products, Licensed Services, Enabled Products or Enabled Services, (b) agrees not to assert such rights or to sue, prevent or seek a legal remedy for the practice of same, or (c) is under an obligation to grant, assign or transfer any such rights or non-assertion, or to forebear from granting or transferring such rights to any other entity, including by means of an option. Agreements expressly considered Sublicenses include (i) licenses, option agreements, “lock up” agreements, right of first refusal agreements, non-assertion agreements, covenants not to sue, distribution agreements that grant or otherwise transfer any rights licensed to Company hereunder, or similar agreements, and (ii) agreements that grant or otherwise transfer rights licensed to Company under this Agreement along with rights owned by the Company or granted to the Company by a Third Party, but excluded from this definition of “Sublicense” is an assignment of this Agreement in compliance with</w:t>
      </w:r>
    </w:p>
    <w:p>
      <w:pPr>
        <w:spacing w:after="0" w:line="4" w:lineRule="exact"/>
        <w:rPr>
          <w:rFonts w:ascii="Arial" w:cs="Arial" w:eastAsia="Arial" w:hAnsi="Arial"/>
          <w:sz w:val="16"/>
          <w:szCs w:val="16"/>
          <w:color w:val="auto"/>
        </w:rPr>
      </w:pPr>
    </w:p>
    <w:p>
      <w:pPr>
        <w:ind w:right="60"/>
        <w:spacing w:after="0" w:line="323" w:lineRule="auto"/>
        <w:rPr>
          <w:rFonts w:ascii="Arial" w:cs="Arial" w:eastAsia="Arial" w:hAnsi="Arial"/>
          <w:sz w:val="16"/>
          <w:szCs w:val="16"/>
          <w:color w:val="auto"/>
        </w:rPr>
      </w:pPr>
      <w:r>
        <w:rPr>
          <w:rFonts w:ascii="Arial" w:cs="Arial" w:eastAsia="Arial" w:hAnsi="Arial"/>
          <w:sz w:val="16"/>
          <w:szCs w:val="16"/>
          <w:color w:val="auto"/>
        </w:rPr>
        <w:t>Section 11.14. For the avoidance of doubt, if a Sublicense is entered into pursuant to an option or similar agreement that is also a Sublicense, then the date of execution of the Sublicense shall be the execution date of the option or similar agreement, not the date of the exercise of the option or similar agreement.</w:t>
      </w:r>
    </w:p>
    <w:p>
      <w:pPr>
        <w:spacing w:after="0" w:line="1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1.143.</w:t>
      </w:r>
      <w:r>
        <w:rPr>
          <w:sz w:val="20"/>
          <w:szCs w:val="20"/>
          <w:color w:val="auto"/>
        </w:rPr>
        <w:tab/>
      </w:r>
      <w:r>
        <w:rPr>
          <w:rFonts w:ascii="Arial" w:cs="Arial" w:eastAsia="Arial" w:hAnsi="Arial"/>
          <w:sz w:val="16"/>
          <w:szCs w:val="16"/>
          <w:b w:val="1"/>
          <w:bCs w:val="1"/>
          <w:color w:val="auto"/>
        </w:rPr>
        <w:t xml:space="preserve">“Sublicensee” </w:t>
      </w:r>
      <w:r>
        <w:rPr>
          <w:rFonts w:ascii="Arial" w:cs="Arial" w:eastAsia="Arial" w:hAnsi="Arial"/>
          <w:sz w:val="16"/>
          <w:szCs w:val="16"/>
          <w:color w:val="auto"/>
        </w:rPr>
        <w:t>means any Third Party of Company to which Company has granted a Sublicense.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1.144.</w:t>
      </w:r>
      <w:r>
        <w:rPr>
          <w:sz w:val="20"/>
          <w:szCs w:val="20"/>
          <w:color w:val="auto"/>
        </w:rPr>
        <w:tab/>
      </w:r>
      <w:r>
        <w:rPr>
          <w:rFonts w:ascii="Arial" w:cs="Arial" w:eastAsia="Arial" w:hAnsi="Arial"/>
          <w:sz w:val="16"/>
          <w:szCs w:val="16"/>
          <w:b w:val="1"/>
          <w:bCs w:val="1"/>
          <w:color w:val="auto"/>
        </w:rPr>
        <w:t xml:space="preserve">“Suit” </w:t>
      </w:r>
      <w:r>
        <w:rPr>
          <w:rFonts w:ascii="Arial" w:cs="Arial" w:eastAsia="Arial" w:hAnsi="Arial"/>
          <w:sz w:val="16"/>
          <w:szCs w:val="16"/>
          <w:color w:val="auto"/>
        </w:rPr>
        <w:t>has the meaning set forth in Section 11.8.</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1.145.</w:t>
      </w:r>
      <w:r>
        <w:rPr>
          <w:sz w:val="20"/>
          <w:szCs w:val="20"/>
          <w:color w:val="auto"/>
        </w:rPr>
        <w:tab/>
      </w:r>
      <w:r>
        <w:rPr>
          <w:rFonts w:ascii="Arial" w:cs="Arial" w:eastAsia="Arial" w:hAnsi="Arial"/>
          <w:sz w:val="16"/>
          <w:szCs w:val="16"/>
          <w:b w:val="1"/>
          <w:bCs w:val="1"/>
          <w:color w:val="auto"/>
        </w:rPr>
        <w:t xml:space="preserve">“TALE Patent Rights” </w:t>
      </w:r>
      <w:r>
        <w:rPr>
          <w:rFonts w:ascii="Arial" w:cs="Arial" w:eastAsia="Arial" w:hAnsi="Arial"/>
          <w:sz w:val="16"/>
          <w:szCs w:val="16"/>
          <w:color w:val="auto"/>
        </w:rPr>
        <w:t>means the Patent Rights identified on Exhibit 1.105 as TALE Patent Rights.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1.146.</w:t>
      </w:r>
      <w:r>
        <w:rPr>
          <w:sz w:val="20"/>
          <w:szCs w:val="20"/>
          <w:color w:val="auto"/>
        </w:rPr>
        <w:tab/>
      </w:r>
      <w:r>
        <w:rPr>
          <w:rFonts w:ascii="Arial" w:cs="Arial" w:eastAsia="Arial" w:hAnsi="Arial"/>
          <w:sz w:val="16"/>
          <w:szCs w:val="16"/>
          <w:b w:val="1"/>
          <w:bCs w:val="1"/>
          <w:color w:val="auto"/>
        </w:rPr>
        <w:t xml:space="preserve">“Target-Based Collaboration” </w:t>
      </w:r>
      <w:r>
        <w:rPr>
          <w:rFonts w:ascii="Arial" w:cs="Arial" w:eastAsia="Arial" w:hAnsi="Arial"/>
          <w:sz w:val="16"/>
          <w:szCs w:val="16"/>
          <w:color w:val="auto"/>
        </w:rPr>
        <w:t>has the meaning set forth in Section 2.6.5.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1.147.</w:t>
      </w:r>
      <w:r>
        <w:rPr>
          <w:sz w:val="20"/>
          <w:szCs w:val="20"/>
          <w:color w:val="auto"/>
        </w:rPr>
        <w:tab/>
      </w:r>
      <w:r>
        <w:rPr>
          <w:rFonts w:ascii="Arial" w:cs="Arial" w:eastAsia="Arial" w:hAnsi="Arial"/>
          <w:sz w:val="16"/>
          <w:szCs w:val="16"/>
          <w:b w:val="1"/>
          <w:bCs w:val="1"/>
          <w:color w:val="auto"/>
        </w:rPr>
        <w:t xml:space="preserve">“Target-Based Collaborator” </w:t>
      </w:r>
      <w:r>
        <w:rPr>
          <w:rFonts w:ascii="Arial" w:cs="Arial" w:eastAsia="Arial" w:hAnsi="Arial"/>
          <w:sz w:val="16"/>
          <w:szCs w:val="16"/>
          <w:color w:val="auto"/>
        </w:rPr>
        <w:t>has the meaning set forth in Section 2.6.5.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1.148.</w:t>
      </w:r>
      <w:r>
        <w:rPr>
          <w:sz w:val="20"/>
          <w:szCs w:val="20"/>
          <w:color w:val="auto"/>
        </w:rPr>
        <w:tab/>
      </w:r>
      <w:r>
        <w:rPr>
          <w:rFonts w:ascii="Arial" w:cs="Arial" w:eastAsia="Arial" w:hAnsi="Arial"/>
          <w:sz w:val="16"/>
          <w:szCs w:val="16"/>
          <w:b w:val="1"/>
          <w:bCs w:val="1"/>
          <w:color w:val="auto"/>
        </w:rPr>
        <w:t xml:space="preserve">“Target List” </w:t>
      </w:r>
      <w:r>
        <w:rPr>
          <w:rFonts w:ascii="Arial" w:cs="Arial" w:eastAsia="Arial" w:hAnsi="Arial"/>
          <w:sz w:val="16"/>
          <w:szCs w:val="16"/>
          <w:color w:val="auto"/>
        </w:rPr>
        <w:t>has the meaning set forth in Section 2.6.5.2.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1.149.</w:t>
      </w:r>
      <w:r>
        <w:rPr>
          <w:sz w:val="20"/>
          <w:szCs w:val="20"/>
          <w:color w:val="auto"/>
        </w:rPr>
        <w:tab/>
      </w:r>
      <w:r>
        <w:rPr>
          <w:rFonts w:ascii="Arial" w:cs="Arial" w:eastAsia="Arial" w:hAnsi="Arial"/>
          <w:sz w:val="16"/>
          <w:szCs w:val="16"/>
          <w:b w:val="1"/>
          <w:bCs w:val="1"/>
          <w:color w:val="auto"/>
        </w:rPr>
        <w:t xml:space="preserve">“Temporary Extension” </w:t>
      </w:r>
      <w:r>
        <w:rPr>
          <w:rFonts w:ascii="Arial" w:cs="Arial" w:eastAsia="Arial" w:hAnsi="Arial"/>
          <w:sz w:val="16"/>
          <w:szCs w:val="16"/>
          <w:color w:val="auto"/>
        </w:rPr>
        <w:t>has the meaning set forth in Section 10.3.1.2.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1.150.</w:t>
      </w:r>
      <w:r>
        <w:rPr>
          <w:sz w:val="20"/>
          <w:szCs w:val="20"/>
          <w:color w:val="auto"/>
        </w:rPr>
        <w:tab/>
      </w:r>
      <w:r>
        <w:rPr>
          <w:rFonts w:ascii="Arial" w:cs="Arial" w:eastAsia="Arial" w:hAnsi="Arial"/>
          <w:sz w:val="16"/>
          <w:szCs w:val="16"/>
          <w:b w:val="1"/>
          <w:bCs w:val="1"/>
          <w:color w:val="auto"/>
        </w:rPr>
        <w:t xml:space="preserve">“Term” </w:t>
      </w:r>
      <w:r>
        <w:rPr>
          <w:rFonts w:ascii="Arial" w:cs="Arial" w:eastAsia="Arial" w:hAnsi="Arial"/>
          <w:sz w:val="16"/>
          <w:szCs w:val="16"/>
          <w:color w:val="auto"/>
        </w:rPr>
        <w:t>means the term of this Agreement as set forth in Section 10.1.</w:t>
      </w:r>
    </w:p>
    <w:p>
      <w:pPr>
        <w:sectPr>
          <w:pgSz w:w="11900" w:h="16838" w:orient="portrait"/>
          <w:cols w:equalWidth="0" w:num="1">
            <w:col w:w="11420"/>
          </w:cols>
          <w:pgMar w:left="240" w:top="125" w:right="239" w:bottom="0" w:gutter="0" w:footer="0" w:header="0"/>
        </w:sectPr>
      </w:pPr>
    </w:p>
    <w:bookmarkStart w:id="342" w:name="page343"/>
    <w:bookmarkEnd w:id="342"/>
    <w:p>
      <w:pPr>
        <w:spacing w:after="0" w:line="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1.151.</w:t>
      </w:r>
      <w:r>
        <w:rPr>
          <w:sz w:val="20"/>
          <w:szCs w:val="20"/>
          <w:color w:val="auto"/>
        </w:rPr>
        <w:tab/>
      </w:r>
      <w:r>
        <w:rPr>
          <w:rFonts w:ascii="Arial" w:cs="Arial" w:eastAsia="Arial" w:hAnsi="Arial"/>
          <w:sz w:val="16"/>
          <w:szCs w:val="16"/>
          <w:b w:val="1"/>
          <w:bCs w:val="1"/>
          <w:color w:val="auto"/>
        </w:rPr>
        <w:t xml:space="preserve">“Third Party” </w:t>
      </w:r>
      <w:r>
        <w:rPr>
          <w:rFonts w:ascii="Arial" w:cs="Arial" w:eastAsia="Arial" w:hAnsi="Arial"/>
          <w:sz w:val="16"/>
          <w:szCs w:val="16"/>
          <w:color w:val="auto"/>
        </w:rPr>
        <w:t>means any Person that is not (a) an Institution, (b) Company or (c) an Affiliate of Company.</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1.152. “Trait” </w:t>
      </w:r>
      <w:r>
        <w:rPr>
          <w:rFonts w:ascii="Arial" w:cs="Arial" w:eastAsia="Arial" w:hAnsi="Arial"/>
          <w:sz w:val="18"/>
          <w:szCs w:val="18"/>
          <w:color w:val="auto"/>
        </w:rPr>
        <w:t>means any biochemical, physiological, physical or other attribute or phenotype of a cell, plant or plant component, or animal or</w:t>
      </w:r>
      <w:r>
        <w:rPr>
          <w:rFonts w:ascii="Arial" w:cs="Arial" w:eastAsia="Arial" w:hAnsi="Arial"/>
          <w:sz w:val="18"/>
          <w:szCs w:val="18"/>
          <w:b w:val="1"/>
          <w:bCs w:val="1"/>
          <w:color w:val="auto"/>
        </w:rPr>
        <w:t xml:space="preserve"> </w:t>
      </w:r>
      <w:r>
        <w:rPr>
          <w:rFonts w:ascii="Arial" w:cs="Arial" w:eastAsia="Arial" w:hAnsi="Arial"/>
          <w:sz w:val="18"/>
          <w:szCs w:val="18"/>
          <w:color w:val="auto"/>
        </w:rPr>
        <w:t>animal component.</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1.153. “Valid Claim” </w:t>
      </w:r>
      <w:r>
        <w:rPr>
          <w:rFonts w:ascii="Arial" w:cs="Arial" w:eastAsia="Arial" w:hAnsi="Arial"/>
          <w:sz w:val="18"/>
          <w:szCs w:val="18"/>
          <w:color w:val="auto"/>
        </w:rPr>
        <w:t>means: (a) a claim of an issued and unexpired patent within the Patent Rights that has not been (i) held permanently</w:t>
      </w:r>
      <w:r>
        <w:rPr>
          <w:rFonts w:ascii="Arial" w:cs="Arial" w:eastAsia="Arial" w:hAnsi="Arial"/>
          <w:sz w:val="18"/>
          <w:szCs w:val="18"/>
          <w:b w:val="1"/>
          <w:bCs w:val="1"/>
          <w:color w:val="auto"/>
        </w:rPr>
        <w:t xml:space="preserve"> </w:t>
      </w:r>
      <w:r>
        <w:rPr>
          <w:rFonts w:ascii="Arial" w:cs="Arial" w:eastAsia="Arial" w:hAnsi="Arial"/>
          <w:sz w:val="18"/>
          <w:szCs w:val="18"/>
          <w:color w:val="auto"/>
        </w:rPr>
        <w:t>revoked, unenforceable, unpatentable or invalid by a decision of a court or governmental body of competent jurisdiction, unappealable or unappealed within the time allowed for appeal, (ii) disclaimed or rendered unenforceable through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disclaimer or otherwise, or (iii) abandoned, or (b) a pending claim of a pending patent application within the Patent Rights, which claim has not been pending for more than [***] years from the first substantive office action with respect to the pending claim and has not been abandoned or finally rejected without the possibility of appeal or refiling or without such appeal having been taken or refiling having been made within the applicable time periods. Notwithstanding the foregoing, (i) the [***] year pendency period set forth in clause (b) above shall only apply if, [***]. The invalidity of a particular claim in one or more countries shall not invalidate such claim in any remaining countries. For the avoidance of doubt, a pending claim of a patent application filed pursuant to the Patent Cooperation Treaty shall be considered pending in all designated jurisdictions.</w:t>
      </w:r>
    </w:p>
    <w:p>
      <w:pPr>
        <w:spacing w:after="0" w:line="174"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5"/>
          <w:szCs w:val="15"/>
          <w:b w:val="1"/>
          <w:bCs w:val="1"/>
          <w:color w:val="auto"/>
        </w:rPr>
        <w:t>License Grants.</w:t>
      </w:r>
    </w:p>
    <w:p>
      <w:pPr>
        <w:spacing w:after="0" w:line="229"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Exclusive License Grant</w:t>
      </w:r>
      <w:r>
        <w:rPr>
          <w:rFonts w:ascii="Arial" w:cs="Arial" w:eastAsia="Arial" w:hAnsi="Arial"/>
          <w:sz w:val="16"/>
          <w:szCs w:val="16"/>
          <w:color w:val="auto"/>
        </w:rPr>
        <w:t>. Subject to Section 2.2 and the other terms and conditions of this Agreement, each Institution hereby grants to Company an exclusive, worldwide, royalty-bearing license, sublicensable solely in accordance with Section 2.5 below, under each Institution’s respective interest in the Patent Rights, solely to make, have made, use, have used, sell, offer for sale, have sold, export and import Licensed Products, solely for use in the Field, except that (a) the license granted by Broad is non-exclusive with respect to the treatment of medullary cystic kidney disease 1, and</w:t>
      </w:r>
    </w:p>
    <w:p>
      <w:pPr>
        <w:spacing w:after="0" w:line="2" w:lineRule="exact"/>
        <w:rPr>
          <w:sz w:val="20"/>
          <w:szCs w:val="20"/>
          <w:color w:val="auto"/>
        </w:rPr>
      </w:pPr>
    </w:p>
    <w:p>
      <w:pPr>
        <w:ind w:right="200" w:firstLine="8"/>
        <w:spacing w:after="0" w:line="295" w:lineRule="auto"/>
        <w:tabs>
          <w:tab w:leader="none" w:pos="25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license granted by both Institutions excludes (i) the field of modifying animals or animal cells for the creation, making, having made, use, sale, offer for sale, having sold, exportation and importation of organs suitable for xenotransplantation into humans and (ii) research and development, and commercialization and other use or exploitation, of products or services in the field of Livestock Applications. For the avoidance of doubt, the exclusive license under this Section 2.1.1 does not include a license for Licensed Services (a non-exclusive license for which is granted under Section 2.1.2 hereof).</w:t>
      </w:r>
    </w:p>
    <w:p>
      <w:pPr>
        <w:spacing w:after="0" w:line="162"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Non-Exclusive License Grant</w:t>
      </w:r>
      <w:r>
        <w:rPr>
          <w:rFonts w:ascii="Arial" w:cs="Arial" w:eastAsia="Arial" w:hAnsi="Arial"/>
          <w:sz w:val="17"/>
          <w:szCs w:val="17"/>
          <w:color w:val="auto"/>
        </w:rPr>
        <w:t>. Subject to Section 2.2 and the other terms and conditions of this Agreement, each Institution hereby grants to Company a non-exclusive, worldwide, royalty-bearing license, sublicensable solely in accordance with Section 2.5 below, under each Institution’s respective interest in the Patent Rights and the Institution Information, for all purposes, including without limitation (a) for internal research and development purposes, (b) for research, development and commercialization of research products and research tools, (c) for research, development and commercialization of bioprocess products, (d) for research, development and commercialization of Enabled Products and Enabled Services, (e) for research, development and commercialization of agricultural products, (f) for treatment of animal disease, (g) to perform or provide Licensed Services and Enabled Services, (h) for research, development and commercialization of diagnostic products, and (i) for research, development and commercialization of products for the treatment and prevention of human disease outside the Field; provided that the license granted by Harvard under the Church IP excludes (A) the field of modifying animals or animal cells for the creation, making, having made, use, sale, offer for sale, having sold, exportation and importation of organs suitable for xenotransplantation into humans and (B) research and development, and commercialization and other use or exploitation of products or services, in the field of Livestock Applications.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Reservation of Rights. </w:t>
      </w:r>
      <w:r>
        <w:rPr>
          <w:rFonts w:ascii="Arial" w:cs="Arial" w:eastAsia="Arial" w:hAnsi="Arial"/>
          <w:sz w:val="16"/>
          <w:szCs w:val="16"/>
          <w:color w:val="auto"/>
        </w:rPr>
        <w:t>Notwithstanding anything herein to the contrary:</w:t>
      </w:r>
    </w:p>
    <w:p>
      <w:pPr>
        <w:spacing w:after="0" w:line="229"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Government and Non-Profit Rights</w:t>
      </w:r>
      <w:r>
        <w:rPr>
          <w:rFonts w:ascii="Arial" w:cs="Arial" w:eastAsia="Arial" w:hAnsi="Arial"/>
          <w:sz w:val="16"/>
          <w:szCs w:val="16"/>
          <w:color w:val="auto"/>
        </w:rPr>
        <w:t>. Any and all licenses and other rights granted under this Agreement are limited by and subject to (a) any rights or obligations of the Institutions and United States government under 35 U.S.C. §§ 200-212 and 37 CFR Part 401 et seq.; any right granted in this Agreement greater than that permitted under 35 U.S.C. §§ 200-212 and 37 CFR Part 401 et seq. shall be subject to modification as may be required to conform to the provisions of those statutes and regulations, and (b) Institutions’ and MIT’s reservation of the right, for each of them and other academic, government and non-profit entities, to make, use and practice the Patent Rights for research, teaching, or educational purposes. Further, Company acknowledges that it has been informed that the Patent Rights and Institution Technology Transfer Materials were developed, at least in part, by employees of HHMI and that HHMI has a fully paid-up, non-exclusive, irrevocable, worldwide license to exercise any intellectual property rights with respect to such Patent Rights and Institution Technology Transfer Materials for research purposes, with the right to sublicense to non-profit and governmental entities (the “</w:t>
      </w:r>
      <w:r>
        <w:rPr>
          <w:rFonts w:ascii="Arial" w:cs="Arial" w:eastAsia="Arial" w:hAnsi="Arial"/>
          <w:sz w:val="16"/>
          <w:szCs w:val="16"/>
          <w:b w:val="1"/>
          <w:bCs w:val="1"/>
          <w:color w:val="auto"/>
        </w:rPr>
        <w:t>HHMI License</w:t>
      </w:r>
      <w:r>
        <w:rPr>
          <w:rFonts w:ascii="Arial" w:cs="Arial" w:eastAsia="Arial" w:hAnsi="Arial"/>
          <w:sz w:val="16"/>
          <w:szCs w:val="16"/>
          <w:color w:val="auto"/>
        </w:rPr>
        <w:t>”). Any and all licenses and other rights granted under this Agreement are explicitly made subject to the HHMI License.</w:t>
      </w:r>
    </w:p>
    <w:p>
      <w:pPr>
        <w:spacing w:after="0" w:line="16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Research Reservation</w:t>
      </w:r>
      <w:r>
        <w:rPr>
          <w:rFonts w:ascii="Arial" w:cs="Arial" w:eastAsia="Arial" w:hAnsi="Arial"/>
          <w:sz w:val="18"/>
          <w:szCs w:val="18"/>
          <w:color w:val="auto"/>
        </w:rPr>
        <w:t>. In addition to the reservation of rights under Section 2.2.1, the exclusive license granted to Company in the Field under Section 2.1.1 of this Agreement is subject to Institutions’ and MIT’s reservation of the right, for each of them and any Third Party (including non-profit and for-profit entities, subject to Section [***]), to research, develop, make, have made, use, offer for sale, sell, have sold, import or otherwise exploit the Patent Rights and Licensed Products as research products or research tools, or for research purposes, in the Field. Without otherwise limiting or expanding the foregoing, for the purposes of this Section 2.2.2, “research purposes” shall not be interpreted to include the administration of Licensed Products into humans.</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2.2.3.</w:t>
        <w:tab/>
        <w:t>[***]</w:t>
      </w:r>
    </w:p>
    <w:p>
      <w:pPr>
        <w:spacing w:after="0" w:line="221" w:lineRule="exact"/>
        <w:rPr>
          <w:sz w:val="20"/>
          <w:szCs w:val="20"/>
          <w:color w:val="auto"/>
        </w:rPr>
      </w:pPr>
    </w:p>
    <w:p>
      <w:pPr>
        <w:ind w:right="400" w:firstLine="648"/>
        <w:spacing w:after="0" w:line="313" w:lineRule="auto"/>
        <w:rPr>
          <w:sz w:val="20"/>
          <w:szCs w:val="20"/>
          <w:color w:val="auto"/>
        </w:rPr>
      </w:pPr>
      <w:r>
        <w:rPr>
          <w:rFonts w:ascii="Arial" w:cs="Arial" w:eastAsia="Arial" w:hAnsi="Arial"/>
          <w:sz w:val="17"/>
          <w:szCs w:val="17"/>
          <w:b w:val="1"/>
          <w:bCs w:val="1"/>
          <w:color w:val="auto"/>
        </w:rPr>
        <w:t xml:space="preserve">2.3. Affiliates. </w:t>
      </w:r>
      <w:r>
        <w:rPr>
          <w:rFonts w:ascii="Arial" w:cs="Arial" w:eastAsia="Arial" w:hAnsi="Arial"/>
          <w:sz w:val="17"/>
          <w:szCs w:val="17"/>
          <w:color w:val="auto"/>
        </w:rPr>
        <w:t>The licenses granted to Company under Section 2.1 include the right to have some or all of Company’s rights or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exercised or performed by one or more of Company’s Affiliates on Company’s behalf; provided, however, that:</w:t>
      </w:r>
    </w:p>
    <w:p>
      <w:pPr>
        <w:spacing w:after="0" w:line="142"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2.3.1. Company shall notify Institutions in writing [***] days in advance of any Affiliate exercising or performing any of Company’s rights or obligations under this Agreement;</w:t>
      </w:r>
    </w:p>
    <w:p>
      <w:pPr>
        <w:sectPr>
          <w:pgSz w:w="11900" w:h="16928" w:orient="portrait"/>
          <w:cols w:equalWidth="0" w:num="1">
            <w:col w:w="11420"/>
          </w:cols>
          <w:pgMar w:left="240" w:top="337" w:right="239" w:bottom="0" w:gutter="0" w:footer="0" w:header="0"/>
        </w:sectPr>
      </w:pPr>
    </w:p>
    <w:bookmarkStart w:id="343" w:name="page344"/>
    <w:bookmarkEnd w:id="343"/>
    <w:p>
      <w:pPr>
        <w:ind w:right="240" w:firstLine="1297"/>
        <w:spacing w:after="0" w:line="259" w:lineRule="auto"/>
        <w:rPr>
          <w:sz w:val="20"/>
          <w:szCs w:val="20"/>
          <w:color w:val="auto"/>
        </w:rPr>
      </w:pPr>
      <w:r>
        <w:rPr>
          <w:rFonts w:ascii="Arial" w:cs="Arial" w:eastAsia="Arial" w:hAnsi="Arial"/>
          <w:sz w:val="18"/>
          <w:szCs w:val="18"/>
          <w:color w:val="auto"/>
        </w:rPr>
        <w:t>2.3.2. prior to any Affiliate exercising or performing any of Company’s rights or obligations under this Agreement, such Affiliate shall agree in writing with Company to be bound by the terms and conditions of this Agreement as if it were Company hereunder, including specific written agreement (a) to indemnify, defend and hold Indemnitees and HHMI Indemnitees harmless, and carry insurance, under the same terms as Article 9 of this Agreement, and (b) that Institutions and HHMI are express third party beneficiaries of such writing;</w:t>
      </w:r>
    </w:p>
    <w:p>
      <w:pPr>
        <w:spacing w:after="0" w:line="187"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2.3.3. no such Affiliate shall be entitled to grant, directly or indirectly, to any Person any right of whatever nature under, or with respect to, or permitting any use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exploitation of, any of the Patent Rights or the Institution Technology Transfer Materials, including any right to develop, manufacture, market or sell Licensed Products or to perform Licensed Services;</w:t>
      </w:r>
    </w:p>
    <w:p>
      <w:pPr>
        <w:spacing w:after="0" w:line="170"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2.3.4. any act or omission by an Affiliate of Company shall be deemed an act or omission by Company hereunder, and Company shall be responsible for each of its Affiliates complying with all obligations of Company under this Agreement (including without limitation all restrictions placed on Company herein);</w:t>
      </w:r>
    </w:p>
    <w:p>
      <w:pPr>
        <w:spacing w:after="0" w:line="18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2.3.5. any assumption of rights or obligations by Affiliates of Company under this Agreement shall not relieve Company of any of its obligations under this Agreement; and</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without the prior written consent of Institutions, Company’s Affiliates shall not have any rights to use any Institution Materials.</w:t>
      </w:r>
    </w:p>
    <w:p>
      <w:pPr>
        <w:spacing w:after="0" w:line="22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 xml:space="preserve">2.4. Right to Subcontract. </w:t>
      </w:r>
      <w:r>
        <w:rPr>
          <w:rFonts w:ascii="Arial" w:cs="Arial" w:eastAsia="Arial" w:hAnsi="Arial"/>
          <w:sz w:val="17"/>
          <w:szCs w:val="17"/>
          <w:color w:val="auto"/>
        </w:rPr>
        <w:t>If Company desires to exercise any of the rights or obligations that Company may have under this Agreement by</w:t>
      </w:r>
      <w:r>
        <w:rPr>
          <w:rFonts w:ascii="Arial" w:cs="Arial" w:eastAsia="Arial" w:hAnsi="Arial"/>
          <w:sz w:val="17"/>
          <w:szCs w:val="17"/>
          <w:b w:val="1"/>
          <w:bCs w:val="1"/>
          <w:color w:val="auto"/>
        </w:rPr>
        <w:t xml:space="preserve"> </w:t>
      </w:r>
      <w:r>
        <w:rPr>
          <w:rFonts w:ascii="Arial" w:cs="Arial" w:eastAsia="Arial" w:hAnsi="Arial"/>
          <w:sz w:val="17"/>
          <w:szCs w:val="17"/>
          <w:color w:val="auto"/>
        </w:rPr>
        <w:t>subcontracting the exercise or performance of all or any portion of such rights and obligations on Company’s behalf, Company shall be entitled to do so, provided that (a) such contract service providers obtain no rights in or to Patent Rights or the Institution Technology Transfer Materials, (b) any subcontract granted or entered into by Company as contemplated by this Section 2.4 of the exercise or performance of all or any portion of the rights or obligations that Company may have under this Agreement shall not relieve Company from any of its obligations under this Agreement, (c) any act or omission by a subcontractor of Company shall be deemed an act or omission by Company hereunder, and (d) Company shall be responsible for each of its subcontractors complying with all obligations of Company under this Agreement (including without limitation all restrictions placed on Company herein); provided that any subcontract or other agreement that, in whole or in part, grants or otherwise transfers any of the rights licensed to Company hereunder, or otherwise falls under the definition of a Sublicense, shall be deemed a Sublicense and not a subcontract hereunder and shall be subject to all restrictions and requirements applicable to Sublicenses under this Agreement.</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Sublicenses.</w:t>
      </w:r>
    </w:p>
    <w:p>
      <w:pPr>
        <w:spacing w:after="0" w:line="229"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Sublicense Rights</w:t>
      </w:r>
      <w:r>
        <w:rPr>
          <w:rFonts w:ascii="Arial" w:cs="Arial" w:eastAsia="Arial" w:hAnsi="Arial"/>
          <w:sz w:val="18"/>
          <w:szCs w:val="18"/>
          <w:color w:val="auto"/>
        </w:rPr>
        <w:t>. Company shall be entitled to sublicense the rights granted to it under Section 2.1 hereof to Third Parties subject to the terms of this Section 2.5.</w:t>
      </w:r>
    </w:p>
    <w:p>
      <w:pPr>
        <w:spacing w:after="0" w:line="170"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Sublicense Agreements</w:t>
      </w:r>
      <w:r>
        <w:rPr>
          <w:rFonts w:ascii="Arial" w:cs="Arial" w:eastAsia="Arial" w:hAnsi="Arial"/>
          <w:sz w:val="18"/>
          <w:szCs w:val="18"/>
          <w:color w:val="auto"/>
        </w:rPr>
        <w:t>. Company shall ensure that any Sublicense shall be on terms and conditions in compliance with and not inconsistent with the terms of this Agreement. Notwithstanding any Sublicense, Company shall remain primarily liable to Institutions for all of Company’s duties and obligations contained in this Agreement, and any act or omission of a Sublicensee which would be a breach of this Agreement if performed by Company shall be deemed to be a breach by Company of this Agreement. Any Sublicenses granted by Company shall not include the right to grant any further Sublicenses (other than to Affiliates of the Sublicensee and other than may be agreed in writing by Institutions, in each case subject to all restrictions on the granting of Sublicenses herein). Subject to the provisions of Section 10.3.1.2 hereof, all Sublicenses shall automatically terminate effective upon termination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of this Agreement unless otherwise agreed in writing by Institutions or as provided in Section 10.3.1.2. Company shall furnish Institutions with a fully-executed, unredacted copy of any Sublicense agreement, promptly upon execution of such Sublicense; provided that Company may redact from such copy</w:t>
      </w:r>
    </w:p>
    <w:p>
      <w:pPr>
        <w:ind w:right="100" w:firstLine="8"/>
        <w:spacing w:after="0" w:line="281" w:lineRule="auto"/>
        <w:tabs>
          <w:tab w:leader="none" w:pos="24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identity of a Gene Target selected for research, development or commercialization under the Sublicense and (b) other proprietary non-public technical information of Company or the applicable Sublicensee. Notwithstanding the foregoing, Company shall not redact any information reasonably necessary for Institutions to evaluate and confirm compliance of such Sublicense with the terms and conditions of this Agreement. Institutions shall use such copies solely for the purpose of monitoring Company’s and its Sublicensees’ compliance with their obligations, and enforcing Institutions’ rights, under this Agreement.</w:t>
      </w:r>
    </w:p>
    <w:p>
      <w:pPr>
        <w:spacing w:after="0" w:line="2" w:lineRule="exact"/>
        <w:rPr>
          <w:rFonts w:ascii="Arial" w:cs="Arial" w:eastAsia="Arial" w:hAnsi="Arial"/>
          <w:sz w:val="16"/>
          <w:szCs w:val="16"/>
          <w:color w:val="auto"/>
        </w:rPr>
      </w:pPr>
    </w:p>
    <w:p>
      <w:pPr>
        <w:ind w:right="300"/>
        <w:spacing w:after="0" w:line="261" w:lineRule="auto"/>
        <w:rPr>
          <w:rFonts w:ascii="Arial" w:cs="Arial" w:eastAsia="Arial" w:hAnsi="Arial"/>
          <w:sz w:val="16"/>
          <w:szCs w:val="16"/>
          <w:color w:val="auto"/>
        </w:rPr>
      </w:pPr>
      <w:r>
        <w:rPr>
          <w:rFonts w:ascii="Arial" w:cs="Arial" w:eastAsia="Arial" w:hAnsi="Arial"/>
          <w:sz w:val="18"/>
          <w:szCs w:val="18"/>
          <w:color w:val="auto"/>
        </w:rPr>
        <w:t>Any Sublicense shall require a written agreement, which shall be subject and subordinate to the terms and conditions of this Agreement, and shall contain, among other things, the following: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2.5.2.1.  all provisions necessary to ensure Company’s ability to perform its obligations under this Agreement;</w:t>
      </w:r>
    </w:p>
    <w:p>
      <w:pPr>
        <w:spacing w:after="0" w:line="225" w:lineRule="exact"/>
        <w:rPr>
          <w:sz w:val="20"/>
          <w:szCs w:val="20"/>
          <w:color w:val="auto"/>
        </w:rPr>
      </w:pPr>
    </w:p>
    <w:p>
      <w:pPr>
        <w:ind w:right="240" w:firstLine="1945"/>
        <w:spacing w:after="0" w:line="277" w:lineRule="auto"/>
        <w:rPr>
          <w:sz w:val="20"/>
          <w:szCs w:val="20"/>
          <w:color w:val="auto"/>
        </w:rPr>
      </w:pPr>
      <w:r>
        <w:rPr>
          <w:rFonts w:ascii="Arial" w:cs="Arial" w:eastAsia="Arial" w:hAnsi="Arial"/>
          <w:sz w:val="18"/>
          <w:szCs w:val="18"/>
          <w:color w:val="auto"/>
        </w:rPr>
        <w:t>2.5.2.2. a section requiring Sublicensee to indemnify, defend and hold Indemnitees and HHMI Indemnitees harmless, and carry insurance, under the same terms set forth in Article 9 of this Agreement;</w:t>
      </w:r>
    </w:p>
    <w:p>
      <w:pPr>
        <w:spacing w:after="0" w:line="170" w:lineRule="exact"/>
        <w:rPr>
          <w:sz w:val="20"/>
          <w:szCs w:val="20"/>
          <w:color w:val="auto"/>
        </w:rPr>
      </w:pPr>
    </w:p>
    <w:p>
      <w:pPr>
        <w:ind w:right="220" w:firstLine="1945"/>
        <w:spacing w:after="0" w:line="302" w:lineRule="auto"/>
        <w:rPr>
          <w:sz w:val="20"/>
          <w:szCs w:val="20"/>
          <w:color w:val="auto"/>
        </w:rPr>
      </w:pPr>
      <w:r>
        <w:rPr>
          <w:rFonts w:ascii="Arial" w:cs="Arial" w:eastAsia="Arial" w:hAnsi="Arial"/>
          <w:sz w:val="16"/>
          <w:szCs w:val="16"/>
          <w:color w:val="auto"/>
        </w:rPr>
        <w:t>2.5.2.3. a statement that Institutions are intended third party beneficiaries of such Sublicense for the purpose of enforcing all patent challenge, indemnification, and insurance provisions of such Sublicense and enforcing the right to terminate such Sublicense for breach of the patent challenge, indemnification and insurance provisions of such Sublicense; and a statement that HHMI and MIT are intended third party beneficiaries of such Sublicense for the purpose of enforcing HHMI’s and MIT’s respective rights, including indemnification and insurance provisions, under this Agreement;</w:t>
      </w:r>
    </w:p>
    <w:p>
      <w:pPr>
        <w:spacing w:after="0" w:line="154" w:lineRule="exact"/>
        <w:rPr>
          <w:sz w:val="20"/>
          <w:szCs w:val="20"/>
          <w:color w:val="auto"/>
        </w:rPr>
      </w:pPr>
    </w:p>
    <w:p>
      <w:pPr>
        <w:ind w:right="280" w:firstLine="1945"/>
        <w:spacing w:after="0" w:line="277" w:lineRule="auto"/>
        <w:rPr>
          <w:sz w:val="20"/>
          <w:szCs w:val="20"/>
          <w:color w:val="auto"/>
        </w:rPr>
      </w:pPr>
      <w:r>
        <w:rPr>
          <w:rFonts w:ascii="Arial" w:cs="Arial" w:eastAsia="Arial" w:hAnsi="Arial"/>
          <w:sz w:val="18"/>
          <w:szCs w:val="18"/>
          <w:color w:val="auto"/>
        </w:rPr>
        <w:t>2.5.2.4. a provision stating that in the event Sublicensee directly or indirectly brings, assumes, or participates in, or knowingly, willfully or recklessly assists in bringing, a Patent Challenge then Company shall be entitled to terminate the Sublicense;</w:t>
      </w:r>
    </w:p>
    <w:p>
      <w:pPr>
        <w:sectPr>
          <w:pgSz w:w="11900" w:h="16838" w:orient="portrait"/>
          <w:cols w:equalWidth="0" w:num="1">
            <w:col w:w="11420"/>
          </w:cols>
          <w:pgMar w:left="240" w:top="341" w:right="239" w:bottom="0" w:gutter="0" w:footer="0" w:header="0"/>
        </w:sectPr>
      </w:pPr>
    </w:p>
    <w:bookmarkStart w:id="344" w:name="page345"/>
    <w:bookmarkEnd w:id="344"/>
    <w:p>
      <w:pPr>
        <w:spacing w:after="0" w:line="76" w:lineRule="exact"/>
        <w:rPr>
          <w:sz w:val="20"/>
          <w:szCs w:val="20"/>
          <w:color w:val="auto"/>
        </w:rPr>
      </w:pPr>
    </w:p>
    <w:p>
      <w:pPr>
        <w:ind w:right="100" w:firstLine="1945"/>
        <w:spacing w:after="0" w:line="286" w:lineRule="auto"/>
        <w:rPr>
          <w:sz w:val="20"/>
          <w:szCs w:val="20"/>
          <w:color w:val="auto"/>
        </w:rPr>
      </w:pPr>
      <w:r>
        <w:rPr>
          <w:rFonts w:ascii="Arial" w:cs="Arial" w:eastAsia="Arial" w:hAnsi="Arial"/>
          <w:sz w:val="17"/>
          <w:szCs w:val="17"/>
          <w:color w:val="auto"/>
        </w:rPr>
        <w:t>2.5.2.5. a provision specifying that, in the event of termination of the licenses set forth in Sections 2.1 in whole or in part (e.g., as to one license or the other, or termination in a particular country), any existing Sublicense agreement shall terminate to the same extent of such terminated license, subject to Sublicensee’s right to receive a Direct License from Institutions in accordance with Section 10.3.1.2 hereof;</w:t>
      </w:r>
    </w:p>
    <w:p>
      <w:pPr>
        <w:spacing w:after="0" w:line="166" w:lineRule="exact"/>
        <w:rPr>
          <w:sz w:val="20"/>
          <w:szCs w:val="20"/>
          <w:color w:val="auto"/>
        </w:rPr>
      </w:pPr>
    </w:p>
    <w:p>
      <w:pPr>
        <w:ind w:right="380" w:firstLine="1945"/>
        <w:spacing w:after="0" w:line="264" w:lineRule="auto"/>
        <w:rPr>
          <w:sz w:val="20"/>
          <w:szCs w:val="20"/>
          <w:color w:val="auto"/>
        </w:rPr>
      </w:pPr>
      <w:r>
        <w:rPr>
          <w:rFonts w:ascii="Arial" w:cs="Arial" w:eastAsia="Arial" w:hAnsi="Arial"/>
          <w:sz w:val="18"/>
          <w:szCs w:val="18"/>
          <w:color w:val="auto"/>
        </w:rPr>
        <w:t>2.5.2.6. a provision prohibiting the Sublicensee from sublicensing its rights under such Sublicense agreement (other than to Affiliates of the Sublicensee and other than may be agreed in writing by Institutions, in each case subject to all restrictions on the granting of Sublicenses herein);</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2.5.2.7.  a provision requiring Sublicensee to comply with Section 8.1 (Compliance with Law) and Section 11.2 (Use of Name)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right="320" w:firstLine="1945"/>
        <w:spacing w:after="0" w:line="264" w:lineRule="auto"/>
        <w:rPr>
          <w:sz w:val="20"/>
          <w:szCs w:val="20"/>
          <w:color w:val="auto"/>
        </w:rPr>
      </w:pPr>
      <w:r>
        <w:rPr>
          <w:rFonts w:ascii="Arial" w:cs="Arial" w:eastAsia="Arial" w:hAnsi="Arial"/>
          <w:sz w:val="18"/>
          <w:szCs w:val="18"/>
          <w:color w:val="auto"/>
        </w:rPr>
        <w:t>2.5.2.8. a provision prohibiting the Sublicensee from assigning the Sublicense agreement without the prior written consent of Institutions, except that Sublicensee may assign the Sublicense agreement without such prior written consent to the same extent Company may assign this Agreement under Section 11.14.</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Third Party Proposed Products.</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u w:val="single" w:color="auto"/>
          <w:color w:val="auto"/>
        </w:rPr>
        <w:t>Notice of Proposed Product</w:t>
      </w:r>
      <w:r>
        <w:rPr>
          <w:rFonts w:ascii="Arial" w:cs="Arial" w:eastAsia="Arial" w:hAnsi="Arial"/>
          <w:sz w:val="16"/>
          <w:szCs w:val="16"/>
          <w:color w:val="auto"/>
        </w:rPr>
        <w:t>. If, at any time following the second anniversary of the Effective Date, a Third Party (“</w:t>
      </w:r>
      <w:r>
        <w:rPr>
          <w:rFonts w:ascii="Arial" w:cs="Arial" w:eastAsia="Arial" w:hAnsi="Arial"/>
          <w:sz w:val="16"/>
          <w:szCs w:val="16"/>
          <w:b w:val="1"/>
          <w:bCs w:val="1"/>
          <w:color w:val="auto"/>
        </w:rPr>
        <w:t>Proposing</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identifies a potential Licensed Product in the Field that is directed to a particular Gene Target (“</w:t>
      </w:r>
      <w:r>
        <w:rPr>
          <w:rFonts w:ascii="Arial" w:cs="Arial" w:eastAsia="Arial" w:hAnsi="Arial"/>
          <w:sz w:val="16"/>
          <w:szCs w:val="16"/>
          <w:b w:val="1"/>
          <w:bCs w:val="1"/>
          <w:color w:val="auto"/>
        </w:rPr>
        <w:t>Proposed Product</w:t>
      </w:r>
      <w:r>
        <w:rPr>
          <w:rFonts w:ascii="Arial" w:cs="Arial" w:eastAsia="Arial" w:hAnsi="Arial"/>
          <w:sz w:val="16"/>
          <w:szCs w:val="16"/>
          <w:color w:val="auto"/>
        </w:rPr>
        <w:t>”) and makes a Bona Fide</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to Institutions for the development and commercialization of such Proposed Product, then Institutions may (after inquiry regarding the availability of such Gene Target with the Gatekeeper in accordance with Section 2.6.5.4) give written notice thereof to Company (such notice, “</w:t>
      </w:r>
      <w:r>
        <w:rPr>
          <w:rFonts w:ascii="Arial" w:cs="Arial" w:eastAsia="Arial" w:hAnsi="Arial"/>
          <w:sz w:val="16"/>
          <w:szCs w:val="16"/>
          <w:b w:val="1"/>
          <w:bCs w:val="1"/>
          <w:color w:val="auto"/>
        </w:rPr>
        <w:t>Proposed Product Notice</w:t>
      </w:r>
      <w:r>
        <w:rPr>
          <w:rFonts w:ascii="Arial" w:cs="Arial" w:eastAsia="Arial" w:hAnsi="Arial"/>
          <w:sz w:val="16"/>
          <w:szCs w:val="16"/>
          <w:color w:val="auto"/>
        </w:rPr>
        <w:t>,” the date of such notice, the “</w:t>
      </w:r>
      <w:r>
        <w:rPr>
          <w:rFonts w:ascii="Arial" w:cs="Arial" w:eastAsia="Arial" w:hAnsi="Arial"/>
          <w:sz w:val="16"/>
          <w:szCs w:val="16"/>
          <w:b w:val="1"/>
          <w:bCs w:val="1"/>
          <w:color w:val="auto"/>
        </w:rPr>
        <w:t>Proposed Product Notice Date</w:t>
      </w:r>
      <w:r>
        <w:rPr>
          <w:rFonts w:ascii="Arial" w:cs="Arial" w:eastAsia="Arial" w:hAnsi="Arial"/>
          <w:sz w:val="16"/>
          <w:szCs w:val="16"/>
          <w:color w:val="auto"/>
        </w:rPr>
        <w:t>”), which Proposed Product Notice shall include the identity of the applicable Gene Target to which the Proposed Product is directed. Institutions shall not be required to include in any Proposed Product Notice any information, other than the identity of such applicable Gene Target, that is subject to restrictions of confidentiality. For the avoidance of doubt, for the purposes of this Section 2.6, (a) with respect to cellular products (e.g., a cell used as a product for the purposes of cell therapy), a product directed to a Gene Target may be a cellular product that includes a modification of the Gene Target, and (b) “directed to a Gene Target” includes targeting of Genetic Material to modify associated chromatin.</w:t>
      </w:r>
    </w:p>
    <w:p>
      <w:pPr>
        <w:spacing w:after="0" w:line="164"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2.6.2. </w:t>
      </w:r>
      <w:r>
        <w:rPr>
          <w:rFonts w:ascii="Arial" w:cs="Arial" w:eastAsia="Arial" w:hAnsi="Arial"/>
          <w:sz w:val="16"/>
          <w:szCs w:val="16"/>
          <w:u w:val="single" w:color="auto"/>
          <w:color w:val="auto"/>
        </w:rPr>
        <w:t>Current Company Products</w:t>
      </w:r>
      <w:r>
        <w:rPr>
          <w:rFonts w:ascii="Arial" w:cs="Arial" w:eastAsia="Arial" w:hAnsi="Arial"/>
          <w:sz w:val="16"/>
          <w:szCs w:val="16"/>
          <w:color w:val="auto"/>
        </w:rPr>
        <w:t>. If the Proposed Product is directed to a Gene Target for which the Company, directly or through any of its Affiliates or Sublicensees, is not researching, developing and/or commercializing a product in the Field, then the Company shall have the option to either internally pursue the Proposed Product or enter into a Collaboration Agreement with respect to the Proposed Product, in accordance with Section 2.6.3 below (each, a “</w:t>
      </w:r>
      <w:r>
        <w:rPr>
          <w:rFonts w:ascii="Arial" w:cs="Arial" w:eastAsia="Arial" w:hAnsi="Arial"/>
          <w:sz w:val="16"/>
          <w:szCs w:val="16"/>
          <w:b w:val="1"/>
          <w:bCs w:val="1"/>
          <w:color w:val="auto"/>
        </w:rPr>
        <w:t>Proposed Product Option</w:t>
      </w:r>
      <w:r>
        <w:rPr>
          <w:rFonts w:ascii="Arial" w:cs="Arial" w:eastAsia="Arial" w:hAnsi="Arial"/>
          <w:sz w:val="16"/>
          <w:szCs w:val="16"/>
          <w:color w:val="auto"/>
        </w:rPr>
        <w:t>”); provided, however that (a) if the Proposed Product is directed to a Gene Target that has been selected as a Selected Target under a Target-Based Collaboration, then the provisions of Section 2.6.5 shall apply, and (b) if Company demonstrates (in accordance with the following sentence) that Company, directly or through any of its Affiliates or Sublicensees, is currently researching, developing and/or commercializing a product directed to the Gene Target of the Proposed Product, then Company shall not be required to elect a Proposed Product Option, Institutions shall have no right to grant a Proposed Product License and the provisions of Section 2.6.3 do not apply. Demonstration that the Company (directly or through any of its Affiliates or Sublicensees) is currently researching, developing and/or commercializing a product directed to the Gene Target of the Proposed Product shall require Company to (A) within [**] days of the Proposed Product Notice Date, (i) provide Institutions with the Company’s or its applicable Affiliate’s or Sublicensee’s research, development and/or commercialization plan (including Development Milestones) for the product directed to the Gene Target to which the applicable Proposed Product is directed (“</w:t>
      </w:r>
      <w:r>
        <w:rPr>
          <w:rFonts w:ascii="Arial" w:cs="Arial" w:eastAsia="Arial" w:hAnsi="Arial"/>
          <w:sz w:val="16"/>
          <w:szCs w:val="16"/>
          <w:b w:val="1"/>
          <w:bCs w:val="1"/>
          <w:color w:val="auto"/>
        </w:rPr>
        <w:t>Current Plan</w:t>
      </w:r>
      <w:r>
        <w:rPr>
          <w:rFonts w:ascii="Arial" w:cs="Arial" w:eastAsia="Arial" w:hAnsi="Arial"/>
          <w:sz w:val="16"/>
          <w:szCs w:val="16"/>
          <w:color w:val="auto"/>
        </w:rPr>
        <w:t>”), which Current Plan must be commercially reasonable and reasonably satisfactory to Institutions, and shall include evidence that the Company or its applicable Affiliate or Sublicensee has, or reasonably expects to have, access to any intellectual property (other than any intellectual property owned or controlled by the Proposing Party) that would be necessary to research, develop and commercialize such product and has, or reasonably expects to have, funding available to advance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such Current Plan, and (ii) provide Institutions with evidence that the Company, or its applicable Affiliate or Sublicensee, has commenced research, development and/or commercialization of such product under such Current Plan, (B) continue to use commercially reasonable efforts, itself or through its applicable Affiliate or Sublicensee, to implement such Current Plan, and (C) provide a written report to Institutions describing progress under the Current Plan at least [**] until First Commercial Sale of such product (A through C, a “</w:t>
      </w:r>
      <w:r>
        <w:rPr>
          <w:rFonts w:ascii="Arial" w:cs="Arial" w:eastAsia="Arial" w:hAnsi="Arial"/>
          <w:sz w:val="16"/>
          <w:szCs w:val="16"/>
          <w:b w:val="1"/>
          <w:bCs w:val="1"/>
          <w:color w:val="auto"/>
        </w:rPr>
        <w:t>Current Development Demonstration</w:t>
      </w:r>
      <w:r>
        <w:rPr>
          <w:rFonts w:ascii="Arial" w:cs="Arial" w:eastAsia="Arial" w:hAnsi="Arial"/>
          <w:sz w:val="16"/>
          <w:szCs w:val="16"/>
          <w:color w:val="auto"/>
        </w:rPr>
        <w:t>”). Institutions shall notify Company whether the Current Plan is reasonably satisfactory to Institutions within [**] days of Institutions receipt of such plan, which time period may be extended by an additional [**] days to address questions or concerns of the Institutions. Company may, on [**] basis concurrently with the delivery of each [**] diligence report to be provided by Company to Institutions under Section 3.3 hereof, make such commercially reasonable adjustments to the applicable Current Plan as necessary to improve Company’s ability to meet its research, development and/or commercialization obligations under such Current Plan; provided that such adjustments shall be subject to review and approval by Institutions, such approval not to be unreasonably withheld, conditioned or delayed.</w:t>
      </w:r>
    </w:p>
    <w:p>
      <w:pPr>
        <w:spacing w:after="0" w:line="167"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2.6.3. </w:t>
      </w:r>
      <w:r>
        <w:rPr>
          <w:rFonts w:ascii="Arial" w:cs="Arial" w:eastAsia="Arial" w:hAnsi="Arial"/>
          <w:sz w:val="18"/>
          <w:szCs w:val="18"/>
          <w:u w:val="single" w:color="auto"/>
          <w:color w:val="auto"/>
        </w:rPr>
        <w:t>Proposed Product Options</w:t>
      </w:r>
      <w:r>
        <w:rPr>
          <w:rFonts w:ascii="Arial" w:cs="Arial" w:eastAsia="Arial" w:hAnsi="Arial"/>
          <w:sz w:val="18"/>
          <w:szCs w:val="18"/>
          <w:color w:val="auto"/>
        </w:rPr>
        <w:t>. If Company does not timely provide a Current Development Demonstration with respect to a particular Proposed Product, then Company shall have the option to either internally pursue the Proposed Product or enter into a Collaboration Agreement with respect to the Proposed Product in accordance with Sections 2.6.3.1 and 2.6.3.2 as follows:</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 xml:space="preserve">2.6.3.1.  </w:t>
      </w:r>
      <w:r>
        <w:rPr>
          <w:rFonts w:ascii="Arial" w:cs="Arial" w:eastAsia="Arial" w:hAnsi="Arial"/>
          <w:sz w:val="17"/>
          <w:szCs w:val="17"/>
          <w:i w:val="1"/>
          <w:iCs w:val="1"/>
          <w:color w:val="auto"/>
        </w:rPr>
        <w:t>Internal Development and Commercialization.</w:t>
      </w:r>
      <w:r>
        <w:rPr>
          <w:rFonts w:ascii="Arial" w:cs="Arial" w:eastAsia="Arial" w:hAnsi="Arial"/>
          <w:sz w:val="17"/>
          <w:szCs w:val="17"/>
          <w:color w:val="auto"/>
        </w:rPr>
        <w:t xml:space="preserve"> If Company elects to internally pursue the Proposed Product, then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be required to do both of the following:</w:t>
      </w:r>
    </w:p>
    <w:p>
      <w:pPr>
        <w:spacing w:after="0" w:line="211" w:lineRule="exact"/>
        <w:rPr>
          <w:sz w:val="20"/>
          <w:szCs w:val="20"/>
          <w:color w:val="auto"/>
        </w:rPr>
      </w:pPr>
    </w:p>
    <w:p>
      <w:pPr>
        <w:ind w:right="80" w:firstLine="1305"/>
        <w:spacing w:after="0" w:line="264" w:lineRule="auto"/>
        <w:tabs>
          <w:tab w:leader="none" w:pos="191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Within [**] months of the Proposed Product Notice Date, indicate in writing to the Institutions that the Company, either directly or through an Affiliate or Sublicensee, is interested in pursuing research, development and commercialization of a product directed to the Gene Target of the Proposed Product; </w:t>
      </w:r>
      <w:r>
        <w:rPr>
          <w:rFonts w:ascii="Arial" w:cs="Arial" w:eastAsia="Arial" w:hAnsi="Arial"/>
          <w:sz w:val="18"/>
          <w:szCs w:val="18"/>
          <w:i w:val="1"/>
          <w:iCs w:val="1"/>
          <w:color w:val="auto"/>
        </w:rPr>
        <w:t>and</w:t>
      </w:r>
    </w:p>
    <w:p>
      <w:pPr>
        <w:spacing w:after="0" w:line="181" w:lineRule="exact"/>
        <w:rPr>
          <w:rFonts w:ascii="Arial" w:cs="Arial" w:eastAsia="Arial" w:hAnsi="Arial"/>
          <w:sz w:val="18"/>
          <w:szCs w:val="18"/>
          <w:color w:val="auto"/>
        </w:rPr>
      </w:pPr>
    </w:p>
    <w:p>
      <w:pPr>
        <w:ind w:right="20" w:firstLine="1305"/>
        <w:spacing w:after="0" w:line="297" w:lineRule="auto"/>
        <w:tabs>
          <w:tab w:leader="none" w:pos="192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Within [**] months of the Proposed Product Notice Date (a) prepare, or have prepared, a commercially reasonable research, development and commercialization plan (including Development Milestones) (an “</w:t>
      </w:r>
      <w:r>
        <w:rPr>
          <w:rFonts w:ascii="Arial" w:cs="Arial" w:eastAsia="Arial" w:hAnsi="Arial"/>
          <w:sz w:val="16"/>
          <w:szCs w:val="16"/>
          <w:b w:val="1"/>
          <w:bCs w:val="1"/>
          <w:color w:val="auto"/>
        </w:rPr>
        <w:t>Internal Development Plan</w:t>
      </w:r>
      <w:r>
        <w:rPr>
          <w:rFonts w:ascii="Arial" w:cs="Arial" w:eastAsia="Arial" w:hAnsi="Arial"/>
          <w:sz w:val="16"/>
          <w:szCs w:val="16"/>
          <w:color w:val="auto"/>
        </w:rPr>
        <w:t>”) for the product directed to the Gene Target of the Proposed Product, such plan being reasonably satisfactory to Institutions, including evidence that the Company or its applicable Affiliate or Sublicensee has, or reasonably expects to have, access to any intellectual property (other than any intellectual property owned or controlled by the Proposing Party) that would be necessary to develop and commercialize such product and has, or reasonably expects to have, funding available to advance such Internal</w:t>
      </w:r>
    </w:p>
    <w:p>
      <w:pPr>
        <w:sectPr>
          <w:pgSz w:w="11900" w:h="16914" w:orient="portrait"/>
          <w:cols w:equalWidth="0" w:num="1">
            <w:col w:w="11420"/>
          </w:cols>
          <w:pgMar w:left="240" w:top="125" w:right="239" w:bottom="0" w:gutter="0" w:footer="0" w:header="0"/>
        </w:sectPr>
      </w:pPr>
    </w:p>
    <w:bookmarkStart w:id="345" w:name="page346"/>
    <w:bookmarkEnd w:id="345"/>
    <w:p>
      <w:pPr>
        <w:ind w:right="20"/>
        <w:spacing w:after="0" w:line="276" w:lineRule="auto"/>
        <w:rPr>
          <w:sz w:val="20"/>
          <w:szCs w:val="20"/>
          <w:color w:val="auto"/>
        </w:rPr>
      </w:pPr>
      <w:r>
        <w:rPr>
          <w:rFonts w:ascii="Arial" w:cs="Arial" w:eastAsia="Arial" w:hAnsi="Arial"/>
          <w:sz w:val="17"/>
          <w:szCs w:val="17"/>
          <w:color w:val="auto"/>
        </w:rPr>
        <w:t>Development Plan and (b) commence research and/or development activities for such product pursuant to such Internal Development Plan. Thereafter the Company or its applicable Affiliate or Sublicensee must (i) continue to use commercially reasonable efforts to implement such Internal Development Plan for such product and (ii) provide a written report to Institutions describing progress under such Internal Development Plan at least [**] until First Commercial Sale of such product. Institutions shall notify Company whether the Internal Development Plan is satisfactory to Institutions within [**] days of Institutions receipt of such plan, which time period may be extended by an additional [**] days to address questions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concerns of the Institutions. Company may, on [**] basis concurrently with the delivery of each [**] diligence report to be provided by Company to Institutions under Section 3.3 hereof, make such commercially reasonable adjustments to the applicable Internal Development Plan as necessary to improve Company’s ability to meet its research, development and/or commercialization obligations under such Internal Development Plan; provided that such adjustments shall be subject to review and approval by Institutions, such approval not to be unreasonably withheld, conditioned or delayed.</w:t>
      </w:r>
    </w:p>
    <w:p>
      <w:pPr>
        <w:spacing w:after="0" w:line="171" w:lineRule="exact"/>
        <w:rPr>
          <w:sz w:val="20"/>
          <w:szCs w:val="20"/>
          <w:color w:val="auto"/>
        </w:rPr>
      </w:pPr>
    </w:p>
    <w:p>
      <w:pPr>
        <w:ind w:right="80" w:firstLine="1945"/>
        <w:spacing w:after="0" w:line="277" w:lineRule="auto"/>
        <w:rPr>
          <w:sz w:val="20"/>
          <w:szCs w:val="20"/>
          <w:color w:val="auto"/>
        </w:rPr>
      </w:pPr>
      <w:r>
        <w:rPr>
          <w:rFonts w:ascii="Arial" w:cs="Arial" w:eastAsia="Arial" w:hAnsi="Arial"/>
          <w:sz w:val="18"/>
          <w:szCs w:val="18"/>
          <w:color w:val="auto"/>
        </w:rPr>
        <w:t xml:space="preserve">2.6.3.2. </w:t>
      </w:r>
      <w:r>
        <w:rPr>
          <w:rFonts w:ascii="Arial" w:cs="Arial" w:eastAsia="Arial" w:hAnsi="Arial"/>
          <w:sz w:val="18"/>
          <w:szCs w:val="18"/>
          <w:i w:val="1"/>
          <w:iCs w:val="1"/>
          <w:color w:val="auto"/>
        </w:rPr>
        <w:t>Collaboration.</w:t>
      </w:r>
      <w:r>
        <w:rPr>
          <w:rFonts w:ascii="Arial" w:cs="Arial" w:eastAsia="Arial" w:hAnsi="Arial"/>
          <w:sz w:val="18"/>
          <w:szCs w:val="18"/>
          <w:color w:val="auto"/>
        </w:rPr>
        <w:t xml:space="preserve"> Alternatively, if Company elects not to pursue the Proposed Product internally, but instead elects to enter into a Collaboration Agreement with respect to the Proposed Product, then Company shall do both of the following:</w:t>
      </w:r>
    </w:p>
    <w:p>
      <w:pPr>
        <w:spacing w:after="0" w:line="170" w:lineRule="exact"/>
        <w:rPr>
          <w:sz w:val="20"/>
          <w:szCs w:val="20"/>
          <w:color w:val="auto"/>
        </w:rPr>
      </w:pPr>
    </w:p>
    <w:p>
      <w:pPr>
        <w:jc w:val="both"/>
        <w:ind w:right="500" w:firstLine="1305"/>
        <w:spacing w:after="0" w:line="259" w:lineRule="auto"/>
        <w:tabs>
          <w:tab w:leader="none" w:pos="191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Within [**] months of the Proposed Product Notice Date, indicate in writing to the Institutions that the Company, directly or through any of its Affiliates or Sublicensees, is interested in entering into a Collaboration Agreement to research, develop and commercialize a product directed to the Gene Target of the Proposed Product with a Third Party (either the Proposing Party or another Third Party) (a “</w:t>
      </w:r>
      <w:r>
        <w:rPr>
          <w:rFonts w:ascii="Arial" w:cs="Arial" w:eastAsia="Arial" w:hAnsi="Arial"/>
          <w:sz w:val="18"/>
          <w:szCs w:val="18"/>
          <w:b w:val="1"/>
          <w:bCs w:val="1"/>
          <w:color w:val="auto"/>
        </w:rPr>
        <w:t>Proposed Product</w:t>
      </w:r>
      <w:r>
        <w:rPr>
          <w:rFonts w:ascii="Arial" w:cs="Arial" w:eastAsia="Arial" w:hAnsi="Arial"/>
          <w:sz w:val="18"/>
          <w:szCs w:val="18"/>
          <w:color w:val="auto"/>
        </w:rPr>
        <w:t xml:space="preserve"> </w:t>
      </w:r>
      <w:r>
        <w:rPr>
          <w:rFonts w:ascii="Arial" w:cs="Arial" w:eastAsia="Arial" w:hAnsi="Arial"/>
          <w:sz w:val="18"/>
          <w:szCs w:val="18"/>
          <w:b w:val="1"/>
          <w:bCs w:val="1"/>
          <w:color w:val="auto"/>
        </w:rPr>
        <w:t>Collaboration Partner</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firstLine="1305"/>
        <w:spacing w:after="0" w:line="285" w:lineRule="auto"/>
        <w:tabs>
          <w:tab w:leader="none" w:pos="1927"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Within [**] months after the Proposed Product Notice Date, Company or its applicable Affiliate or Sublicensee, shall enter into such a Collaboration Agreement and the Company, its applicable Affiliate or Sublicensee, or the Proposed Product Collaboration Partner shall commence research and development activities for a product directed to the Gene Target of the Proposed Product, pursuant to a commercially reasonable research, development and commercialization plan (including Development Milestones) (a “</w:t>
      </w:r>
      <w:r>
        <w:rPr>
          <w:rFonts w:ascii="Arial" w:cs="Arial" w:eastAsia="Arial" w:hAnsi="Arial"/>
          <w:sz w:val="16"/>
          <w:szCs w:val="16"/>
          <w:b w:val="1"/>
          <w:bCs w:val="1"/>
          <w:color w:val="auto"/>
        </w:rPr>
        <w:t>Collaboration Plan</w:t>
      </w:r>
      <w:r>
        <w:rPr>
          <w:rFonts w:ascii="Arial" w:cs="Arial" w:eastAsia="Arial" w:hAnsi="Arial"/>
          <w:sz w:val="16"/>
          <w:szCs w:val="16"/>
          <w:color w:val="auto"/>
        </w:rPr>
        <w:t>”) that is reasonably satisfactory to Institutions which Collaboration Plan shall include evidence that the Company, its applicable Affiliate or Sublicensee, or the Proposed Product Collaboration Partner have, or reasonably expect to have, (A) access to any intellectual property (other than any intellectual owned or controlled by the Proposing Party if Proposing Party is not the Proposed Product Collaboration Partner) that would be necessary to develop or commercialize a product directed to the Gene Target of the Proposed Product under such Collaboration Plan and (B) funding available to advance such product under such Collaboration Plan. Thereafter the Company, its applicable Affiliate or Sublicense, or the Proposed Product Collaboration Partner, must (i) continue to use commercially reasonable efforts to implement such Collaboration Plan for such product and (ii) provide a written report to Institutions describing progress under such Collaboration Plan at least [**] until First Commercial Sale of such product. Institutions shall notify Company whether the Collaboration Plan is satisfactory to Institutions within [**] days of Institutions receipt of such plan, which time period may be extended by an additional [**] days to address questions or concerns of the Institutions. Company may, on [**] basis concurrently with the delivery of each [**]diligence report to be provided by Company to Institutions under Section 3.3 hereof, make such commercially reasonable adjustments to the applicable Collaboration Plan as necessary to improve Company’s ability to meet its research, development and/or commercialization obligations under such Collaboration Plan; provided that such adjustments shall be subject to review and approval by Institutions, such approval not to be unreasonably withheld, conditioned or delayed,.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297"/>
        <w:spacing w:after="0" w:line="253" w:lineRule="auto"/>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u w:val="single" w:color="auto"/>
          <w:color w:val="auto"/>
        </w:rPr>
        <w:t>Proposed Product License</w:t>
      </w:r>
      <w:r>
        <w:rPr>
          <w:rFonts w:ascii="Arial" w:cs="Arial" w:eastAsia="Arial" w:hAnsi="Arial"/>
          <w:sz w:val="18"/>
          <w:szCs w:val="18"/>
          <w:color w:val="auto"/>
        </w:rPr>
        <w:t>. If Company fails to satisfy the requirements of Section 2.6.3 above within the time periods set forth therein (as such time periods may be extended in accordance with Section 2.6.6 hereof), or if at any time thereafter Company otherwise fails to use commercially reasonable efforts to implement any Current Plan, Internal Development Plan or Collaboration Plan then in effect, then Institutions shall be entitled to grant, at their sole option, an exclusive or non-exclusive license under the Patent Rights to the Proposing Party to develop and commercialize the Proposed Product (“</w:t>
      </w:r>
      <w:r>
        <w:rPr>
          <w:rFonts w:ascii="Arial" w:cs="Arial" w:eastAsia="Arial" w:hAnsi="Arial"/>
          <w:sz w:val="18"/>
          <w:szCs w:val="18"/>
          <w:b w:val="1"/>
          <w:bCs w:val="1"/>
          <w:color w:val="auto"/>
        </w:rPr>
        <w:t>Proposed Product License</w:t>
      </w:r>
      <w:r>
        <w:rPr>
          <w:rFonts w:ascii="Arial" w:cs="Arial" w:eastAsia="Arial" w:hAnsi="Arial"/>
          <w:sz w:val="18"/>
          <w:szCs w:val="18"/>
          <w:color w:val="auto"/>
        </w:rPr>
        <w:t>”). Such Proposed Product License shall be on a Gene Target by Gene Target basis and not for gene families, pathways, or disease fields. Any exclusive Proposed Product License granted by Institutions to the Proposing Party shall (i) be on milestone and royalty terms that taken as a whole are no more favorable to the Proposing Party than those provided to Company pursuant to Sections [***] hereof, and (ii) require the Proposing Party to use commercially reasonable efforts to implement the research, development and commercialization plan provided as part of the Bona Fide Proposal.</w:t>
      </w:r>
    </w:p>
    <w:p>
      <w:pPr>
        <w:spacing w:after="0" w:line="197"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2.6.5. </w:t>
      </w:r>
      <w:r>
        <w:rPr>
          <w:rFonts w:ascii="Arial" w:cs="Arial" w:eastAsia="Arial" w:hAnsi="Arial"/>
          <w:sz w:val="16"/>
          <w:szCs w:val="16"/>
          <w:u w:val="single" w:color="auto"/>
          <w:color w:val="auto"/>
        </w:rPr>
        <w:t>Target-Based Collaborations</w:t>
      </w:r>
      <w:r>
        <w:rPr>
          <w:rFonts w:ascii="Arial" w:cs="Arial" w:eastAsia="Arial" w:hAnsi="Arial"/>
          <w:sz w:val="16"/>
          <w:szCs w:val="16"/>
          <w:color w:val="auto"/>
        </w:rPr>
        <w:t>. Company shall not be required to provide a Current Development Demonstration in accordance with Section 2.6.2 hereof, or elect a Proposed Product Option in accordance with Section 2.6.3 hereof, and Institutions shall have no right to grant a Proposed Product License, for Proposed Products directed to certain Gene Targets that have been selected for research, development and commercialization pursuant to a Collaboration Agreement between Company or its Affiliates and any Third Party (such Collaboration Agreement, a “</w:t>
      </w:r>
      <w:r>
        <w:rPr>
          <w:rFonts w:ascii="Arial" w:cs="Arial" w:eastAsia="Arial" w:hAnsi="Arial"/>
          <w:sz w:val="16"/>
          <w:szCs w:val="16"/>
          <w:b w:val="1"/>
          <w:bCs w:val="1"/>
          <w:color w:val="auto"/>
        </w:rPr>
        <w:t>Target-Based Collaboration</w:t>
      </w:r>
      <w:r>
        <w:rPr>
          <w:rFonts w:ascii="Arial" w:cs="Arial" w:eastAsia="Arial" w:hAnsi="Arial"/>
          <w:sz w:val="16"/>
          <w:szCs w:val="16"/>
          <w:color w:val="auto"/>
        </w:rPr>
        <w:t>,” such Third Party, a “</w:t>
      </w:r>
      <w:r>
        <w:rPr>
          <w:rFonts w:ascii="Arial" w:cs="Arial" w:eastAsia="Arial" w:hAnsi="Arial"/>
          <w:sz w:val="16"/>
          <w:szCs w:val="16"/>
          <w:b w:val="1"/>
          <w:bCs w:val="1"/>
          <w:color w:val="auto"/>
        </w:rPr>
        <w:t>Target-Based Collaborator</w:t>
      </w:r>
      <w:r>
        <w:rPr>
          <w:rFonts w:ascii="Arial" w:cs="Arial" w:eastAsia="Arial" w:hAnsi="Arial"/>
          <w:sz w:val="16"/>
          <w:szCs w:val="16"/>
          <w:color w:val="auto"/>
        </w:rPr>
        <w:t>”), in accordance with, and subject to, the following terms and conditions:</w:t>
      </w:r>
    </w:p>
    <w:p>
      <w:pPr>
        <w:spacing w:after="0" w:line="154" w:lineRule="exact"/>
        <w:rPr>
          <w:sz w:val="20"/>
          <w:szCs w:val="20"/>
          <w:color w:val="auto"/>
        </w:rPr>
      </w:pPr>
    </w:p>
    <w:p>
      <w:pPr>
        <w:ind w:right="100" w:firstLine="1945"/>
        <w:spacing w:after="0" w:line="290" w:lineRule="auto"/>
        <w:rPr>
          <w:sz w:val="20"/>
          <w:szCs w:val="20"/>
          <w:color w:val="auto"/>
        </w:rPr>
      </w:pPr>
      <w:r>
        <w:rPr>
          <w:rFonts w:ascii="Arial" w:cs="Arial" w:eastAsia="Arial" w:hAnsi="Arial"/>
          <w:sz w:val="16"/>
          <w:szCs w:val="16"/>
          <w:color w:val="auto"/>
        </w:rPr>
        <w:t xml:space="preserve">2.6.5.1. </w:t>
      </w:r>
      <w:r>
        <w:rPr>
          <w:rFonts w:ascii="Arial" w:cs="Arial" w:eastAsia="Arial" w:hAnsi="Arial"/>
          <w:sz w:val="16"/>
          <w:szCs w:val="16"/>
          <w:i w:val="1"/>
          <w:iCs w:val="1"/>
          <w:color w:val="auto"/>
        </w:rPr>
        <w:t>Gatekeeper.</w:t>
      </w:r>
      <w:r>
        <w:rPr>
          <w:rFonts w:ascii="Arial" w:cs="Arial" w:eastAsia="Arial" w:hAnsi="Arial"/>
          <w:sz w:val="16"/>
          <w:szCs w:val="16"/>
          <w:color w:val="auto"/>
        </w:rPr>
        <w:t xml:space="preserve"> Company shall provide Institutions by written notice (the “</w:t>
      </w:r>
      <w:r>
        <w:rPr>
          <w:rFonts w:ascii="Arial" w:cs="Arial" w:eastAsia="Arial" w:hAnsi="Arial"/>
          <w:sz w:val="16"/>
          <w:szCs w:val="16"/>
          <w:b w:val="1"/>
          <w:bCs w:val="1"/>
          <w:color w:val="auto"/>
        </w:rPr>
        <w:t>Proposed Gatekeeper Notice</w:t>
      </w:r>
      <w:r>
        <w:rPr>
          <w:rFonts w:ascii="Arial" w:cs="Arial" w:eastAsia="Arial" w:hAnsi="Arial"/>
          <w:sz w:val="16"/>
          <w:szCs w:val="16"/>
          <w:color w:val="auto"/>
        </w:rPr>
        <w:t>”) with a list of at least [**] independent attorneys registered to practice before the United States Patent and Trademark Office of whom neither Company nor either Institution is a client, who are experienced in intellectual property matters in the biopharmaceutical industry and who are able to take on an obligation of confidentiality to both Parties. Within [**] days after the date of the Proposed Gatekeeper Notice, Institutions shall select by written notice to Company (the “</w:t>
      </w:r>
      <w:r>
        <w:rPr>
          <w:rFonts w:ascii="Arial" w:cs="Arial" w:eastAsia="Arial" w:hAnsi="Arial"/>
          <w:sz w:val="16"/>
          <w:szCs w:val="16"/>
          <w:b w:val="1"/>
          <w:bCs w:val="1"/>
          <w:color w:val="auto"/>
        </w:rPr>
        <w:t>Gatekeeper</w:t>
      </w:r>
      <w:r>
        <w:rPr>
          <w:rFonts w:ascii="Arial" w:cs="Arial" w:eastAsia="Arial" w:hAnsi="Arial"/>
          <w:sz w:val="16"/>
          <w:szCs w:val="16"/>
          <w:color w:val="auto"/>
        </w:rPr>
        <w:t xml:space="preserve"> </w:t>
      </w:r>
      <w:r>
        <w:rPr>
          <w:rFonts w:ascii="Arial" w:cs="Arial" w:eastAsia="Arial" w:hAnsi="Arial"/>
          <w:sz w:val="16"/>
          <w:szCs w:val="16"/>
          <w:b w:val="1"/>
          <w:bCs w:val="1"/>
          <w:color w:val="auto"/>
        </w:rPr>
        <w:t>Selection Notice</w:t>
      </w:r>
      <w:r>
        <w:rPr>
          <w:rFonts w:ascii="Arial" w:cs="Arial" w:eastAsia="Arial" w:hAnsi="Arial"/>
          <w:sz w:val="16"/>
          <w:szCs w:val="16"/>
          <w:color w:val="auto"/>
        </w:rPr>
        <w:t>”) one of the individuals named in the Proposed Gatekeeper Notice. Such individual selected by Institutions shall be the “</w:t>
      </w:r>
      <w:r>
        <w:rPr>
          <w:rFonts w:ascii="Arial" w:cs="Arial" w:eastAsia="Arial" w:hAnsi="Arial"/>
          <w:sz w:val="16"/>
          <w:szCs w:val="16"/>
          <w:b w:val="1"/>
          <w:bCs w:val="1"/>
          <w:color w:val="auto"/>
        </w:rPr>
        <w:t>Gatekeeper</w:t>
      </w:r>
      <w:r>
        <w:rPr>
          <w:rFonts w:ascii="Arial" w:cs="Arial" w:eastAsia="Arial" w:hAnsi="Arial"/>
          <w:sz w:val="16"/>
          <w:szCs w:val="16"/>
          <w:color w:val="auto"/>
        </w:rPr>
        <w:t>.” If</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do not select such individual in a Gatekeeper Selection Notice within such [**] day period, the individual selected by Company from among the individuals named in the Proposed Gatekeeper Notice and identified by Company in writing to Institutions shall be the Gatekeeper. The Gatekeeper shall be bound by confidentiality obligations to both Parties. In the event a Gatekeeper is no longer able or willing to serve in such role, the Parties shall appoint a new Gatekeeper by again following the procedures set forth in this Section 2.6.5.1.</w:t>
      </w:r>
    </w:p>
    <w:p>
      <w:pPr>
        <w:spacing w:after="0" w:line="164" w:lineRule="exact"/>
        <w:rPr>
          <w:sz w:val="20"/>
          <w:szCs w:val="20"/>
          <w:color w:val="auto"/>
        </w:rPr>
      </w:pPr>
    </w:p>
    <w:p>
      <w:pPr>
        <w:ind w:right="80" w:firstLine="1945"/>
        <w:spacing w:after="0" w:line="257" w:lineRule="auto"/>
        <w:rPr>
          <w:sz w:val="20"/>
          <w:szCs w:val="20"/>
          <w:color w:val="auto"/>
        </w:rPr>
      </w:pPr>
      <w:r>
        <w:rPr>
          <w:rFonts w:ascii="Arial" w:cs="Arial" w:eastAsia="Arial" w:hAnsi="Arial"/>
          <w:sz w:val="18"/>
          <w:szCs w:val="18"/>
          <w:color w:val="auto"/>
        </w:rPr>
        <w:t xml:space="preserve">2.6.5.2. </w:t>
      </w:r>
      <w:r>
        <w:rPr>
          <w:rFonts w:ascii="Arial" w:cs="Arial" w:eastAsia="Arial" w:hAnsi="Arial"/>
          <w:sz w:val="18"/>
          <w:szCs w:val="18"/>
          <w:i w:val="1"/>
          <w:iCs w:val="1"/>
          <w:color w:val="auto"/>
        </w:rPr>
        <w:t>Selected Target List.</w:t>
      </w:r>
      <w:r>
        <w:rPr>
          <w:rFonts w:ascii="Arial" w:cs="Arial" w:eastAsia="Arial" w:hAnsi="Arial"/>
          <w:sz w:val="18"/>
          <w:szCs w:val="18"/>
          <w:color w:val="auto"/>
        </w:rPr>
        <w:t xml:space="preserve"> A Gene Target that has been selected for research, development and/or commercialization pursuant to a Target-Based Collaboration Agreement may be added by Company, on a Target-Based Collaboration-by-Target-Based Collaboration basis, at the time of execution of such Target-Based Collaboration or at any time within [**] years thereafter, up to that number of Gene Targets specified in Section 2.6.5.3, to a list of Gene Targets (“</w:t>
      </w:r>
      <w:r>
        <w:rPr>
          <w:rFonts w:ascii="Arial" w:cs="Arial" w:eastAsia="Arial" w:hAnsi="Arial"/>
          <w:sz w:val="18"/>
          <w:szCs w:val="18"/>
          <w:b w:val="1"/>
          <w:bCs w:val="1"/>
          <w:color w:val="auto"/>
        </w:rPr>
        <w:t>Target List</w:t>
      </w:r>
      <w:r>
        <w:rPr>
          <w:rFonts w:ascii="Arial" w:cs="Arial" w:eastAsia="Arial" w:hAnsi="Arial"/>
          <w:sz w:val="18"/>
          <w:szCs w:val="18"/>
          <w:color w:val="auto"/>
        </w:rPr>
        <w:t>”) maintained by the Gatekeeper. The compensation, costs and expenses for the Gatekeeper shall be incurred and paid solely by Company. A Gene Target</w:t>
      </w:r>
    </w:p>
    <w:p>
      <w:pPr>
        <w:sectPr>
          <w:pgSz w:w="11900" w:h="16838" w:orient="portrait"/>
          <w:cols w:equalWidth="0" w:num="1">
            <w:col w:w="11400"/>
          </w:cols>
          <w:pgMar w:left="240" w:top="125" w:right="259" w:bottom="0" w:gutter="0" w:footer="0" w:header="0"/>
        </w:sectPr>
      </w:pPr>
    </w:p>
    <w:bookmarkStart w:id="346" w:name="page347"/>
    <w:bookmarkEnd w:id="346"/>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that is included on the Target List shall be deemed a “</w:t>
      </w:r>
      <w:r>
        <w:rPr>
          <w:rFonts w:ascii="Arial" w:cs="Arial" w:eastAsia="Arial" w:hAnsi="Arial"/>
          <w:sz w:val="16"/>
          <w:szCs w:val="16"/>
          <w:b w:val="1"/>
          <w:bCs w:val="1"/>
          <w:color w:val="auto"/>
        </w:rPr>
        <w:t>Selected Target</w:t>
      </w:r>
      <w:r>
        <w:rPr>
          <w:rFonts w:ascii="Arial" w:cs="Arial" w:eastAsia="Arial" w:hAnsi="Arial"/>
          <w:sz w:val="16"/>
          <w:szCs w:val="16"/>
          <w:color w:val="auto"/>
        </w:rPr>
        <w:t>” for the purposes of this Section 2.6.5 and only those Gene Targets that are included on the Target List shall be deemed Selected Targets for the purposes of this Section 2.6.5. For the avoidance of doubt, a specific target sequence or cleavage site within a gene shall not by itself constitute a Selected Target. Except as noted below with respect to Potential Targets, the effective date of addition of any Selected Target to the Target List (“</w:t>
      </w:r>
      <w:r>
        <w:rPr>
          <w:rFonts w:ascii="Arial" w:cs="Arial" w:eastAsia="Arial" w:hAnsi="Arial"/>
          <w:sz w:val="16"/>
          <w:szCs w:val="16"/>
          <w:b w:val="1"/>
          <w:bCs w:val="1"/>
          <w:color w:val="auto"/>
        </w:rPr>
        <w:t>Selection Date</w:t>
      </w:r>
      <w:r>
        <w:rPr>
          <w:rFonts w:ascii="Arial" w:cs="Arial" w:eastAsia="Arial" w:hAnsi="Arial"/>
          <w:sz w:val="16"/>
          <w:szCs w:val="16"/>
          <w:color w:val="auto"/>
        </w:rPr>
        <w:t xml:space="preserve">”) shall be [**] business days prior to the date on which the Gatekeeper receives written notice from Company that a given Selected Target is to be added to the Target List. Except as noted below in connection with Potential Targets, a Gene Target shall be deemed a Selected Target for a period of [**] years from the Selection Date for such Gene Target. In addition to the foregoing, Company may add to the Target List the Gene Targets that are the subject of a bona fide offer for Committed Funding from a prospective Target-Based Collaborator in connection with active discussions at any time and from time to time between Company and such Target-Based Collaborator regarding a potential </w:t>
      </w:r>
      <w:r>
        <w:rPr>
          <w:rFonts w:ascii="Arial" w:cs="Arial" w:eastAsia="Arial" w:hAnsi="Arial"/>
          <w:sz w:val="15"/>
          <w:szCs w:val="15"/>
          <w:color w:val="auto"/>
        </w:rPr>
        <w:t>Target-Based</w:t>
      </w:r>
      <w:r>
        <w:rPr>
          <w:rFonts w:ascii="Arial" w:cs="Arial" w:eastAsia="Arial" w:hAnsi="Arial"/>
          <w:sz w:val="16"/>
          <w:szCs w:val="16"/>
          <w:color w:val="auto"/>
        </w:rPr>
        <w:t xml:space="preserve"> </w:t>
      </w:r>
      <w:r>
        <w:rPr>
          <w:rFonts w:ascii="Arial" w:cs="Arial" w:eastAsia="Arial" w:hAnsi="Arial"/>
          <w:sz w:val="15"/>
          <w:szCs w:val="15"/>
          <w:color w:val="auto"/>
        </w:rPr>
        <w:t xml:space="preserve">Collaboration(s) (collectively, the </w:t>
      </w:r>
      <w:r>
        <w:rPr>
          <w:rFonts w:ascii="Arial" w:cs="Arial" w:eastAsia="Arial" w:hAnsi="Arial"/>
          <w:sz w:val="16"/>
          <w:szCs w:val="16"/>
          <w:color w:val="auto"/>
        </w:rPr>
        <w:t>“</w:t>
      </w:r>
      <w:r>
        <w:rPr>
          <w:rFonts w:ascii="Arial" w:cs="Arial" w:eastAsia="Arial" w:hAnsi="Arial"/>
          <w:sz w:val="16"/>
          <w:szCs w:val="16"/>
          <w:b w:val="1"/>
          <w:bCs w:val="1"/>
          <w:color w:val="auto"/>
        </w:rPr>
        <w:t>Potential Targets</w:t>
      </w:r>
      <w:r>
        <w:rPr>
          <w:rFonts w:ascii="Arial" w:cs="Arial" w:eastAsia="Arial" w:hAnsi="Arial"/>
          <w:sz w:val="16"/>
          <w:szCs w:val="16"/>
          <w:color w:val="auto"/>
        </w:rPr>
        <w:t>”). A Potential Target that is included on the Target List shall be deemed a “</w:t>
      </w:r>
      <w:r>
        <w:rPr>
          <w:rFonts w:ascii="Arial" w:cs="Arial" w:eastAsia="Arial" w:hAnsi="Arial"/>
          <w:sz w:val="16"/>
          <w:szCs w:val="16"/>
          <w:b w:val="1"/>
          <w:bCs w:val="1"/>
          <w:color w:val="auto"/>
        </w:rPr>
        <w:t>Selected Target</w:t>
      </w:r>
      <w:r>
        <w:rPr>
          <w:rFonts w:ascii="Arial" w:cs="Arial" w:eastAsia="Arial" w:hAnsi="Arial"/>
          <w:sz w:val="16"/>
          <w:szCs w:val="16"/>
          <w:color w:val="auto"/>
        </w:rPr>
        <w:t>” for the</w:t>
      </w:r>
      <w:r>
        <w:rPr>
          <w:rFonts w:ascii="Arial" w:cs="Arial" w:eastAsia="Arial" w:hAnsi="Arial"/>
          <w:sz w:val="15"/>
          <w:szCs w:val="15"/>
          <w:color w:val="auto"/>
        </w:rPr>
        <w:t xml:space="preserve"> </w:t>
      </w:r>
      <w:r>
        <w:rPr>
          <w:rFonts w:ascii="Arial" w:cs="Arial" w:eastAsia="Arial" w:hAnsi="Arial"/>
          <w:sz w:val="16"/>
          <w:szCs w:val="16"/>
          <w:color w:val="auto"/>
        </w:rPr>
        <w:t>purposes of this Section 2.6.5 during the Potential Target Period (as defined below), and the date on which the Gatekeeper receives written notice from Company that a given Potential Target is to be added to the Target List shall be deemed the “</w:t>
      </w:r>
      <w:r>
        <w:rPr>
          <w:rFonts w:ascii="Arial" w:cs="Arial" w:eastAsia="Arial" w:hAnsi="Arial"/>
          <w:sz w:val="16"/>
          <w:szCs w:val="16"/>
          <w:b w:val="1"/>
          <w:bCs w:val="1"/>
          <w:color w:val="auto"/>
        </w:rPr>
        <w:t>Selection Date</w:t>
      </w:r>
      <w:r>
        <w:rPr>
          <w:rFonts w:ascii="Arial" w:cs="Arial" w:eastAsia="Arial" w:hAnsi="Arial"/>
          <w:sz w:val="16"/>
          <w:szCs w:val="16"/>
          <w:color w:val="auto"/>
        </w:rPr>
        <w:t>” for such Potential Target. The number of Potential Targets that Company may add to the Target List in connection with any such active discussions with a Third Party is the number of Selected Targets as Company would be eligible to add to the Target List if Company and such Third Party entered into such Target-Based Collaboration, as determined based on a bona fide offer for Committed Funding by such prospective Target-Based Collaborator in connection with such active discussions. Company shall clearly identify in its notice to the Gatekeeper those Gene Targets that are Potential Targets. Company shall notify the Gatekeeper promptly if any Selected Target that is a Potential Target should be removed from the Target List because Company determines that the circumstances of the discussions with the relevant Third Party have changed and that such Potential Target is no longer the subject of bona fide discussions with a Third Party, in which case such Potential Target shall be deemed not to have been nominated as a Potential Target or Selected Target for the purposes of this Section 2.6.5. A Selected Target that is a Potential Target shall remain a Potential Target, a Selected Target and on the Target List for [**] months (the “</w:t>
      </w:r>
      <w:r>
        <w:rPr>
          <w:rFonts w:ascii="Arial" w:cs="Arial" w:eastAsia="Arial" w:hAnsi="Arial"/>
          <w:sz w:val="16"/>
          <w:szCs w:val="16"/>
          <w:b w:val="1"/>
          <w:bCs w:val="1"/>
          <w:color w:val="auto"/>
        </w:rPr>
        <w:t>Potential Target Period</w:t>
      </w:r>
      <w:r>
        <w:rPr>
          <w:rFonts w:ascii="Arial" w:cs="Arial" w:eastAsia="Arial" w:hAnsi="Arial"/>
          <w:sz w:val="16"/>
          <w:szCs w:val="16"/>
          <w:color w:val="auto"/>
        </w:rPr>
        <w:t>”) from the Selection Date for such Potential Target, subject to up to one (1) extension of an additional [**] months by Company upon notice to the Gatekeeper if Company determines in good faith that such Potential Target remains the subject of bona fide discussions between Company and the relevant Third Party regarding a Target-Based Collaboration at the time of such extension notice. The Gatekeeper shall notify Institutions that Company has extended the period of time that a Potential Target shall remain on the Target List. Such notice shall not identify the Potential Target by name nor include any other identifiable information but shall include a unique identifier for such Potential Target which shall enable Institutions to track and monitor the status of such Potential Target. The purpose of such notice is to permit Institutions to initiate communications with Company and to monitor compliance by Company with the terms of this Agreement. If Company enters into a Target-Based Collaboration with respect to a Potential Target, Company shall notify the Gatekeeper within [**] business days thereof, and such Potential Target shall remain a Selected Target and the Selection Date for such Selected Target shall remain the date on which the Gatekeeper received written notice from Company that a such Potential Target was to be added to the Target List. If a Potential Target was removed from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Target List prior to execution of the applicable Target-Based Collaboration and that Potential Target was the subject of a Gatekeeper Notice during the Potential Target Period for such Potential Target, then Gatekeeper shall notify Institutions that Company has removed such Potential Target from the Target List and Institutions shall be entitled to inform the applicable Proposing Party that such Potential Target may be available for a renewed Bona Fide Proposal and Institutions may provide a Proposed Product Notice on behalf of such Proposing Party in accordance with Section 2.6.1, in which event the provisions of Sections 2.6.1 - 2.6.4 shall apply to such Proposed Product Notice. The Gatekeeper shall notify Company within [**] if any Gene Target that Company notifies Gatekeeper to add to the Target List is already at the time of such notice the subject of a Gatekeeper Inquiry having a Gatekeeper Inquiry Date more than [**] business days prior to such notice from Company. No Gene Target shall become a Selected Target and be added to the Target List if such Gene Target is the subject of a Gatekeeper Inquiry having a Gatekeeper Inquiry Date more than [**] business days prior to the time Company notifies the Gatekeeper that Company is designating such Gene Target for inclusion on the Target List.</w:t>
      </w:r>
    </w:p>
    <w:p>
      <w:pPr>
        <w:spacing w:after="0" w:line="182" w:lineRule="exact"/>
        <w:rPr>
          <w:sz w:val="20"/>
          <w:szCs w:val="20"/>
          <w:color w:val="auto"/>
        </w:rPr>
      </w:pPr>
    </w:p>
    <w:p>
      <w:pPr>
        <w:ind w:right="80" w:firstLine="1945"/>
        <w:spacing w:after="0" w:line="253" w:lineRule="auto"/>
        <w:rPr>
          <w:sz w:val="20"/>
          <w:szCs w:val="20"/>
          <w:color w:val="auto"/>
        </w:rPr>
      </w:pPr>
      <w:r>
        <w:rPr>
          <w:rFonts w:ascii="Arial" w:cs="Arial" w:eastAsia="Arial" w:hAnsi="Arial"/>
          <w:sz w:val="18"/>
          <w:szCs w:val="18"/>
          <w:color w:val="auto"/>
        </w:rPr>
        <w:t xml:space="preserve">2.6.5.3. </w:t>
      </w:r>
      <w:r>
        <w:rPr>
          <w:rFonts w:ascii="Arial" w:cs="Arial" w:eastAsia="Arial" w:hAnsi="Arial"/>
          <w:sz w:val="18"/>
          <w:szCs w:val="18"/>
          <w:i w:val="1"/>
          <w:iCs w:val="1"/>
          <w:color w:val="auto"/>
        </w:rPr>
        <w:t>Permitted Number of Selected Targets.</w:t>
      </w:r>
      <w:r>
        <w:rPr>
          <w:rFonts w:ascii="Arial" w:cs="Arial" w:eastAsia="Arial" w:hAnsi="Arial"/>
          <w:sz w:val="18"/>
          <w:szCs w:val="18"/>
          <w:color w:val="auto"/>
        </w:rPr>
        <w:t xml:space="preserve"> The number of Gene Targets that may selected as Selected Targets for a given Target-Based Collaboration is dependent on the amount of Committed Funding under the Target-Based Collaboration, in accordance with the following provisions of this Section 2.6.5.3. On a Target-Based Collaboration-by-Target-Based Collaboration basis, Company may select as Selected Targets up to that number of Gene Targets that is proportionate to the total amount of Committed Funding under a given Target-Based Collaboration at a rate of no less than [***]. If at any point during the Collaboration Period, there is a reduction in the levels of Committed Funding under a given Target-Based Collaboration, Company shall notify Institutions of such reduction and the Target List for such Target-Based Collaboration shall be adjusted accordingly to reflect such reduction in Committed Funding. Promptly after the date of execution of any Target-Based Collaboration under which Selected Targets are to be selected, Company shall notify Institutions and the Gatekeeper thereof, and shall include in such notice the amount of Committed Funding under such Target-Based Collaboration.</w:t>
      </w: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 xml:space="preserve">2.6.5.4.  </w:t>
      </w:r>
      <w:r>
        <w:rPr>
          <w:rFonts w:ascii="Arial" w:cs="Arial" w:eastAsia="Arial" w:hAnsi="Arial"/>
          <w:sz w:val="16"/>
          <w:szCs w:val="16"/>
          <w:i w:val="1"/>
          <w:iCs w:val="1"/>
          <w:color w:val="auto"/>
        </w:rPr>
        <w:t>Gatekeeper Inquiry.</w:t>
      </w:r>
      <w:r>
        <w:rPr>
          <w:rFonts w:ascii="Arial" w:cs="Arial" w:eastAsia="Arial" w:hAnsi="Arial"/>
          <w:sz w:val="16"/>
          <w:szCs w:val="16"/>
          <w:color w:val="auto"/>
        </w:rPr>
        <w:t xml:space="preserve"> For any Proposed Product for which a Bona Fide Proposal has been provided to Institutions, prior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providing a Proposed Product Notice with respect to such Proposed Product to Company in accordance with Section 2.6.1, Institutions shall inquire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Gatekeeper in writing whether or not the Gene Target to which the applicable Proposed Product is directed is a Selected Target (such inquiry,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Gatekeeper Inquiry</w:t>
      </w:r>
      <w:r>
        <w:rPr>
          <w:rFonts w:ascii="Arial" w:cs="Arial" w:eastAsia="Arial" w:hAnsi="Arial"/>
          <w:sz w:val="16"/>
          <w:szCs w:val="16"/>
          <w:color w:val="auto"/>
        </w:rPr>
        <w:t>,” the date of such inquiry, the “</w:t>
      </w:r>
      <w:r>
        <w:rPr>
          <w:rFonts w:ascii="Arial" w:cs="Arial" w:eastAsia="Arial" w:hAnsi="Arial"/>
          <w:sz w:val="16"/>
          <w:szCs w:val="16"/>
          <w:b w:val="1"/>
          <w:bCs w:val="1"/>
          <w:color w:val="auto"/>
        </w:rPr>
        <w:t>Gatekeeper Inquiry Date</w:t>
      </w:r>
      <w:r>
        <w:rPr>
          <w:rFonts w:ascii="Arial" w:cs="Arial" w:eastAsia="Arial" w:hAnsi="Arial"/>
          <w:sz w:val="16"/>
          <w:szCs w:val="16"/>
          <w:color w:val="auto"/>
        </w:rPr>
        <w:t>”); provided that, if no Gatekeeper is appointed at such time, then Institutions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provide a Proposed Product Notice directly to Company under Section 2.6.1 without the requirement of submitting a Gatekeeper Inquiry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provisions of Section 2.6.5 shall not apply. The Gatekeeper shall, within the period beginning on the [**] business day and ending on the [**]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following Institutions’ request, notify Institutions in writing whether or not such Gene Target is a Selected Target (such notice, the “</w:t>
      </w:r>
      <w:r>
        <w:rPr>
          <w:rFonts w:ascii="Arial" w:cs="Arial" w:eastAsia="Arial" w:hAnsi="Arial"/>
          <w:sz w:val="17"/>
          <w:szCs w:val="17"/>
          <w:b w:val="1"/>
          <w:bCs w:val="1"/>
          <w:color w:val="auto"/>
        </w:rPr>
        <w:t>Gatekeeper Notice</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Gatekeeper Notice shall note if a Selected Target is a Potential Target. If such Gene Target is a Selected Target, the Gatekeeper Notice shall include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Selection Date for such Selected Target, and the provisions of Section 2.6.5.5 and 2.6.5.6 shall apply. If such Gene Target is not a Selected Target, then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Institutions may provide Company with a Proposed Product Notice with respect to the Proposed Product that is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directed to the applicable Gene Target and the provisions of Sections 2.6.2 - 2.6.4 shall apply. If the Gatekeeper does not timely provide a Gatekeeper Notice to Institutions, then Institutions may notify Company in writing thereof (“</w:t>
      </w:r>
      <w:r>
        <w:rPr>
          <w:rFonts w:ascii="Arial" w:cs="Arial" w:eastAsia="Arial" w:hAnsi="Arial"/>
          <w:sz w:val="16"/>
          <w:szCs w:val="16"/>
          <w:b w:val="1"/>
          <w:bCs w:val="1"/>
          <w:color w:val="auto"/>
        </w:rPr>
        <w:t>Gatekeeper Non-Performance Notice</w:t>
      </w:r>
      <w:r>
        <w:rPr>
          <w:rFonts w:ascii="Arial" w:cs="Arial" w:eastAsia="Arial" w:hAnsi="Arial"/>
          <w:sz w:val="16"/>
          <w:szCs w:val="16"/>
          <w:color w:val="auto"/>
        </w:rPr>
        <w:t>”) and Company may notify the Gatekeeper</w:t>
      </w:r>
    </w:p>
    <w:p>
      <w:pPr>
        <w:sectPr>
          <w:pgSz w:w="11900" w:h="16838" w:orient="portrait"/>
          <w:cols w:equalWidth="0" w:num="1">
            <w:col w:w="11420"/>
          </w:cols>
          <w:pgMar w:left="240" w:top="125" w:right="239" w:bottom="0" w:gutter="0" w:footer="0" w:header="0"/>
        </w:sectPr>
      </w:pPr>
    </w:p>
    <w:bookmarkStart w:id="347" w:name="page348"/>
    <w:bookmarkEnd w:id="347"/>
    <w:p>
      <w:pPr>
        <w:spacing w:after="0" w:line="10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of such non-performance. If Institutions do not receive a Gatekeeper Notice within [**] business days of the date of the Gatekeeper Non-Performance Notice, then Institutions may provide a Proposed Product Notice directly to Company under Section 2.6.1 and the provisions of Section 2.6.5 shall not apply. Gatekeeper shall not disclose the existence or nature of a Gatekeeper Inquiry to Company until after the [**] business day following such Gatekeeper Inquiry, at which time Gatekeeper shall notify Company of each Gene Target that is the subject of such Gatekeeper Inquiry. Institutions shall not disclose to any Third Party whether a Gene Target is a Selected Target or otherwise is under research, development and/or commercialization by Company or its Affiliate or Sublicensee; provided, however, that for any Selected Target that is the subject of a Gatekeeper Inquiry during the Collaboration Period for such Selected Target, Institutions shall be entitled to inform the Proposing Party that provided the Bona Fide Proposal for the Proposed Product directed at the applicable Selected Target of the date on which such Gene Target that is a Selected Target may become available for a renewed Bona Fide Proposal, such date to correspond with the expiration of the Collaboration Period for the applicable Selected Target. If such Proposing Party provides such renewed Bona Fide Proposal, and Institutions provide to Company a corresponding Proposed Product Notice based on such Bona Fide Proposal, then the provisions of Section 2.6.5.5(b) shall apply to such Proposed Product Notice.</w:t>
      </w:r>
    </w:p>
    <w:p>
      <w:pPr>
        <w:spacing w:after="0" w:line="18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2.6.5.5.  </w:t>
      </w:r>
      <w:r>
        <w:rPr>
          <w:rFonts w:ascii="Arial" w:cs="Arial" w:eastAsia="Arial" w:hAnsi="Arial"/>
          <w:sz w:val="18"/>
          <w:szCs w:val="18"/>
          <w:i w:val="1"/>
          <w:iCs w:val="1"/>
          <w:color w:val="auto"/>
        </w:rPr>
        <w:t>Time-Limited Preclusion of March-In for Selected Targets.</w:t>
      </w:r>
    </w:p>
    <w:p>
      <w:pPr>
        <w:spacing w:after="0" w:line="221" w:lineRule="exact"/>
        <w:rPr>
          <w:sz w:val="20"/>
          <w:szCs w:val="20"/>
          <w:color w:val="auto"/>
        </w:rPr>
      </w:pPr>
    </w:p>
    <w:p>
      <w:pPr>
        <w:ind w:right="160" w:firstLine="1305"/>
        <w:spacing w:after="0" w:line="303" w:lineRule="auto"/>
        <w:tabs>
          <w:tab w:leader="none" w:pos="191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For a period of [**] from the Selection Date (the “</w:t>
      </w:r>
      <w:r>
        <w:rPr>
          <w:rFonts w:ascii="Arial" w:cs="Arial" w:eastAsia="Arial" w:hAnsi="Arial"/>
          <w:sz w:val="16"/>
          <w:szCs w:val="16"/>
          <w:b w:val="1"/>
          <w:bCs w:val="1"/>
          <w:color w:val="auto"/>
        </w:rPr>
        <w:t>Collaboration Period</w:t>
      </w:r>
      <w:r>
        <w:rPr>
          <w:rFonts w:ascii="Arial" w:cs="Arial" w:eastAsia="Arial" w:hAnsi="Arial"/>
          <w:sz w:val="16"/>
          <w:szCs w:val="16"/>
          <w:color w:val="auto"/>
        </w:rPr>
        <w:t>”), Company shall not be required to provide a Current Development Demonstration in accordance with Section 2.6.2 hereof, or elect a Proposed Product Option in accordance with Section 2.6.3 hereof, and Institutions shall have no right to grant a Proposed Product License, for any Proposed Product directed to a Selected Target, provided that the Selection Date for such Selected Target is within [**] from the execution date of the Target-Based Collaboration under which the Selected Target has been selected.</w:t>
      </w:r>
    </w:p>
    <w:p>
      <w:pPr>
        <w:spacing w:after="0" w:line="155" w:lineRule="exact"/>
        <w:rPr>
          <w:rFonts w:ascii="Arial" w:cs="Arial" w:eastAsia="Arial" w:hAnsi="Arial"/>
          <w:sz w:val="16"/>
          <w:szCs w:val="16"/>
          <w:color w:val="auto"/>
        </w:rPr>
      </w:pPr>
    </w:p>
    <w:p>
      <w:pPr>
        <w:ind w:right="120" w:firstLine="1305"/>
        <w:spacing w:after="0" w:line="259" w:lineRule="auto"/>
        <w:tabs>
          <w:tab w:leader="none" w:pos="192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Upon expiration of the Collaboration Period for a given Selected Target, if Institutions provide Company with a Proposed Product Notice for a Proposed Product directed to such Selected Target, Company shall be required to provide to Institutions a Current Development Demonstration for such Proposed Product. If Company fails to provide a Current Development Demonstration for such Proposed Product, then Institutions shall be entitled to grant the Proposing Party a Proposed Product License for such Proposed Product.</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2.6.5.6.  </w:t>
      </w:r>
      <w:r>
        <w:rPr>
          <w:rFonts w:ascii="Arial" w:cs="Arial" w:eastAsia="Arial" w:hAnsi="Arial"/>
          <w:sz w:val="18"/>
          <w:szCs w:val="18"/>
          <w:i w:val="1"/>
          <w:iCs w:val="1"/>
          <w:color w:val="auto"/>
        </w:rPr>
        <w:t>Other Limitations on Selected Targets.</w:t>
      </w:r>
    </w:p>
    <w:p>
      <w:pPr>
        <w:spacing w:after="0" w:line="225" w:lineRule="exact"/>
        <w:rPr>
          <w:sz w:val="20"/>
          <w:szCs w:val="20"/>
          <w:color w:val="auto"/>
        </w:rPr>
      </w:pPr>
    </w:p>
    <w:p>
      <w:pPr>
        <w:ind w:right="60" w:firstLine="1305"/>
        <w:spacing w:after="0" w:line="259" w:lineRule="auto"/>
        <w:tabs>
          <w:tab w:leader="none" w:pos="191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Once a given Gene Target has been selected as a Selected Target under a given Target-Based Collaboration, such Gene Target may not be selected as a Selected Target under any other Target-Based Collaboration if such Gene Target has been the subject of a Gatekeeper Inquiry. The foregoing provision shall not apply to a Potential Target that was removed from the Target List prior to the execution of the Target-Based Collaboration under which such Potential Target was selected.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64" w:lineRule="auto"/>
        <w:tabs>
          <w:tab w:leader="none" w:pos="192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Collaboration Period shall apply in lieu of, and not in addition to, the [**]month periods set forth in Section 2.6.3. Once a given Gene Target has been selected as a Selected Target under a given Target-Based Collaboration, the Proposed Product Option shall not apply to Proposed Products directed to such Gene Target.</w:t>
      </w:r>
    </w:p>
    <w:p>
      <w:pPr>
        <w:spacing w:after="0" w:line="181" w:lineRule="exact"/>
        <w:rPr>
          <w:rFonts w:ascii="Arial" w:cs="Arial" w:eastAsia="Arial" w:hAnsi="Arial"/>
          <w:sz w:val="18"/>
          <w:szCs w:val="18"/>
          <w:color w:val="auto"/>
        </w:rPr>
      </w:pPr>
    </w:p>
    <w:p>
      <w:pPr>
        <w:ind w:right="300" w:firstLine="1305"/>
        <w:spacing w:after="0" w:line="264" w:lineRule="auto"/>
        <w:tabs>
          <w:tab w:leader="none" w:pos="191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Selected Targets may be dropped from the Target List upon notice by Company to Gatekeeper; provided that, once a Selected Target has been dropped from the Target List for a given Target-Based Collaboration (other than a Selected Target that is a Potential Target at the time it is dropped), it may not again be selected to the Target List for such Target-Based Collaboration.</w:t>
      </w:r>
    </w:p>
    <w:p>
      <w:pPr>
        <w:spacing w:after="0" w:line="181"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6"/>
          <w:szCs w:val="16"/>
          <w:color w:val="auto"/>
        </w:rPr>
        <w:t xml:space="preserve">2.6.6. </w:t>
      </w:r>
      <w:r>
        <w:rPr>
          <w:rFonts w:ascii="Arial" w:cs="Arial" w:eastAsia="Arial" w:hAnsi="Arial"/>
          <w:sz w:val="16"/>
          <w:szCs w:val="16"/>
          <w:u w:val="single" w:color="auto"/>
          <w:color w:val="auto"/>
        </w:rPr>
        <w:t>Processing of Proposed Products</w:t>
      </w:r>
      <w:r>
        <w:rPr>
          <w:rFonts w:ascii="Arial" w:cs="Arial" w:eastAsia="Arial" w:hAnsi="Arial"/>
          <w:sz w:val="16"/>
          <w:szCs w:val="16"/>
          <w:color w:val="auto"/>
        </w:rPr>
        <w:t>. Company shall not be required to simultaneously prepare or carry-out an Internal Development Plan or Collaboration Plan under Section 2.6.3 (to “</w:t>
      </w:r>
      <w:r>
        <w:rPr>
          <w:rFonts w:ascii="Arial" w:cs="Arial" w:eastAsia="Arial" w:hAnsi="Arial"/>
          <w:sz w:val="16"/>
          <w:szCs w:val="16"/>
          <w:b w:val="1"/>
          <w:bCs w:val="1"/>
          <w:color w:val="auto"/>
        </w:rPr>
        <w:t>Process</w:t>
      </w:r>
      <w:r>
        <w:rPr>
          <w:rFonts w:ascii="Arial" w:cs="Arial" w:eastAsia="Arial" w:hAnsi="Arial"/>
          <w:sz w:val="16"/>
          <w:szCs w:val="16"/>
          <w:color w:val="auto"/>
        </w:rPr>
        <w:t>”) for more than [**] Proposed Products in accordance with the timing requirements set forth in Section 2.6.3 at any one time. If Institutions provide a Proposed Product Notice for which Company fails to make a Current Development Demonstration, and Company is currently Processing [**] other Proposed Products on the Proposed Product Notice Date for the Proposed Product that is the subject of such Proposed Product Notice, then the time periods set forth in Section 2.6.3 for Processing of any such additional Proposed Product Notice by Company shall each be extended by a period equal to the result of multiplying (a) [**] months times (b) (i) [**] if the number of Proposed Products being Processed by Company on the relevant Proposed Product Notice Date is more than [**] and less than or equal to [**], (ii) [**] if the number of Proposed Products being Processed by Company on the relevant Proposed Product Notice Date is more than [**] and less than or equal to [**], (iii) [**] if the number of Proposed Products being Processed by Company on the relevant Proposed Product Notice Date is more than [**] and less than or equal to [**], and (iv) [**] if the number of Proposed Products being Processed by Company on the relevant Proposed Product Notice Date is more than [**] (“</w:t>
      </w:r>
      <w:r>
        <w:rPr>
          <w:rFonts w:ascii="Arial" w:cs="Arial" w:eastAsia="Arial" w:hAnsi="Arial"/>
          <w:sz w:val="16"/>
          <w:szCs w:val="16"/>
          <w:b w:val="1"/>
          <w:bCs w:val="1"/>
          <w:color w:val="auto"/>
        </w:rPr>
        <w:t>Proposed Product 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During such Proposed Product Extension Period for a given Proposed Product, Institutions shall not be permitted to grant a Proposed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to such Proposed Product. If the number of Proposed Products being Processed by Company on the relevant Proposed Product Notice Date is more than [**], Company shall have no obligation to Process additional Proposed Products until the number of Proposed Products being Processed by Company is fewer than [**], and the Proposed Product Extension Period shall be extended until, and shall be recalculated at, such time.</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2.6.7.</w:t>
        <w:tab/>
        <w:t>[***]</w:t>
      </w:r>
    </w:p>
    <w:p>
      <w:pPr>
        <w:spacing w:after="0" w:line="2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Technology Transfer</w:t>
      </w:r>
    </w:p>
    <w:p>
      <w:pPr>
        <w:spacing w:after="0" w:line="229"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 xml:space="preserve">2.7.1. </w:t>
      </w:r>
      <w:r>
        <w:rPr>
          <w:rFonts w:ascii="Arial" w:cs="Arial" w:eastAsia="Arial" w:hAnsi="Arial"/>
          <w:sz w:val="16"/>
          <w:szCs w:val="16"/>
          <w:u w:val="single" w:color="auto"/>
          <w:color w:val="auto"/>
        </w:rPr>
        <w:t>Transfer and Use</w:t>
      </w:r>
      <w:r>
        <w:rPr>
          <w:rFonts w:ascii="Arial" w:cs="Arial" w:eastAsia="Arial" w:hAnsi="Arial"/>
          <w:sz w:val="16"/>
          <w:szCs w:val="16"/>
          <w:color w:val="auto"/>
        </w:rPr>
        <w:t>. Within [***] days of the Effective Date, Institutions shall deliver to Company the Institution Materials. Company shall reimburse Institutions for the reasonable cost of providing the Institution Materials including costs incurred in the production and shipment of such materials. Institutions hereby grant Company the non-exclusive right to use the Institution Materials solely for purposes of researching, developing or commercializing Licensed Products, Licensed Services, Enabled Products and Enabled Services in accordance with the terms and conditions of this Agreement and otherwise for any purpose in conjunction with the exercise by the Company of its rights under the licenses granted to Company 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Section 2.1. Company may sublicense its rights to use the Institution Materials in connection with any Sublicense and may subcontract its rights to use the Institution Materials in connection with any subcontract of other rights pursuant to Section 2.4. Unless Institutions otherwise give express written consent, Company shall not (a) use the Institution Materials for any purpose other than for the foregoing purposes or (b) use the Institution Materials for testing in, treatment of, or any administration to, humans. Upon termination of this Agreement, at the request of the Institution from which the applicable Institution</w:t>
      </w:r>
    </w:p>
    <w:p>
      <w:pPr>
        <w:sectPr>
          <w:pgSz w:w="11900" w:h="16944" w:orient="portrait"/>
          <w:cols w:equalWidth="0" w:num="1">
            <w:col w:w="11420"/>
          </w:cols>
          <w:pgMar w:left="240" w:top="125" w:right="239" w:bottom="0" w:gutter="0" w:footer="0" w:header="0"/>
        </w:sectPr>
      </w:pPr>
    </w:p>
    <w:bookmarkStart w:id="348" w:name="page349"/>
    <w:bookmarkEnd w:id="348"/>
    <w:p>
      <w:pPr>
        <w:spacing w:after="0" w:line="11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xml:space="preserve">Materials originated, Company shall either return all quantities of such Institution Materials in its possession or control to such Institution or else destroy such Institution Materials and immediately certify such destruction to Institution in </w:t>
      </w:r>
      <w:r>
        <w:rPr>
          <w:rFonts w:ascii="Arial" w:cs="Arial" w:eastAsia="Arial" w:hAnsi="Arial"/>
          <w:sz w:val="16"/>
          <w:szCs w:val="16"/>
          <w:color w:val="auto"/>
        </w:rPr>
        <w:t>writing. Company shall cause its employees and agents to comply with its</w:t>
      </w:r>
    </w:p>
    <w:p>
      <w:pPr>
        <w:spacing w:after="0"/>
        <w:rPr>
          <w:sz w:val="20"/>
          <w:szCs w:val="20"/>
          <w:color w:val="auto"/>
        </w:rPr>
      </w:pPr>
      <w:r>
        <w:rPr>
          <w:rFonts w:ascii="Arial" w:cs="Arial" w:eastAsia="Arial" w:hAnsi="Arial"/>
          <w:sz w:val="18"/>
          <w:szCs w:val="18"/>
          <w:color w:val="auto"/>
        </w:rPr>
        <w:t>obligations under this Section 2.7.</w:t>
      </w:r>
    </w:p>
    <w:p>
      <w:pPr>
        <w:spacing w:after="0" w:line="211" w:lineRule="exact"/>
        <w:rPr>
          <w:sz w:val="20"/>
          <w:szCs w:val="20"/>
          <w:color w:val="auto"/>
        </w:rPr>
      </w:pPr>
    </w:p>
    <w:p>
      <w:pPr>
        <w:ind w:right="220" w:firstLine="1297"/>
        <w:spacing w:after="0" w:line="286" w:lineRule="auto"/>
        <w:rPr>
          <w:sz w:val="20"/>
          <w:szCs w:val="20"/>
          <w:color w:val="auto"/>
        </w:rPr>
      </w:pPr>
      <w:r>
        <w:rPr>
          <w:rFonts w:ascii="Arial" w:cs="Arial" w:eastAsia="Arial" w:hAnsi="Arial"/>
          <w:sz w:val="17"/>
          <w:szCs w:val="17"/>
          <w:color w:val="auto"/>
        </w:rPr>
        <w:t xml:space="preserve">2.7.2. </w:t>
      </w:r>
      <w:r>
        <w:rPr>
          <w:rFonts w:ascii="Arial" w:cs="Arial" w:eastAsia="Arial" w:hAnsi="Arial"/>
          <w:sz w:val="17"/>
          <w:szCs w:val="17"/>
          <w:u w:val="single" w:color="auto"/>
          <w:color w:val="auto"/>
        </w:rPr>
        <w:t>Structure / Identity</w:t>
      </w:r>
      <w:r>
        <w:rPr>
          <w:rFonts w:ascii="Arial" w:cs="Arial" w:eastAsia="Arial" w:hAnsi="Arial"/>
          <w:sz w:val="17"/>
          <w:szCs w:val="17"/>
          <w:color w:val="auto"/>
        </w:rPr>
        <w:t>. Notwithstanding anything in this Agreement to the contrary, Institutions shall not be obligated to disclose at any time the structure or composition of the Institution Materials. Company acknowledges that the Institution Materials are experimental in nature and Company shall comply with all laws and regulations applicable to the handling and use of the Institution Materials.</w:t>
      </w:r>
    </w:p>
    <w:p>
      <w:pPr>
        <w:spacing w:after="0" w:line="166"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u w:val="single" w:color="auto"/>
          <w:color w:val="auto"/>
        </w:rPr>
        <w:t>Ownership of Breach Inventions</w:t>
      </w:r>
      <w:r>
        <w:rPr>
          <w:rFonts w:ascii="Arial" w:cs="Arial" w:eastAsia="Arial" w:hAnsi="Arial"/>
          <w:sz w:val="18"/>
          <w:szCs w:val="18"/>
          <w:color w:val="auto"/>
        </w:rPr>
        <w:t>. In the event that Company uses or permits any use of the Institution Materials for a purpose or in a manner in breach of Section 2.7.1, the results of such unauthorized use, and any discoveries or inventions which arise from any such use, whether patentable or not, shall belong solely and exclusively to such Institution(s) (and/or MIT, if applicable) (“</w:t>
      </w:r>
      <w:r>
        <w:rPr>
          <w:rFonts w:ascii="Arial" w:cs="Arial" w:eastAsia="Arial" w:hAnsi="Arial"/>
          <w:sz w:val="18"/>
          <w:szCs w:val="18"/>
          <w:b w:val="1"/>
          <w:bCs w:val="1"/>
          <w:color w:val="auto"/>
        </w:rPr>
        <w:t>Breach Inventions</w:t>
      </w:r>
      <w:r>
        <w:rPr>
          <w:rFonts w:ascii="Arial" w:cs="Arial" w:eastAsia="Arial" w:hAnsi="Arial"/>
          <w:sz w:val="18"/>
          <w:szCs w:val="18"/>
          <w:color w:val="auto"/>
        </w:rPr>
        <w:t>”). Company shall and hereby does assign to such Institution(s) (and/or MIT, if applicable) all of its right, title and interest in and to all such Breach Inventions. Company shall cooperate with such Institution(s) (and/or MIT, if applicable) to execute and deliver any and all documents that such Institution(s) (and/or MIT, if applicable) deems reasonably necessary to perfect and enforce its rights hereunder to such Breach Inventions. Prior to the effectuation of such assignment, Company shall and hereby does grant to such Institution(s) (and/or MIT, if applicable) an exclusive, worldwide, perpetual, fully-paid up, royalty-free, irrevocable license (with the right to grant sublicenses) to make, use, sell, have made, have sold, offer for sale, and import such Breach Inventions and otherwise exploit all intellectual property rights therein.</w:t>
      </w:r>
    </w:p>
    <w:p>
      <w:pPr>
        <w:spacing w:after="0" w:line="193"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2.8. US Manufacturing. </w:t>
      </w:r>
      <w:r>
        <w:rPr>
          <w:rFonts w:ascii="Arial" w:cs="Arial" w:eastAsia="Arial" w:hAnsi="Arial"/>
          <w:sz w:val="18"/>
          <w:szCs w:val="18"/>
          <w:color w:val="auto"/>
        </w:rPr>
        <w:t>Company agrees that any Licensed Products used or sold in the United States that are subject to 35 U.S.C. §§ 201-211</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regulations promulgated thereunder, as amended, or any successor statutes or regulations shall, to the extent required by law, be manufactured substantially in the United States.</w:t>
      </w:r>
    </w:p>
    <w:p>
      <w:pPr>
        <w:spacing w:after="0" w:line="17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2.9. No Other Grant of Rights. </w:t>
      </w:r>
      <w:r>
        <w:rPr>
          <w:rFonts w:ascii="Arial" w:cs="Arial" w:eastAsia="Arial" w:hAnsi="Arial"/>
          <w:sz w:val="18"/>
          <w:szCs w:val="18"/>
          <w:color w:val="auto"/>
        </w:rPr>
        <w:t>Except as expressly provided herein, nothing in this Agreement shall be construed to confer any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license or other rights upon Company or its Affiliates or Sublicensees by implication, estoppel or otherwise as to any technology, intellectual property rights, products or biological materials of Institutions or MIT, or any other entity, regardless of whether such technology, intellectual property rights, products or biological materials are dominant, subordinate or otherwise related to any Patent Rights.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AND COMMERCIALIZATION.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3.1. Diligence; Development Milestones. </w:t>
      </w:r>
      <w:r>
        <w:rPr>
          <w:rFonts w:ascii="Arial" w:cs="Arial" w:eastAsia="Arial" w:hAnsi="Arial"/>
          <w:sz w:val="16"/>
          <w:szCs w:val="16"/>
          <w:color w:val="auto"/>
        </w:rPr>
        <w:t>Company shall use commercially reasonable efforts and shall cause its Affiliates and Sublicensees to</w:t>
      </w:r>
      <w:r>
        <w:rPr>
          <w:rFonts w:ascii="Arial" w:cs="Arial" w:eastAsia="Arial" w:hAnsi="Arial"/>
          <w:sz w:val="16"/>
          <w:szCs w:val="16"/>
          <w:b w:val="1"/>
          <w:bCs w:val="1"/>
          <w:color w:val="auto"/>
        </w:rPr>
        <w:t xml:space="preserve"> </w:t>
      </w:r>
      <w:r>
        <w:rPr>
          <w:rFonts w:ascii="Arial" w:cs="Arial" w:eastAsia="Arial" w:hAnsi="Arial"/>
          <w:sz w:val="16"/>
          <w:szCs w:val="16"/>
          <w:color w:val="auto"/>
        </w:rPr>
        <w:t>use commercially reasonable efforts: (a) to research and develop Licensed Products within the Field; (b) to introduce Licensed Products within the Field into the commercial market; and (c) to market Licensed Products within the Field following such introduction into the market and make such Licensed Products reasonably available to the public. In addition, Company, by itself or through its Affiliates or Sublicensees, shall achieve each of the Development Milestones within the time periods specified in Exhibit 3.1. In order for Company to satisfy a given Development Milestone, at least one Valid Claim of at least one Patent Right within each Patent Rights Category must Cover a Licensed Product that achieves such Development Milestone. If at least one Valid Claim of at least one Patent Right within a given Patent Rights Category does not Cover a Licensed Product that achieves the applicable Development Milestone, then Company shall be deemed not to have achieved such Development Milestone with respect to such Patent Rights Category (the “</w:t>
      </w:r>
      <w:r>
        <w:rPr>
          <w:rFonts w:ascii="Arial" w:cs="Arial" w:eastAsia="Arial" w:hAnsi="Arial"/>
          <w:sz w:val="16"/>
          <w:szCs w:val="16"/>
          <w:b w:val="1"/>
          <w:bCs w:val="1"/>
          <w:color w:val="auto"/>
        </w:rPr>
        <w:t>Non-Achieved Category</w:t>
      </w:r>
      <w:r>
        <w:rPr>
          <w:rFonts w:ascii="Arial" w:cs="Arial" w:eastAsia="Arial" w:hAnsi="Arial"/>
          <w:sz w:val="16"/>
          <w:szCs w:val="16"/>
          <w:color w:val="auto"/>
        </w:rPr>
        <w:t>”).</w:t>
      </w:r>
    </w:p>
    <w:p>
      <w:pPr>
        <w:spacing w:after="0" w:line="164"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CRISPR Patent Rights or TALE Patent Rights</w:t>
      </w:r>
      <w:r>
        <w:rPr>
          <w:rFonts w:ascii="Arial" w:cs="Arial" w:eastAsia="Arial" w:hAnsi="Arial"/>
          <w:sz w:val="17"/>
          <w:szCs w:val="17"/>
          <w:color w:val="auto"/>
        </w:rPr>
        <w:t>. If such Non-Achieved Category is the CRISPR Patent Rights category or the TALE Patent Rights category, each Institution may give written notice to Company stating such Institution’s intention to terminate the license granted hereunder with respect to the Patent Rights included in such Non-Achieved Category (the CRISPR Patent Rights or the TALE Patent Rights) and controlled by such Institution (such notice, the “</w:t>
      </w:r>
      <w:r>
        <w:rPr>
          <w:rFonts w:ascii="Arial" w:cs="Arial" w:eastAsia="Arial" w:hAnsi="Arial"/>
          <w:sz w:val="17"/>
          <w:szCs w:val="17"/>
          <w:b w:val="1"/>
          <w:bCs w:val="1"/>
          <w:color w:val="auto"/>
        </w:rPr>
        <w:t>Category Termination Notice</w:t>
      </w:r>
      <w:r>
        <w:rPr>
          <w:rFonts w:ascii="Arial" w:cs="Arial" w:eastAsia="Arial" w:hAnsi="Arial"/>
          <w:sz w:val="17"/>
          <w:szCs w:val="17"/>
          <w:color w:val="auto"/>
        </w:rPr>
        <w:t>”). Company may, within [***] days of receipt of the Category Termination Notice, provide a list, on a country-by country basis, of Valid Claims within the applicable Patent Rights Category to be terminated that Company reasonably believes would, if presented on a stand-alone basis, be included in either the CRISPR Patent Rights category or the TALE Patent Rights category (if such Patent Rights Category is not a Non-Achieved Category) and together with such list shall provide a reasonably detailed written explanation of the basis for the proposed recategorization of each such Valid Claim (the “</w:t>
      </w:r>
      <w:r>
        <w:rPr>
          <w:rFonts w:ascii="Arial" w:cs="Arial" w:eastAsia="Arial" w:hAnsi="Arial"/>
          <w:sz w:val="17"/>
          <w:szCs w:val="17"/>
          <w:b w:val="1"/>
          <w:bCs w:val="1"/>
          <w:color w:val="auto"/>
        </w:rPr>
        <w:t>Response Notice</w:t>
      </w:r>
      <w:r>
        <w:rPr>
          <w:rFonts w:ascii="Arial" w:cs="Arial" w:eastAsia="Arial" w:hAnsi="Arial"/>
          <w:sz w:val="17"/>
          <w:szCs w:val="17"/>
          <w:color w:val="auto"/>
        </w:rPr>
        <w:t>”). If Company does not provide a Response Notice within [***] days of Company’s receipt of the Category Termination Notice, then Institution may provide notice of termination with respect to the Patent Rights controlled by such Institution within the Patent Rights Category to be terminated, the exclusive and/or non-exclusive license under such Valid Claims or Patent Rights granted hereunder shall terminate in accordance with such notice by Institution, and Institution shall be free without notice or obligation to Company to use or grant rights in and to such Patent Rights and Valid Claims such Institution controls, without limitation. If Company provides a Response Notice, then upon receipt of the Response Notice Institution may provide notice of termination, effective in accordance with such notice, with respect to any Valid Claims or Patent Rights within the Patent Rights Category to be terminated that are controlled by such Institution and are not identified in the Response Notice, the exclusive and/or non-exclusive license under such Valid Claims or Patent Rights granted hereunder shall terminate in accordance with such notice by Institution, and such Institution shall be free without notice or obligation to Company to use or grant rights in and to such Patent Rights and Valid Claims such Institution controls, without limitation. With respect to Valid Claims of the Non-Achieved Category that are included in Company’s Response Notice, within [***] days of Institution’s receipt of such notice (the “</w:t>
      </w:r>
      <w:r>
        <w:rPr>
          <w:rFonts w:ascii="Arial" w:cs="Arial" w:eastAsia="Arial" w:hAnsi="Arial"/>
          <w:sz w:val="17"/>
          <w:szCs w:val="17"/>
          <w:b w:val="1"/>
          <w:bCs w:val="1"/>
          <w:color w:val="auto"/>
        </w:rPr>
        <w:t>Response Period</w:t>
      </w:r>
      <w:r>
        <w:rPr>
          <w:rFonts w:ascii="Arial" w:cs="Arial" w:eastAsia="Arial" w:hAnsi="Arial"/>
          <w:sz w:val="17"/>
          <w:szCs w:val="17"/>
          <w:color w:val="auto"/>
        </w:rPr>
        <w:t>”), if the Institution controlling such Valid Claims does not agree that the identified Valid Claims should be recategorized, such Institution shall notify Company thereof and Company shall be entitled, within [***] days of receipt of such notice from Institution, to notify Institution that Company elects to submit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matter to a qualified Third Party expert mutually agreed by the Parties (and paid for by Company), which submission shall occur within [***] days of Company’s notice of such election, for determination by such Third Party expert whether categorization of such Valid Claims into the other Patent Rights Category (either the CRISPR Patent Rights category or the TALE Patent Rights category) is appropriate, which determination shall be binding upon the Parties. If (i) the Institution controlling such Valid Claims does not notify Company of such disagreement within the Response Period, (ii) within the Response Period such Institution notifies Company in writing that it agrees that the identified Valid Claims in the Response </w:t>
      </w:r>
      <w:r>
        <w:rPr>
          <w:rFonts w:ascii="Arial" w:cs="Arial" w:eastAsia="Arial" w:hAnsi="Arial"/>
          <w:sz w:val="15"/>
          <w:szCs w:val="15"/>
          <w:color w:val="auto"/>
        </w:rPr>
        <w:t>Notice should be recategorized, or</w:t>
      </w:r>
    </w:p>
    <w:p>
      <w:pPr>
        <w:spacing w:after="0" w:line="2" w:lineRule="exact"/>
        <w:rPr>
          <w:sz w:val="20"/>
          <w:szCs w:val="20"/>
          <w:color w:val="auto"/>
        </w:rPr>
      </w:pPr>
    </w:p>
    <w:p>
      <w:pPr>
        <w:ind w:right="100" w:firstLine="8"/>
        <w:spacing w:after="0" w:line="319" w:lineRule="auto"/>
        <w:tabs>
          <w:tab w:leader="none" w:pos="307" w:val="left"/>
        </w:tabs>
        <w:numPr>
          <w:ilvl w:val="0"/>
          <w:numId w:val="264"/>
        </w:numPr>
        <w:rPr>
          <w:rFonts w:ascii="Arial" w:cs="Arial" w:eastAsia="Arial" w:hAnsi="Arial"/>
          <w:sz w:val="15"/>
          <w:szCs w:val="15"/>
          <w:color w:val="auto"/>
        </w:rPr>
      </w:pPr>
      <w:r>
        <w:rPr>
          <w:rFonts w:ascii="Arial" w:cs="Arial" w:eastAsia="Arial" w:hAnsi="Arial"/>
          <w:sz w:val="15"/>
          <w:szCs w:val="15"/>
          <w:color w:val="auto"/>
        </w:rPr>
        <w:t>the qualified Third Party expert determines that such Valid Claims would, if presented on a stand-alone basis, be categorized in the other Patent Rights Category (either the CRISPR Patent Rights or TALE Patent Rights category), then in each case such Valid Claims shall be recategorized accordingly into the other Patent Rights Category. If (a) Company does not notify the Institution of its election to submit the matter to a Third Party expert, or does not submit the matter in accordance with the requirements above, (b) the Third Party expert determines that some or all of such Valid Claims would not, if presented on a stand-</w:t>
      </w:r>
    </w:p>
    <w:p>
      <w:pPr>
        <w:sectPr>
          <w:pgSz w:w="11900" w:h="16950" w:orient="portrait"/>
          <w:cols w:equalWidth="0" w:num="1">
            <w:col w:w="11420"/>
          </w:cols>
          <w:pgMar w:left="240" w:top="125" w:right="239" w:bottom="0" w:gutter="0" w:footer="0" w:header="0"/>
        </w:sectPr>
      </w:pPr>
    </w:p>
    <w:bookmarkStart w:id="349" w:name="page350"/>
    <w:bookmarkEnd w:id="349"/>
    <w:p>
      <w:pPr>
        <w:ind w:right="60"/>
        <w:spacing w:after="0" w:line="294" w:lineRule="auto"/>
        <w:rPr>
          <w:sz w:val="20"/>
          <w:szCs w:val="20"/>
          <w:color w:val="auto"/>
        </w:rPr>
      </w:pPr>
      <w:r>
        <w:rPr>
          <w:rFonts w:ascii="Arial" w:cs="Arial" w:eastAsia="Arial" w:hAnsi="Arial"/>
          <w:sz w:val="16"/>
          <w:szCs w:val="16"/>
          <w:color w:val="auto"/>
        </w:rPr>
        <w:t>alone basis, be categorized in another Patent Rights Category or (c) Company notifies Institutions in writing that Company agrees that some or all of the Valid Claims identified in the Response Notice should not be recategorized, then in each case such Valid Claims shall not be recategorized, Institution may provide notice of termination with respect to such Valid Claims or Patent Rights within the Patent Rights Category to be terminated, the exclusive and/or nonexclusive license under such Valid Claims or Patent Rights granted hereunder shall terminate in accordance with such notice by Institution and such Institution shall be free without notice or obligation to Company to use or grant rights in and to such Patent Rights and Valid Claims such Institution controls, without limitation.</w:t>
      </w:r>
    </w:p>
    <w:p>
      <w:pPr>
        <w:spacing w:after="0" w:line="164" w:lineRule="exact"/>
        <w:rPr>
          <w:sz w:val="20"/>
          <w:szCs w:val="20"/>
          <w:color w:val="auto"/>
        </w:rPr>
      </w:pPr>
    </w:p>
    <w:p>
      <w:pPr>
        <w:ind w:right="80" w:firstLine="1297"/>
        <w:spacing w:after="0" w:line="272"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Delivery Patent Rights</w:t>
      </w:r>
      <w:r>
        <w:rPr>
          <w:rFonts w:ascii="Arial" w:cs="Arial" w:eastAsia="Arial" w:hAnsi="Arial"/>
          <w:sz w:val="17"/>
          <w:szCs w:val="17"/>
          <w:color w:val="auto"/>
        </w:rPr>
        <w:t>. If such Non-Achieved Category is the Delivery Patent Rights, then the relevant Institution may, upon written notice to Company thereof, terminate the exclusive and/or non-exclusive license under the Valid Claims and Patent Rights within the Delivery Patent Rights granted hereunder in accordance with such notice by such Institution, in which case such Institution shall be free without notice or obligation to Company to use or grant rights in and to such Patent Rights and Valid Claims such Institution controls, without limitation; provided that the exclusive license under Valid Claims of the Delivery Patent Rights shall be converted to a non-exclusive license and shall remain in effect solely with respect to any existing Licensed Products that are Covered by such Valid Claims and have received Regulatory Approval, or are being developed under an IND, as of the effective date of termination of the license under the Delivery Patent Rights.</w:t>
      </w:r>
    </w:p>
    <w:p>
      <w:pPr>
        <w:spacing w:after="0" w:line="174"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3.2. Development Plan; Adjustments. </w:t>
      </w:r>
      <w:r>
        <w:rPr>
          <w:rFonts w:ascii="Arial" w:cs="Arial" w:eastAsia="Arial" w:hAnsi="Arial"/>
          <w:sz w:val="18"/>
          <w:szCs w:val="18"/>
          <w:color w:val="auto"/>
        </w:rPr>
        <w:t>The Development Plan for the development and commercialization of Licensed Products,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Enabled Products and Enabled Services is attached hereto as Exhibit 3.2. Company shall be entitled, from time to time, to make such commercially reasonable adjustments to the Development Plan as Company believes, in its good faith judgment, are needed in order to improve Company’s ability to meet the Development Milestones in Exhibit 3.1.</w:t>
      </w:r>
    </w:p>
    <w:p>
      <w:pPr>
        <w:spacing w:after="0" w:line="18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 xml:space="preserve">Reporting. </w:t>
      </w:r>
      <w:r>
        <w:rPr>
          <w:rFonts w:ascii="Arial" w:cs="Arial" w:eastAsia="Arial" w:hAnsi="Arial"/>
          <w:sz w:val="16"/>
          <w:szCs w:val="16"/>
          <w:color w:val="auto"/>
        </w:rPr>
        <w:t>Within [***] days after the end of each Calendar Year, Company shall furnish Institutions with:</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40" w:firstLine="1297"/>
        <w:spacing w:after="0" w:line="288" w:lineRule="auto"/>
        <w:rPr>
          <w:sz w:val="20"/>
          <w:szCs w:val="20"/>
          <w:color w:val="auto"/>
        </w:rPr>
      </w:pPr>
      <w:r>
        <w:rPr>
          <w:rFonts w:ascii="Arial" w:cs="Arial" w:eastAsia="Arial" w:hAnsi="Arial"/>
          <w:sz w:val="16"/>
          <w:szCs w:val="16"/>
          <w:color w:val="auto"/>
        </w:rPr>
        <w:t>3.3.1. a written report summarizing its, its Affiliates’ and its Sublicensees’ efforts during the prior year to develop and commercialize Licensed Products within the Field, including: (a) research and development activities, including information regarding specific Licensed Products and Enabled Products in development and their therapeutic applications; (b) status of applications for Regulatory Approvals; (c) commercialization efforts; and</w:t>
      </w:r>
    </w:p>
    <w:p>
      <w:pPr>
        <w:ind w:right="260" w:firstLine="8"/>
        <w:spacing w:after="0" w:line="273" w:lineRule="auto"/>
        <w:tabs>
          <w:tab w:leader="none" w:pos="25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marketing efforts; which report must contain a sufficient level of detail for Institutions to assess whether Company is in compliance with its obligations under Article 3 and a discussion of intended efforts for the then current year. Together with each report prepared and provided under this Section 3.3.1, Company shall provide Institutions with a copy of the then-current Development Plan which shall include sufficient detail to enable Institutions to assess what Licensed Products and Enabled Products are in development and the status of such development; and</w:t>
      </w:r>
    </w:p>
    <w:p>
      <w:pPr>
        <w:spacing w:after="0" w:line="177" w:lineRule="exact"/>
        <w:rPr>
          <w:sz w:val="20"/>
          <w:szCs w:val="20"/>
          <w:color w:val="auto"/>
        </w:rPr>
      </w:pPr>
    </w:p>
    <w:p>
      <w:pPr>
        <w:ind w:right="1040" w:firstLine="1297"/>
        <w:spacing w:after="0" w:line="277" w:lineRule="auto"/>
        <w:rPr>
          <w:sz w:val="20"/>
          <w:szCs w:val="20"/>
          <w:color w:val="auto"/>
        </w:rPr>
      </w:pPr>
      <w:r>
        <w:rPr>
          <w:rFonts w:ascii="Arial" w:cs="Arial" w:eastAsia="Arial" w:hAnsi="Arial"/>
          <w:sz w:val="18"/>
          <w:szCs w:val="18"/>
          <w:color w:val="auto"/>
        </w:rPr>
        <w:t>3.3.2. a brief written report summarizing its, its Affiliates’ and its Sublicensees’ efforts during the prior year to develop and commercialize Licensed Products outside of the Field, Enabled Products, Licensed Services and Enabled Services.</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color w:val="auto"/>
        </w:rPr>
        <w:t xml:space="preserve">3.4. Failure to Meet Development Milestone; Opportunity to Cure. </w:t>
      </w:r>
      <w:r>
        <w:rPr>
          <w:rFonts w:ascii="Arial" w:cs="Arial" w:eastAsia="Arial" w:hAnsi="Arial"/>
          <w:sz w:val="16"/>
          <w:szCs w:val="16"/>
          <w:color w:val="auto"/>
        </w:rPr>
        <w:t>If Company believes that, despite using commercially reasonable efforts,</w:t>
      </w:r>
      <w:r>
        <w:rPr>
          <w:rFonts w:ascii="Arial" w:cs="Arial" w:eastAsia="Arial" w:hAnsi="Arial"/>
          <w:sz w:val="16"/>
          <w:szCs w:val="16"/>
          <w:b w:val="1"/>
          <w:bCs w:val="1"/>
          <w:color w:val="auto"/>
        </w:rPr>
        <w:t xml:space="preserve"> </w:t>
      </w:r>
      <w:r>
        <w:rPr>
          <w:rFonts w:ascii="Arial" w:cs="Arial" w:eastAsia="Arial" w:hAnsi="Arial"/>
          <w:sz w:val="16"/>
          <w:szCs w:val="16"/>
          <w:color w:val="auto"/>
        </w:rPr>
        <w:t>it will not achieve a Development Milestone, it may notify Institutions in writing in advance of the relevant deadline. Company shall include with such notice</w:t>
      </w:r>
    </w:p>
    <w:p>
      <w:pPr>
        <w:spacing w:after="0" w:line="1" w:lineRule="exact"/>
        <w:rPr>
          <w:sz w:val="20"/>
          <w:szCs w:val="20"/>
          <w:color w:val="auto"/>
        </w:rPr>
      </w:pPr>
    </w:p>
    <w:p>
      <w:pPr>
        <w:ind w:right="20" w:firstLine="8"/>
        <w:spacing w:after="0" w:line="284" w:lineRule="auto"/>
        <w:tabs>
          <w:tab w:leader="none" w:pos="24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 reasonable explanation of the reasons for such failure (lack of finances or development preference for a non-Licensed Product shall not constitute reasonable basis for such failure) (“</w:t>
      </w:r>
      <w:r>
        <w:rPr>
          <w:rFonts w:ascii="Arial" w:cs="Arial" w:eastAsia="Arial" w:hAnsi="Arial"/>
          <w:sz w:val="16"/>
          <w:szCs w:val="16"/>
          <w:b w:val="1"/>
          <w:bCs w:val="1"/>
          <w:color w:val="auto"/>
        </w:rPr>
        <w:t>Milestone Explanation</w:t>
      </w:r>
      <w:r>
        <w:rPr>
          <w:rFonts w:ascii="Arial" w:cs="Arial" w:eastAsia="Arial" w:hAnsi="Arial"/>
          <w:sz w:val="16"/>
          <w:szCs w:val="16"/>
          <w:color w:val="auto"/>
        </w:rPr>
        <w:t>”) and (b) a reasonable, detailed, written plan for promptly achieving a reasonable extended and/or amended milestone, which plan shall include information regarding which Institution’s Patent Rights Cover the Licensed Product that will achieve such milestone (“</w:t>
      </w:r>
      <w:r>
        <w:rPr>
          <w:rFonts w:ascii="Arial" w:cs="Arial" w:eastAsia="Arial" w:hAnsi="Arial"/>
          <w:sz w:val="16"/>
          <w:szCs w:val="16"/>
          <w:b w:val="1"/>
          <w:bCs w:val="1"/>
          <w:color w:val="auto"/>
        </w:rPr>
        <w:t>Milestone Plan</w:t>
      </w:r>
      <w:r>
        <w:rPr>
          <w:rFonts w:ascii="Arial" w:cs="Arial" w:eastAsia="Arial" w:hAnsi="Arial"/>
          <w:sz w:val="16"/>
          <w:szCs w:val="16"/>
          <w:color w:val="auto"/>
        </w:rPr>
        <w:t>”). If Company so notifies Institutions, but fails to provide Institutions with both a Milestone Explanation and Milestone Plan, then Company shall have an additional [***] days or until the original deadline of the relevant Development Milestone, whichever is later, to meet such milestone. Company’s failure to do so shall constitute a material breach of this Agreement and Institutions shall have the right to terminate this Agreement upon written notice to Company. If Company so notifies Institutions and provides Institutions with a Milestone Explanation and Milestone Plan, both of which are reasonably acceptable to the Institution(s) whose Patent Rights Cover the applicable Licensed Product that is the subject of the Milestone Plan, then Exhibit 3.1 shall be amended automatically to incorporate the extended and/or amended milestone set forth in the Milestone Plan. If Company so notifies Institutions and provides Institutions with a Milestone Explanation and Milestone Plan, but the Milestone Explanation is not reasonably acceptable to the Institution(s) whose Patent Rights Cover the applicable Licensed Product that is the subject of the Milestone Plan (e.g., Company asserts lack of finances or development preference for a non-Licensed Product), then such Institution(s) shall notify Company that the Milestone Explanation is not acceptable and explain to Company why the Milestone Plan is not acceptable and Company shall have an additional [***] days or until the original deadline of the relevant Development Milestone, whichever is later, to meet such milestone. Company’s failure to do so shall constitute a material breach of this Agreement, and Institutions shall have the right to terminate this Agreement upon written notice to Company. If Company so notifies Institutions and provides Institutions with a Milestone Explanation and Milestone Plan, but the Milestone Plan is not reasonably acceptable to the Institution(s) whose Patent Rights Cover the applicable Licensed Product that is the subject of the Milestone Plan, then such Institution(s) shall notify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Company that the Milestone Plan is not reasonably acceptable, explain to Company why the Milestone Plan is not reasonably acceptable and shall provide Company with suggestions for a reasonably acceptable Milestone Plan. Company shall have one opportunity to provide Institutions with a Milestone Plan reasonably acceptable to the Institution(s) whose Patent Rights Cover the applicable Licensed Product that is the subject of the Milestone Plan within [***] days of the notice from Institution(s) described in the previous sentence, during which time the </w:t>
      </w:r>
      <w:r>
        <w:rPr>
          <w:rFonts w:ascii="Arial" w:cs="Arial" w:eastAsia="Arial" w:hAnsi="Arial"/>
          <w:sz w:val="16"/>
          <w:szCs w:val="16"/>
          <w:color w:val="auto"/>
        </w:rPr>
        <w:t>Institution(s) whose Patent Rights Cover the applicable</w:t>
      </w:r>
      <w:r>
        <w:rPr>
          <w:rFonts w:ascii="Arial" w:cs="Arial" w:eastAsia="Arial" w:hAnsi="Arial"/>
          <w:sz w:val="17"/>
          <w:szCs w:val="17"/>
          <w:color w:val="auto"/>
        </w:rPr>
        <w:t xml:space="preserve"> </w:t>
      </w:r>
      <w:r>
        <w:rPr>
          <w:rFonts w:ascii="Arial" w:cs="Arial" w:eastAsia="Arial" w:hAnsi="Arial"/>
          <w:sz w:val="16"/>
          <w:szCs w:val="16"/>
          <w:color w:val="auto"/>
        </w:rPr>
        <w:t>Licensed Product that is the subject of the Milestone Plan agrees to work with Company in its effort to develop a reasonably acceptable Milestone Plan. If, within such [***] days, Company provides Institutions with a Milestone Plan reasonably acceptable to the Institution(s) whose Patent Rights Cover the applicable Licensed Product that is the subject of the Milestone Plan, then Exhibit 3.1 shall be amended automatically to incorporate the extended and/or amended milestone set forth in the Milestone Plan. If, within such [***]days, Company fails to provide a Milestone Plan reasonably acceptable to the Institution(s) whose Patent Rights Cover the applicable Licensed Product that is the subject of the Milestone Plan, then Company shall have an additional [***] days or until the original deadline of the relevant Development Milestone, whichever is later, to meet such milestone. Company’s failure to do so shall constitute a material breach of this Agreement and Institutions shall have the right to terminate this Agreement upon written notice to Company. For clarity, if Company fails to achieve a Development Milestone and does not avail itself of the procedure set forth in this Section 3.4, then Institutions may treat such failure as a material breach and terminate this Agreement upon written notice to Company. Disputes arising under this Section 3.4 shall not be subject to resolution by the Executive Officers under Section 11.7.</w:t>
      </w:r>
    </w:p>
    <w:p>
      <w:pPr>
        <w:spacing w:after="0" w:line="176"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ectPr>
          <w:pgSz w:w="11900" w:h="16838" w:orient="portrait"/>
          <w:cols w:equalWidth="0" w:num="1">
            <w:col w:w="11420"/>
          </w:cols>
          <w:pgMar w:left="240" w:top="131" w:right="239" w:bottom="0" w:gutter="0" w:footer="0" w:header="0"/>
        </w:sectPr>
      </w:pPr>
    </w:p>
    <w:bookmarkStart w:id="350" w:name="page351"/>
    <w:bookmarkEnd w:id="350"/>
    <w:p>
      <w:pPr>
        <w:spacing w:after="0" w:line="86" w:lineRule="exact"/>
        <w:rPr>
          <w:sz w:val="20"/>
          <w:szCs w:val="20"/>
          <w:color w:val="auto"/>
        </w:rPr>
      </w:pPr>
    </w:p>
    <w:p>
      <w:pPr>
        <w:ind w:left="660" w:right="7800" w:hanging="652"/>
        <w:spacing w:after="0" w:line="533" w:lineRule="auto"/>
        <w:tabs>
          <w:tab w:leader="none" w:pos="660"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REPORTS; PAYMENTS; RECORDS. 5.1. Reports and Payments.</w:t>
      </w:r>
    </w:p>
    <w:p>
      <w:pPr>
        <w:ind w:right="260" w:firstLine="1297"/>
        <w:spacing w:after="0" w:line="27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Reports</w:t>
      </w:r>
      <w:r>
        <w:rPr>
          <w:rFonts w:ascii="Arial" w:cs="Arial" w:eastAsia="Arial" w:hAnsi="Arial"/>
          <w:sz w:val="17"/>
          <w:szCs w:val="17"/>
          <w:color w:val="auto"/>
        </w:rPr>
        <w:t>. Within [***] days after the conclusion of each Calendar Quarter commencing with the first Calendar Quarter in which Net Sales are generated or Sublicense Income is received, Company shall deliver to Institutions a report containing the following information (in each instance, with a product/service-by-product/service and country-by-country breakdown and, in the case of the requirement under Section 5.1.1(c), to the extent such itemized listing of allowable deductions is available from Sublicensees under the terms of the relevant Sublicenses):</w:t>
      </w:r>
    </w:p>
    <w:p>
      <w:pPr>
        <w:spacing w:after="0" w:line="171" w:lineRule="exact"/>
        <w:rPr>
          <w:sz w:val="20"/>
          <w:szCs w:val="20"/>
          <w:color w:val="auto"/>
        </w:rPr>
      </w:pPr>
    </w:p>
    <w:p>
      <w:pPr>
        <w:ind w:right="260" w:firstLine="1305"/>
        <w:spacing w:after="0" w:line="277" w:lineRule="auto"/>
        <w:tabs>
          <w:tab w:leader="none" w:pos="191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number of units of Licensed Products, Licensed Services, Enabled Products and Enabled Services sold, leased, performed or otherwise transferred, by Invoicing Entities for the applicable Calendar Quarter;</w:t>
      </w:r>
    </w:p>
    <w:p>
      <w:pPr>
        <w:spacing w:after="0" w:line="170" w:lineRule="exact"/>
        <w:rPr>
          <w:rFonts w:ascii="Arial" w:cs="Arial" w:eastAsia="Arial" w:hAnsi="Arial"/>
          <w:sz w:val="18"/>
          <w:szCs w:val="18"/>
          <w:color w:val="auto"/>
        </w:rPr>
      </w:pPr>
    </w:p>
    <w:p>
      <w:pPr>
        <w:ind w:right="40" w:firstLine="1305"/>
        <w:spacing w:after="0" w:line="277" w:lineRule="auto"/>
        <w:tabs>
          <w:tab w:leader="none" w:pos="192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gross amount billed or invoiced for Licensed Products, Licensed Services, Enabled Products and Enabled Services sold, leased, performed or otherwise transferred by Invoicing Entities during the applicable Calendar Quarter;</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calculation of Net Sales for the applicable Calendar Quarter, including an itemized listing of allowable deductions;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reasonably detailed accounting of all Sublicense Income received during the applicable Calendar Quarter;</w:t>
      </w:r>
    </w:p>
    <w:p>
      <w:pPr>
        <w:spacing w:after="0" w:line="225" w:lineRule="exact"/>
        <w:rPr>
          <w:rFonts w:ascii="Arial" w:cs="Arial" w:eastAsia="Arial" w:hAnsi="Arial"/>
          <w:sz w:val="18"/>
          <w:szCs w:val="18"/>
          <w:color w:val="auto"/>
        </w:rPr>
      </w:pPr>
    </w:p>
    <w:p>
      <w:pPr>
        <w:ind w:right="260" w:firstLine="1305"/>
        <w:spacing w:after="0" w:line="277" w:lineRule="auto"/>
        <w:tabs>
          <w:tab w:leader="none" w:pos="191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total amount payable to Institutions in U.S. Dollars on Net Sales and Sublicense Income for the applicable Calendar Quarter, together with the exchange rates used for conversion; and</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list of [**] the Licensed Products and Licensed Services.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Company shall use reasonable efforts to include in each Sublicense a provision requiring the Sublicensee to provide the information required under this Section 5.1.1.</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Each such report shall be certified on behalf of Company as true, correct and complete in all material respects with respect to the information required under Sections 5.1.1(a) through 5.1.1(e), and with respect to the information provided under Section 5.1.1(f), Company shall certify that based solely on its commercially reasonable efforts to determine such information, the Company believes such information is true, correct and complete in all material respects. If no amounts are due to Institutions for a particular Calendar Quarter, the report shall so state.</w:t>
      </w:r>
    </w:p>
    <w:p>
      <w:pPr>
        <w:spacing w:after="0" w:line="167"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color w:val="auto"/>
        </w:rPr>
        <w:t xml:space="preserve">5.2. Payment Currency. </w:t>
      </w:r>
      <w:r>
        <w:rPr>
          <w:rFonts w:ascii="Arial" w:cs="Arial" w:eastAsia="Arial" w:hAnsi="Arial"/>
          <w:sz w:val="17"/>
          <w:szCs w:val="17"/>
          <w:color w:val="auto"/>
        </w:rPr>
        <w:t>All payments due under this Agreement shall be paid in U.S. Dollars. Conversion of foreign currency to U.S.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made as of the last working day of the applicable Calendar Quarter at the applicable conversion rate existing in the United States (as reported in the </w:t>
      </w:r>
      <w:r>
        <w:rPr>
          <w:rFonts w:ascii="Arial" w:cs="Arial" w:eastAsia="Arial" w:hAnsi="Arial"/>
          <w:sz w:val="17"/>
          <w:szCs w:val="17"/>
          <w:i w:val="1"/>
          <w:iCs w:val="1"/>
          <w:color w:val="auto"/>
        </w:rPr>
        <w:t xml:space="preserve">Wall Street Journal) </w:t>
      </w:r>
      <w:r>
        <w:rPr>
          <w:rFonts w:ascii="Arial" w:cs="Arial" w:eastAsia="Arial" w:hAnsi="Arial"/>
          <w:sz w:val="17"/>
          <w:szCs w:val="17"/>
          <w:color w:val="auto"/>
        </w:rPr>
        <w:t>or, solely with respect to Sublicensees, at another commercially reasonable, publicly available, applicable conversion rate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a Sublicense. Such payments shall be without deduction of exchange, collection or other charges.</w:t>
      </w:r>
    </w:p>
    <w:p>
      <w:pPr>
        <w:spacing w:after="0" w:line="165" w:lineRule="exact"/>
        <w:rPr>
          <w:sz w:val="20"/>
          <w:szCs w:val="20"/>
          <w:color w:val="auto"/>
        </w:rPr>
      </w:pPr>
    </w:p>
    <w:p>
      <w:pPr>
        <w:ind w:right="180" w:firstLine="648"/>
        <w:spacing w:after="0" w:line="295" w:lineRule="auto"/>
        <w:rPr>
          <w:sz w:val="20"/>
          <w:szCs w:val="20"/>
          <w:color w:val="auto"/>
        </w:rPr>
      </w:pPr>
      <w:r>
        <w:rPr>
          <w:rFonts w:ascii="Arial" w:cs="Arial" w:eastAsia="Arial" w:hAnsi="Arial"/>
          <w:sz w:val="16"/>
          <w:szCs w:val="16"/>
          <w:b w:val="1"/>
          <w:bCs w:val="1"/>
          <w:color w:val="auto"/>
        </w:rPr>
        <w:t xml:space="preserve">5.3. Records. </w:t>
      </w:r>
      <w:r>
        <w:rPr>
          <w:rFonts w:ascii="Arial" w:cs="Arial" w:eastAsia="Arial" w:hAnsi="Arial"/>
          <w:sz w:val="16"/>
          <w:szCs w:val="16"/>
          <w:color w:val="auto"/>
        </w:rPr>
        <w:t>Company shall maintain, and shall cause its Affiliates and Sublicensees to maintain, complete and accurate records of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Licensed Services, Enabled Products and Enabled Services that are made, used, sold, performed, leased or transferred under this Agreement, any amounts payable to Institutions in relation to such Licensed Products, Licensed Services, Enabled Products or Enabled Services, and all Sublicense Income received by Company and its Affiliates, which records shall contain sufficient information to permit Institutions to confirm the accuracy of any reports or notifications delivered to Institutions under Section 5.1. Company, its Affiliates and/or its Sublicensees, as applicable, shall retain such records relating to a given Calendar Year for at least [***] years after the conclusion of that Calendar Year (the “</w:t>
      </w:r>
      <w:r>
        <w:rPr>
          <w:rFonts w:ascii="Arial" w:cs="Arial" w:eastAsia="Arial" w:hAnsi="Arial"/>
          <w:sz w:val="16"/>
          <w:szCs w:val="16"/>
          <w:b w:val="1"/>
          <w:bCs w:val="1"/>
          <w:color w:val="auto"/>
        </w:rPr>
        <w:t>Record Retention Period</w:t>
      </w:r>
      <w:r>
        <w:rPr>
          <w:rFonts w:ascii="Arial" w:cs="Arial" w:eastAsia="Arial" w:hAnsi="Arial"/>
          <w:sz w:val="16"/>
          <w:szCs w:val="16"/>
          <w:color w:val="auto"/>
        </w:rPr>
        <w:t>”).</w:t>
      </w:r>
    </w:p>
    <w:p>
      <w:pPr>
        <w:spacing w:after="0" w:line="16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Audit of Company and Affiliates</w:t>
      </w:r>
      <w:r>
        <w:rPr>
          <w:rFonts w:ascii="Arial" w:cs="Arial" w:eastAsia="Arial" w:hAnsi="Arial"/>
          <w:sz w:val="18"/>
          <w:szCs w:val="18"/>
          <w:color w:val="auto"/>
        </w:rPr>
        <w:t>. During the Record Retention Period, Institutions shall have the right, at their expense, to cause an independent, certified public accountant (or, in the event of a non-financial audit, other appropriate auditor) chosen by Institutions and reasonably acceptable to Company to inspect such records of Company and its Affiliates during normal business hours for the purposes of verifying the accuracy of any reports and payments delivered under this Agreement and Company’s compliance with the terms hereof. Such accountant or other auditor, as applicable, shall not disclose to Institutions any information other than information relating to the accuracy of reports and payments delivered under this Agreement. The Parties shall reconcile any underpayment or overpayment within [***]days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 xml:space="preserve">after the accountant delivers the results of the audit. If any audit performed under this Section 5.3.1 reveals an underpayment in excess of [***] percent ([***]%) in any Calendar Year, Company shall reimburse Institutions for all amounts incurred in connection with such audit. </w:t>
      </w:r>
      <w:r>
        <w:rPr>
          <w:rFonts w:ascii="Arial" w:cs="Arial" w:eastAsia="Arial" w:hAnsi="Arial"/>
          <w:sz w:val="15"/>
          <w:szCs w:val="15"/>
          <w:color w:val="auto"/>
        </w:rPr>
        <w:t>Institutions may exercise its</w:t>
      </w:r>
    </w:p>
    <w:p>
      <w:pPr>
        <w:spacing w:after="0"/>
        <w:rPr>
          <w:sz w:val="20"/>
          <w:szCs w:val="20"/>
          <w:color w:val="auto"/>
        </w:rPr>
      </w:pPr>
      <w:r>
        <w:rPr>
          <w:rFonts w:ascii="Arial" w:cs="Arial" w:eastAsia="Arial" w:hAnsi="Arial"/>
          <w:sz w:val="18"/>
          <w:szCs w:val="18"/>
          <w:color w:val="auto"/>
        </w:rPr>
        <w:t>rights under this Section on 5.3.1 [**] per audited entity, [**] and only with reasonable prior notice to the audited entity.</w:t>
      </w:r>
    </w:p>
    <w:p>
      <w:pPr>
        <w:spacing w:after="0" w:line="21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Audit of Sublicensees</w:t>
      </w:r>
      <w:r>
        <w:rPr>
          <w:rFonts w:ascii="Arial" w:cs="Arial" w:eastAsia="Arial" w:hAnsi="Arial"/>
          <w:sz w:val="16"/>
          <w:szCs w:val="16"/>
          <w:color w:val="auto"/>
        </w:rPr>
        <w:t>. During the Record Retention Period, Institutions shall have the right, at their expense, to require Company to make available to an independent, certified public accountant (or, in the event of a non-financial audit, other appropriate auditor) chosen by Institutions and reasonably acceptable to Company, during normal business hours, such information as Company has in its possession with respect to reports and payments from Sublicensees for the purposes of verifying the accuracy of any reports and payments delivered under this Agreement and Company’s compliance with the terms hereof. If such information as Company has in its possession is not sufficient for such purposes, Institutions shall have the right, at their expense, to cause Company to exercise its right under a Sublicense to cause an independent, certified public accountant (or, in the event of a non-financial audit, other appropriate auditor) chosen by Institutions and reasonably acceptable to Company to inspect such records of Sublicensee during normal business hours for the purposes of verifying the accuracy of any reports and payments delivered under this Agreement and Company’s compliance with the terms hereof. Such accountant or other auditor, as applicable, shall not disclose to Institutions any information other than information relating to the accuracy of reports and payments delivered under this Agreement and then only to the extent such accountant or other auditor may disclose such information to Company under the terms of the relevant Sublicense. If Company does not have the right to conduct an audit of such Sublicensee for the relevant Calendar Year, Company and Institutions shall meet and use reasonable efforts to agree on an appropriate course of action. The Parties shall reconcile any underpayment or overpayment within [***] days after the accountant delivers the results of the audit. If any audit performed under this Section 5.3.2 reveals an underpayment to Institutions</w:t>
      </w:r>
    </w:p>
    <w:p>
      <w:pPr>
        <w:sectPr>
          <w:pgSz w:w="11900" w:h="16924" w:orient="portrait"/>
          <w:cols w:equalWidth="0" w:num="1">
            <w:col w:w="11420"/>
          </w:cols>
          <w:pgMar w:left="240" w:top="121" w:right="239" w:bottom="0" w:gutter="0" w:footer="0" w:header="0"/>
        </w:sectPr>
      </w:pPr>
    </w:p>
    <w:bookmarkStart w:id="351" w:name="page352"/>
    <w:bookmarkEnd w:id="351"/>
    <w:p>
      <w:pPr>
        <w:spacing w:after="0" w:line="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excess of [***] percent ([***]%) in any Calendar Year, Company shall reimburse Institutions for all amounts incurred in connection with such audit. Institutions may exercise its rights under this Section on 5.3.2 [**] per Sublicensee, [**] and only with reasonable prior notice to Company and any audited Sublicensee.</w:t>
      </w:r>
    </w:p>
    <w:p>
      <w:pPr>
        <w:spacing w:after="0" w:line="177"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5.4. Late Payments. </w:t>
      </w:r>
      <w:r>
        <w:rPr>
          <w:rFonts w:ascii="Arial" w:cs="Arial" w:eastAsia="Arial" w:hAnsi="Arial"/>
          <w:sz w:val="18"/>
          <w:szCs w:val="18"/>
          <w:color w:val="auto"/>
        </w:rPr>
        <w:t>Any payments by Company that are not paid on or before the date such payments are due under this Agreement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at the lower of (a) [***] percent ([***]%) per month and (b) the maximum rate allowed by law. Interest shall accrue beginning on the first day following the due date for payment and shall be compounded quarterly. Payment of such interest by Company shall not limit, in any way, Institutions’ right to exercise any other remedies Institutions may have as a consequence of the lateness of any payment.</w:t>
      </w:r>
    </w:p>
    <w:p>
      <w:pPr>
        <w:spacing w:after="0" w:line="180"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5.5. Payment Method. </w:t>
      </w:r>
      <w:r>
        <w:rPr>
          <w:rFonts w:ascii="Arial" w:cs="Arial" w:eastAsia="Arial" w:hAnsi="Arial"/>
          <w:sz w:val="18"/>
          <w:szCs w:val="18"/>
          <w:color w:val="auto"/>
        </w:rPr>
        <w:t>Each payment due to Institutions under this Agreement shall be paid by check or wire transfer of funds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account in accordance with written instructions provided by each Institution. If made by wire transfer, such payments shall be marked so as to refer to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5.6. Withholding and Similar Taxes. </w:t>
      </w:r>
      <w:r>
        <w:rPr>
          <w:rFonts w:ascii="Arial" w:cs="Arial" w:eastAsia="Arial" w:hAnsi="Arial"/>
          <w:sz w:val="18"/>
          <w:szCs w:val="18"/>
          <w:color w:val="auto"/>
        </w:rPr>
        <w:t>All amounts to be paid to Institutions pursuant to this Agreement shall be without deduction of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or other charges, and, specifically, without deduction of withholding or similar taxes imposed on Company or other government imposed fees or taxes imposed on Company, except as permitted in the definition of Net Sales.</w:t>
      </w:r>
    </w:p>
    <w:p>
      <w:pPr>
        <w:spacing w:after="0" w:line="176"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6.1.1.   [***]</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6.1.2.   [***]</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6.1.3.   [***]</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6.1.4.   [***]</w:t>
      </w:r>
    </w:p>
    <w:p>
      <w:pPr>
        <w:spacing w:after="0" w:line="225" w:lineRule="exact"/>
        <w:rPr>
          <w:sz w:val="20"/>
          <w:szCs w:val="20"/>
          <w:color w:val="auto"/>
        </w:rPr>
      </w:pPr>
    </w:p>
    <w:p>
      <w:pPr>
        <w:jc w:val="both"/>
        <w:ind w:right="340" w:firstLine="1297"/>
        <w:spacing w:after="0" w:line="286" w:lineRule="auto"/>
        <w:rPr>
          <w:sz w:val="20"/>
          <w:szCs w:val="20"/>
          <w:color w:val="auto"/>
        </w:rPr>
      </w:pPr>
      <w:r>
        <w:rPr>
          <w:rFonts w:ascii="Arial" w:cs="Arial" w:eastAsia="Arial" w:hAnsi="Arial"/>
          <w:sz w:val="16"/>
          <w:szCs w:val="16"/>
          <w:color w:val="auto"/>
        </w:rPr>
        <w:t>6.1.5. No later than [***] days prior to the deadline for entering into the national/regional phase with respect to any PCT application included in the Patent Rights, Company shall provide the Institution controlling Prosecution of the relevant Patent Rights with a list of countries in which Company would like such Institution to file the patent application (each, a “</w:t>
      </w:r>
      <w:r>
        <w:rPr>
          <w:rFonts w:ascii="Arial" w:cs="Arial" w:eastAsia="Arial" w:hAnsi="Arial"/>
          <w:sz w:val="16"/>
          <w:szCs w:val="16"/>
          <w:b w:val="1"/>
          <w:bCs w:val="1"/>
          <w:color w:val="auto"/>
        </w:rPr>
        <w:t>List of Countries</w:t>
      </w:r>
      <w:r>
        <w:rPr>
          <w:rFonts w:ascii="Arial" w:cs="Arial" w:eastAsia="Arial" w:hAnsi="Arial"/>
          <w:sz w:val="16"/>
          <w:szCs w:val="16"/>
          <w:color w:val="auto"/>
        </w:rPr>
        <w:t>”). Such Institution shall consider each List of Countries in good faith and, except as provided below in this Section 6.1.5, shall file national/regional phase applications in all countries on each List of Countries.</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Notwithstanding anything to the contrary contained in this Agreement, and without intending to limit any of Institutions’ rights hereunder, each Institution expressly reserves the right (i) to decline to initiate Prosecution of any of the Patent Rights the Prosecution of which is controlled by such Institution in a Developing Country(ies) (excluding Brazil, China and India) included on a List of Countries or (ii) to initiate, and in its discretion, continue Prosecution of any of the Patent Rights the Prosecution of which is controlled by such Institution in a Developing Country(ies) (excluding Brazil, China and India) whether or not included on a List of Countries at the relevant Institution’s expense, provided that such Institution provides Company with [***] days’ advance notice of its intention to take the action described in the foregoing clause (i) or (ii), provides Company an opportunity for Company to meet with such Institution to discuss, and reasonably considers Company’s comments regarding such intention. Such Institution shall thereafter notify Company of the taking of any action described in the foregoing clause (i) or (ii) at least [***] days before the taking of such action. If such Institution takes the action described in clause</w:t>
      </w:r>
    </w:p>
    <w:p>
      <w:pPr>
        <w:spacing w:after="0" w:line="5" w:lineRule="exact"/>
        <w:rPr>
          <w:sz w:val="20"/>
          <w:szCs w:val="20"/>
          <w:color w:val="auto"/>
        </w:rPr>
      </w:pPr>
    </w:p>
    <w:p>
      <w:pPr>
        <w:ind w:right="200" w:firstLine="8"/>
        <w:spacing w:after="0" w:line="270" w:lineRule="auto"/>
        <w:tabs>
          <w:tab w:leader="none" w:pos="26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of the immediately preceding sentence, then such Institution expressly reserves the right, upon notice to Company, either (A) to remove the applicable Patent Right in such Developing Country(ies) from the scope of the exclusive license granted pursuant to Section 2.1.1, effective upon such notice, without affecting the scope of the non-exclusive license granted pursuant to Section 2.1.2, or (B) treat the applicable Patent Right as an Abandoned Patent Right, in which case under this clause (B) all licenses granted to the Company under such Patent Right in such Developing Country(ies) shall terminate upon such notice; whereupon such Institution shall be free, without further notice or obligation to Company, to grant non-exclusive (in the event Institution proceeds under the preceding clause (A)) or non-exclusive or exclusive (in the event Institution proceeds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preceding clause (B)) rights in and to such Patent Right to Third Parties for all purposes within such Developing Country(ies). Further, Institutions may, in their sole discretion, file additional national/regional phase applications (the “</w:t>
      </w:r>
      <w:r>
        <w:rPr>
          <w:rFonts w:ascii="Arial" w:cs="Arial" w:eastAsia="Arial" w:hAnsi="Arial"/>
          <w:sz w:val="18"/>
          <w:szCs w:val="18"/>
          <w:b w:val="1"/>
          <w:bCs w:val="1"/>
          <w:color w:val="auto"/>
        </w:rPr>
        <w:t>Additional National Stage Filings</w:t>
      </w:r>
      <w:r>
        <w:rPr>
          <w:rFonts w:ascii="Arial" w:cs="Arial" w:eastAsia="Arial" w:hAnsi="Arial"/>
          <w:sz w:val="18"/>
          <w:szCs w:val="18"/>
          <w:color w:val="auto"/>
        </w:rPr>
        <w:t>”) in countries not included on a List of Countries provided by Company, and all expenses, including translation fees associated with Prosecution of such Additional National Stage Filings shall be expenses associated with Prosecution under this Agreement, in accordance with Section [***]. If Company does not wish to reimburse Institutions for all expenses associated with Prosecution of such Additional National Stage Filings, such Additional National Stage Filings shall be deemed Abandoned Patent Rights and treated in accordance with Section [***].</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ectPr>
          <w:pgSz w:w="11900" w:h="16870" w:orient="portrait"/>
          <w:cols w:equalWidth="0" w:num="1">
            <w:col w:w="11400"/>
          </w:cols>
          <w:pgMar w:left="240" w:top="125" w:right="259" w:bottom="0" w:gutter="0" w:footer="0" w:header="0"/>
        </w:sectPr>
      </w:pPr>
    </w:p>
    <w:bookmarkStart w:id="352" w:name="page353"/>
    <w:bookmarkEnd w:id="352"/>
    <w:p>
      <w:pPr>
        <w:spacing w:after="0" w:line="72"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LIMITATION OF LIABILITY.</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color w:val="auto"/>
        </w:rPr>
        <w:t xml:space="preserve">8.1. Compliance with Law. </w:t>
      </w:r>
      <w:r>
        <w:rPr>
          <w:rFonts w:ascii="Arial" w:cs="Arial" w:eastAsia="Arial" w:hAnsi="Arial"/>
          <w:sz w:val="17"/>
          <w:szCs w:val="17"/>
          <w:color w:val="auto"/>
        </w:rPr>
        <w:t>Company represents and warrants that it shall comply, and shall ensure that its Affiliates and Sublicensees comply,</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local, state, federal and international laws and regulations applicable to the development, manufacture, use, sale, performance and importation of Licensed Products, Licensed Services, Enabled Products and Enabled Services. Without limiting the foregoing, Company represents and warrants, on behalf of itself and its Affiliates and Sublicensees, that it shall comply with all applicable United States laws and regulations controlling the export of certain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Company hereby gives written assurance that it shall comply with, and shall cause its Affiliates to comply with (and shall contractually obligate its Affiliates and Sublicensees to comply with), all applicable United States export control laws and regulations, that it bears sole responsibility for any violation of such laws and regulations by itself or its Affiliates or Sublicensees, and that it shall indemnify, defend, and hold Indemnitees and HHMI Indemnitees harmless (in accordance with Section 9.1) for the consequences of any such violation.</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Representations and Warranties.</w:t>
      </w:r>
    </w:p>
    <w:p>
      <w:pPr>
        <w:spacing w:after="0" w:line="229"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 xml:space="preserve">8.2.1. </w:t>
      </w:r>
      <w:r>
        <w:rPr>
          <w:rFonts w:ascii="Arial" w:cs="Arial" w:eastAsia="Arial" w:hAnsi="Arial"/>
          <w:sz w:val="17"/>
          <w:szCs w:val="17"/>
          <w:u w:val="single" w:color="auto"/>
          <w:color w:val="auto"/>
        </w:rPr>
        <w:t>By Broad</w:t>
      </w:r>
      <w:r>
        <w:rPr>
          <w:rFonts w:ascii="Arial" w:cs="Arial" w:eastAsia="Arial" w:hAnsi="Arial"/>
          <w:sz w:val="17"/>
          <w:szCs w:val="17"/>
          <w:color w:val="auto"/>
        </w:rPr>
        <w:t>. Broad represents and warrants that (A) Broad has the authority and right to enter into and perform its obligations under this Agreement and grant the licenses granted to Company herein, (B) as of the Effective Date, to the best of the knowledge of Broad’s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Office of Strategic Alliances and Partnering, the execution, delivery and performance of this Agreement by Broad does not conflict with, or constitute a breach of, any order, judgment, agreement or instrument to which it is a party or is otherwise bound, and (C) as of the Effective Date, to the best of the knowledge of Broad’s Office of Strategic Alliances and Partnering, no consent of any Third Party, including without limitation any governmental authority, is required for Broad to execute, deliver and perform under this Agreement, including without limitation to grant the licenses granted to Company herein, except for such consents as may have been obtained prior to the Effective Date.</w:t>
      </w:r>
    </w:p>
    <w:p>
      <w:pPr>
        <w:spacing w:after="0" w:line="188"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By Harvard</w:t>
      </w:r>
      <w:r>
        <w:rPr>
          <w:rFonts w:ascii="Arial" w:cs="Arial" w:eastAsia="Arial" w:hAnsi="Arial"/>
          <w:sz w:val="18"/>
          <w:szCs w:val="18"/>
          <w:color w:val="auto"/>
        </w:rPr>
        <w:t>. Harvard represents and warrants that (A) Harvard has the authority and right to enter into and perform its obligations under this Agreement and grant the licenses granted to Company herein, (B) as of the Effective Date, to the best of the knowledge of Harvard’s Office of Technology Development, the execution, delivery and performance of this Agreement by Harvard does not conflict with, or constitute a breach of, any order, judgment, agreement or instrument to which it is a party or is otherwise bound, and (C) as of the Effective Date, to the best of the knowledge of Harvard’s Office of Technology Development, no consent of any Third Party, including without limitation any governmental authority, is required for Harvard to execute, deliver and perform under this Agreement, including without limitation to grant the licenses granted to Company herein, except for such consents as may have been obtained prior to the Effective Date.</w:t>
      </w:r>
    </w:p>
    <w:p>
      <w:pPr>
        <w:spacing w:after="0" w:line="18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By Company</w:t>
      </w:r>
      <w:r>
        <w:rPr>
          <w:rFonts w:ascii="Arial" w:cs="Arial" w:eastAsia="Arial" w:hAnsi="Arial"/>
          <w:sz w:val="18"/>
          <w:szCs w:val="18"/>
          <w:color w:val="auto"/>
        </w:rPr>
        <w:t>. Company represents and warrants that (A) Company has the authority and right to enter into and perform its obligations under this Agreement, (B) as of the Effective Date, the best of Company’s knowledge, the execution, delivery and performance of this Agreement by Company does not conflict with, or constitute a breach of, any order, judgment, agreement or instrument to which it is a party or, to its knowledge, is otherwise bound, and (C) as of the Effective Date, the best of Company’s knowledge, no consent of any Third Party, including without limitation any governmental authority, is required for Company to execute, deliver and perform under this Agreement, including without limitation to issue the Shares, except for such consents as may have been obtained prior to the Effective Date.</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Disclaimer.</w:t>
      </w:r>
    </w:p>
    <w:p>
      <w:pPr>
        <w:spacing w:after="0" w:line="22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8.3.1. NOTHING CONTAINED HEREIN SHALL BE DEEMED TO BE A WARRANTY BY EITHER OF THE INSTITUTIONS OR MIT THAT THEY CAN OR WILL BE ABLE TO OBTAIN PATENTS ON PATENT APPLICATIONS INCLUDED IN THE PATENT RIGHTS, OR THAT ANY OF THE PATENT RIGHTS WILL AFFORD ADEQUATE OR COMMERCIALLY WORTHWHILE PROTECTION.</w:t>
      </w:r>
    </w:p>
    <w:p>
      <w:pPr>
        <w:spacing w:after="0" w:line="181"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8.3.2. NEITHER OF THE INSTITUTIONS NOR MIT MAKES ANY WARRANTIES WHATSOEVER AS TO THE COMMERCIAL OR SCIENTIFIC VALUE OF THE PATENT RIGHTS OR INSTITUTION TECHNOLOGY TRANSFER MATERIALS. NEITHER OF THE INSTITUTIONS NOR MIT MAKES ANY REPRESENTATION THAT THE PRACTICE OF THE PATENT RIGHTS OR USE OF THE INSTITUTION TECHNOLOGY TRANSFER MATERIALS OR THE DEVELOPMENT, MANUFACTURE, USE, SALE OR IMPORTATION OF ANY LICENSED PRODUCT OR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PERFORMANCE OF ANY LICENSED SERVICES, OR ANY ELEMENT THEREOF, WILL NOT INFRINGE ANY PATENT OR PROPRIETARY RIGHTS.</w:t>
      </w:r>
    </w:p>
    <w:p>
      <w:pPr>
        <w:spacing w:after="0" w:line="170"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8.3.3. EXCEPT AS OTHERWISE EXPRESSLY PROVIDED IN THIS AGREEMENT, NEITHER COMPANY NOR EITHER OF THE INSTITUTIONS NOR MIT MAKES ANY WARRANTY WITH RESPECT TO ANY TECHNOLOGY, PATENTS, GOODS, SERVICES, RIGHTS OR OTHER SUBJECT MATTER OF THIS AGREEMENT AND COMPANY AND EACH INSTITUTION AND MIT HEREBY DISCLAIMS WARRANTIES OF MERCHANTABILITY, FITNESS FOR A PARTICULAR PURPOSE AND NONINFRINGEMENT WITH RESPECT TO ANY AND ALL OF THE FOREGOING.</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Limitation of Liability.</w:t>
      </w:r>
    </w:p>
    <w:p>
      <w:pPr>
        <w:spacing w:after="0" w:line="22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8.4.1. EXCEPT WITH RESPECT TO MATTERS FOR WHICH COMPANY IS OBLIGATED TO INDEMNIFY INDEMNITEES UNDER ARTICLE 9, NO PARTY SHALL BE LIABLE TO ANY OTHER PARTY WITH RESPECT TO ANY SUBJECT MATTER OF THIS AGREEMENT UNDER ANY CONTRACT, NEGLIGENCE, STRICT LIABILITY OR OTHER LEGAL OR EQUITABLE THEORY FOR (A) ANY INDIRECT, INCIDENTAL, CONSEQUENTIAL OR PUNITIVE DAMAGES OR LOST PROFITS OR (B) COST OF PROCUREMENT OF SUBSTITUTE GOODS, TECHNOLOGY OR SERVICES.</w:t>
      </w:r>
    </w:p>
    <w:p>
      <w:pPr>
        <w:sectPr>
          <w:pgSz w:w="11900" w:h="16910" w:orient="portrait"/>
          <w:cols w:equalWidth="0" w:num="1">
            <w:col w:w="11400"/>
          </w:cols>
          <w:pgMar w:left="240" w:top="337" w:right="259" w:bottom="0" w:gutter="0" w:footer="0" w:header="0"/>
        </w:sectPr>
      </w:pPr>
    </w:p>
    <w:bookmarkStart w:id="353" w:name="page354"/>
    <w:bookmarkEnd w:id="353"/>
    <w:p>
      <w:pPr>
        <w:ind w:right="180" w:firstLine="1297"/>
        <w:spacing w:after="0" w:line="308" w:lineRule="auto"/>
        <w:rPr>
          <w:sz w:val="20"/>
          <w:szCs w:val="20"/>
          <w:color w:val="auto"/>
        </w:rPr>
      </w:pPr>
      <w:r>
        <w:rPr>
          <w:rFonts w:ascii="Arial" w:cs="Arial" w:eastAsia="Arial" w:hAnsi="Arial"/>
          <w:sz w:val="17"/>
          <w:szCs w:val="17"/>
          <w:color w:val="auto"/>
        </w:rPr>
        <w:t>8.4.2. Institutions’ aggregate liability for all damages of any kind arising out of or relating to this Agreement or its subject matter under any contract, negligence, strict liability or other legal or equitable theory shall not exceed the amounts paid to Institutions under this Agreement.</w:t>
      </w:r>
    </w:p>
    <w:p>
      <w:pPr>
        <w:spacing w:after="0" w:line="143" w:lineRule="exact"/>
        <w:rPr>
          <w:sz w:val="20"/>
          <w:szCs w:val="20"/>
          <w:color w:val="auto"/>
        </w:rPr>
      </w:pPr>
    </w:p>
    <w:p>
      <w:pPr>
        <w:ind w:left="660" w:right="7460" w:hanging="652"/>
        <w:spacing w:after="0" w:line="503" w:lineRule="auto"/>
        <w:tabs>
          <w:tab w:leader="none" w:pos="6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 9.1. Indemnification.</w:t>
      </w:r>
    </w:p>
    <w:p>
      <w:pPr>
        <w:spacing w:after="0" w:line="1"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Indemnity</w:t>
      </w:r>
      <w:r>
        <w:rPr>
          <w:rFonts w:ascii="Arial" w:cs="Arial" w:eastAsia="Arial" w:hAnsi="Arial"/>
          <w:sz w:val="16"/>
          <w:szCs w:val="16"/>
          <w:color w:val="auto"/>
        </w:rPr>
        <w:t>. Company shall, and shall cause its Affiliates and Sublicensees to, indemnify, defend and hold harmless each Institution and MIT and each of their current and former directors, governing board members, trustees, officers, faculty, affiliated investigators, medical and professional staff, employees, students, and agents and their respective successors, heirs and assigns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claim, suit, investigation, action, demand, judgment, liability, cost, expense, damage, deficiency, loss or obligation of any kind or nature (including reasonable attorneys’ fees and other costs and expenses of litigation or defense), based upon, arising out of, or otherwise relating to this Agreement or any Sublicense or subcontract, including any cause of action relating to product liability concerning any product, process, or service made, used, sold or performed pursuant to any right or license granted under this Agreement or the use, handling, storage, or disposition of any Institution Technology Transfer Materials by Company or others who possess the Institution Technology Transfer Materials through a chain of possession leading back, directly or indirectly, to Company, including without limitation any cause of action relating to product liability (collectively, “</w:t>
      </w:r>
      <w:r>
        <w:rPr>
          <w:rFonts w:ascii="Arial" w:cs="Arial" w:eastAsia="Arial" w:hAnsi="Arial"/>
          <w:sz w:val="16"/>
          <w:szCs w:val="16"/>
          <w:b w:val="1"/>
          <w:bCs w:val="1"/>
          <w:color w:val="auto"/>
        </w:rPr>
        <w:t>Claims</w:t>
      </w:r>
      <w:r>
        <w:rPr>
          <w:rFonts w:ascii="Arial" w:cs="Arial" w:eastAsia="Arial" w:hAnsi="Arial"/>
          <w:sz w:val="16"/>
          <w:szCs w:val="16"/>
          <w:color w:val="auto"/>
        </w:rPr>
        <w:t>”) except to the extent any such Claim results from or arises out of the gross negligence or willful misconduct of an Indemnitee or material breach of this Agreement by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an Institution. Company and each of its Affiliates and Sublicensees are referred to as “</w:t>
      </w:r>
      <w:r>
        <w:rPr>
          <w:rFonts w:ascii="Arial" w:cs="Arial" w:eastAsia="Arial" w:hAnsi="Arial"/>
          <w:sz w:val="18"/>
          <w:szCs w:val="18"/>
          <w:b w:val="1"/>
          <w:bCs w:val="1"/>
          <w:color w:val="auto"/>
        </w:rPr>
        <w:t>Indemnitor</w:t>
      </w:r>
      <w:r>
        <w:rPr>
          <w:rFonts w:ascii="Arial" w:cs="Arial" w:eastAsia="Arial" w:hAnsi="Arial"/>
          <w:sz w:val="18"/>
          <w:szCs w:val="18"/>
          <w:color w:val="auto"/>
        </w:rPr>
        <w:t>” below.</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Procedures. [***].</w:t>
      </w:r>
    </w:p>
    <w:p>
      <w:pPr>
        <w:spacing w:after="0" w:line="221" w:lineRule="exact"/>
        <w:rPr>
          <w:sz w:val="20"/>
          <w:szCs w:val="20"/>
          <w:color w:val="auto"/>
        </w:rPr>
      </w:pPr>
    </w:p>
    <w:p>
      <w:pPr>
        <w:ind w:right="40" w:firstLine="1297"/>
        <w:spacing w:after="0" w:line="298"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HHMI Indemnity</w:t>
      </w:r>
      <w:r>
        <w:rPr>
          <w:rFonts w:ascii="Arial" w:cs="Arial" w:eastAsia="Arial" w:hAnsi="Arial"/>
          <w:sz w:val="16"/>
          <w:szCs w:val="16"/>
          <w:color w:val="auto"/>
        </w:rPr>
        <w:t>. HHMI, and its trustees, officers, employees, and agents (collectively, “</w:t>
      </w:r>
      <w:r>
        <w:rPr>
          <w:rFonts w:ascii="Arial" w:cs="Arial" w:eastAsia="Arial" w:hAnsi="Arial"/>
          <w:sz w:val="16"/>
          <w:szCs w:val="16"/>
          <w:b w:val="1"/>
          <w:bCs w:val="1"/>
          <w:color w:val="auto"/>
        </w:rPr>
        <w:t>HHMI Indemnitees</w:t>
      </w:r>
      <w:r>
        <w:rPr>
          <w:rFonts w:ascii="Arial" w:cs="Arial" w:eastAsia="Arial" w:hAnsi="Arial"/>
          <w:sz w:val="16"/>
          <w:szCs w:val="16"/>
          <w:color w:val="auto"/>
        </w:rPr>
        <w:t>”), shall be indemnified, defended by counsel acceptable to HHMI, and held harmless by Company, from and against any Claim. The previous sentence shall not apply to any Claim that is determined with finality by a court of competent jurisdiction to result solely from the gross negligence or willful misconduct of an HHMI Indemnitee. Notwithstanding Section 8.4 or any other provision of this Agreement, Company’s obligation to defend, indemnify and hold harmless the HHMI Indemnitees under this paragraph shall not be subject to any limitation or exclusion of liability or damages or otherwise limited in any way.</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Insurance.</w:t>
      </w:r>
    </w:p>
    <w:p>
      <w:pPr>
        <w:spacing w:after="0" w:line="229"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9.2.1. Beginning at the time any Licensed Product, Licensed Service, Enabled Product or Enabled Service is being commercially distributed or sold (other than for the purpose of obtaining Regulatory Approval) by Company, or by an Affiliate, Sublicensee or agent of Company, Company shall, at its sole cost and expense, procure and maintain commercial general liability insurance in amounts not less than [***] per incident and [***] annual aggregate and naming the Indemnitees and HHMI Indemnitees as additional insureds. During clinical trials of any such Licensed Product, Licensed Service, Enabled Product or Enabled Service, Company shall, at its sole cost and expense, procure and maintain commercial general liability insurance in such equal or lesser amount as Institutions, MIT and HHMI shall require, naming the Indemnitees and HHMI Indemnitees as additional insureds. Such commercial general liability insurance shall provide: (a) product liability coverage and (b) broad form contractual liability coverage for Company’s indemnification obligations under this Agreement.</w:t>
      </w:r>
    </w:p>
    <w:p>
      <w:pPr>
        <w:spacing w:after="0" w:line="192"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9.2.2. If Company elects to self-insure all or part of the limits described above in Section 9.2.1 (including deductibles or retentions that are in excess of [***] annual aggregate) such self-insurance program must be acceptable to Institutions, MIT and their respective insurers in their sole discretion. The minimum amounts of insurance coverage required shall not be construed to create a limit of Company’s liability with respect to its indemnification obligations under this Agreement.</w:t>
      </w:r>
    </w:p>
    <w:p>
      <w:pPr>
        <w:spacing w:after="0" w:line="187"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9.2.3. Company shall provide Institutions and MIT with written evidence of such insurance upon request of Institutions or MIT. Company shall provide Institutions and MIT with written notice at least [***] days prior to the cancellation, non-renewal or material change in such insurance. If Company does not obtain replacement insurance providing comparable coverage within such [***] day period, Institutions shall have the right to terminate this Agreement effective at the end of such [***] day period without notice or any additional waiting periods.</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9.2.4.</w:t>
      </w:r>
      <w:r>
        <w:rPr>
          <w:sz w:val="20"/>
          <w:szCs w:val="20"/>
          <w:color w:val="auto"/>
        </w:rPr>
        <w:tab/>
      </w:r>
      <w:r>
        <w:rPr>
          <w:rFonts w:ascii="Arial" w:cs="Arial" w:eastAsia="Arial" w:hAnsi="Arial"/>
          <w:sz w:val="16"/>
          <w:szCs w:val="16"/>
          <w:color w:val="auto"/>
        </w:rPr>
        <w:t>Company shall maintain such commercial general liability insurance beyond the expiration or termination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(a) the period that any Licensed Product, Licensed Service, Enabled Product or Enabled Service is being commercially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distributed, sold or performed by Company, or an Affiliate, Sublicensee or agent of Company; and (b) a reasonable period after the period referred to in (a) above which in no event shall be less than [***] years.</w:t>
      </w:r>
    </w:p>
    <w:p>
      <w:pPr>
        <w:spacing w:after="0" w:line="166"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10.1. Term. </w:t>
      </w:r>
      <w:r>
        <w:rPr>
          <w:rFonts w:ascii="Arial" w:cs="Arial" w:eastAsia="Arial" w:hAnsi="Arial"/>
          <w:sz w:val="18"/>
          <w:szCs w:val="18"/>
          <w:color w:val="auto"/>
        </w:rPr>
        <w:t>The term of this Agreement shall commence on the Effective Date and, unless earlier terminated as provided in this Article 10,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the expiration of the last to expire Valid Claim (the “</w:t>
      </w:r>
      <w:r>
        <w:rPr>
          <w:rFonts w:ascii="Arial" w:cs="Arial" w:eastAsia="Arial" w:hAnsi="Arial"/>
          <w:sz w:val="18"/>
          <w:szCs w:val="18"/>
          <w:b w:val="1"/>
          <w:bCs w:val="1"/>
          <w:color w:val="auto"/>
        </w:rPr>
        <w:t>Term</w:t>
      </w:r>
      <w:r>
        <w:rPr>
          <w:rFonts w:ascii="Arial" w:cs="Arial" w:eastAsia="Arial" w:hAnsi="Arial"/>
          <w:sz w:val="18"/>
          <w:szCs w:val="18"/>
          <w:color w:val="auto"/>
        </w:rPr>
        <w:t>”). Upon such expiration, the Company shall have a worldwide, perpetual, irrevocable, fully paid up, sublicensable license under the rights and licenses granted to Company under Section 2.1, subject to Section 10.4.</w:t>
      </w:r>
    </w:p>
    <w:p>
      <w:pPr>
        <w:spacing w:after="0" w:line="18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Termination.</w:t>
      </w:r>
    </w:p>
    <w:p>
      <w:pPr>
        <w:spacing w:after="0" w:line="229"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 xml:space="preserve">10.2.1. </w:t>
      </w:r>
      <w:r>
        <w:rPr>
          <w:rFonts w:ascii="Arial" w:cs="Arial" w:eastAsia="Arial" w:hAnsi="Arial"/>
          <w:sz w:val="16"/>
          <w:szCs w:val="16"/>
          <w:u w:val="single" w:color="auto"/>
          <w:color w:val="auto"/>
        </w:rPr>
        <w:t>Joint Action of Institutions</w:t>
      </w:r>
      <w:r>
        <w:rPr>
          <w:rFonts w:ascii="Arial" w:cs="Arial" w:eastAsia="Arial" w:hAnsi="Arial"/>
          <w:sz w:val="16"/>
          <w:szCs w:val="16"/>
          <w:color w:val="auto"/>
        </w:rPr>
        <w:t>. Institutions’ rights to terminate this Agreement set forth in this Section 10.2 shall be joint, not several. Neither Institution acting alone shall have the right to terminate this Agreement; provided, however, that each Institution shall severally be entitled to</w:t>
      </w:r>
    </w:p>
    <w:p>
      <w:pPr>
        <w:sectPr>
          <w:pgSz w:w="11900" w:h="16838" w:orient="portrait"/>
          <w:cols w:equalWidth="0" w:num="1">
            <w:col w:w="11420"/>
          </w:cols>
          <w:pgMar w:left="240" w:top="341" w:right="239" w:bottom="0" w:gutter="0" w:footer="0" w:header="0"/>
        </w:sectPr>
      </w:pPr>
    </w:p>
    <w:bookmarkStart w:id="354" w:name="page355"/>
    <w:bookmarkEnd w:id="354"/>
    <w:p>
      <w:pPr>
        <w:ind w:right="180"/>
        <w:spacing w:after="0" w:line="277" w:lineRule="auto"/>
        <w:rPr>
          <w:sz w:val="20"/>
          <w:szCs w:val="20"/>
          <w:color w:val="auto"/>
        </w:rPr>
      </w:pPr>
      <w:r>
        <w:rPr>
          <w:rFonts w:ascii="Arial" w:cs="Arial" w:eastAsia="Arial" w:hAnsi="Arial"/>
          <w:sz w:val="18"/>
          <w:szCs w:val="18"/>
          <w:color w:val="auto"/>
        </w:rPr>
        <w:t>terminate the licenses granted to Company herein under such Institution’s respective rights in the Patent Rights to the same extent Institutions are entitled to terminate this Agreement pursuant to Sections 10.2.3.2, 10.2.4 and 10.2.5 hereof.</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Company may terminate this Agreement without cause upon [***] months’ prior written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Institutions.</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u w:val="single" w:color="auto"/>
          <w:color w:val="auto"/>
        </w:rPr>
        <w:t>Termination for Default</w:t>
      </w:r>
      <w:r>
        <w:rPr>
          <w:rFonts w:ascii="Arial" w:cs="Arial" w:eastAsia="Arial" w:hAnsi="Arial"/>
          <w:sz w:val="16"/>
          <w:szCs w:val="16"/>
          <w:color w:val="auto"/>
        </w:rPr>
        <w:t>.</w:t>
      </w:r>
    </w:p>
    <w:p>
      <w:pPr>
        <w:spacing w:after="0" w:line="225" w:lineRule="exact"/>
        <w:rPr>
          <w:sz w:val="20"/>
          <w:szCs w:val="20"/>
          <w:color w:val="auto"/>
        </w:rPr>
      </w:pPr>
    </w:p>
    <w:p>
      <w:pPr>
        <w:jc w:val="both"/>
        <w:ind w:right="120" w:firstLine="1945"/>
        <w:spacing w:after="0" w:line="264" w:lineRule="auto"/>
        <w:rPr>
          <w:sz w:val="20"/>
          <w:szCs w:val="20"/>
          <w:color w:val="auto"/>
        </w:rPr>
      </w:pPr>
      <w:r>
        <w:rPr>
          <w:rFonts w:ascii="Arial" w:cs="Arial" w:eastAsia="Arial" w:hAnsi="Arial"/>
          <w:sz w:val="18"/>
          <w:szCs w:val="18"/>
          <w:color w:val="auto"/>
        </w:rPr>
        <w:t>10.2.3.1. In the event that either Party commits a material breach of its material obligations under this Agreement and fails to cure such breach within [***] days (or [***] days in the case of failure to make any payment) after receiving written notice thereof from the other Party, the other Party may terminate this Agreement immediately upon written notice to the Party in breach.</w:t>
      </w:r>
    </w:p>
    <w:p>
      <w:pPr>
        <w:spacing w:after="0" w:line="181" w:lineRule="exact"/>
        <w:rPr>
          <w:sz w:val="20"/>
          <w:szCs w:val="20"/>
          <w:color w:val="auto"/>
        </w:rPr>
      </w:pPr>
    </w:p>
    <w:p>
      <w:pPr>
        <w:ind w:right="20" w:firstLine="1945"/>
        <w:spacing w:after="0" w:line="276" w:lineRule="auto"/>
        <w:rPr>
          <w:sz w:val="20"/>
          <w:szCs w:val="20"/>
          <w:color w:val="auto"/>
        </w:rPr>
      </w:pPr>
      <w:r>
        <w:rPr>
          <w:rFonts w:ascii="Arial" w:cs="Arial" w:eastAsia="Arial" w:hAnsi="Arial"/>
          <w:sz w:val="17"/>
          <w:szCs w:val="17"/>
          <w:color w:val="auto"/>
        </w:rPr>
        <w:t>10.2.3.2. If Company defaults in its material obligations under Section 9.2 to procure and maintain insurance, or if Company has in any event failed to comply with the notice requirements contained therein, and fails to cure such default within [***] days after receiving written notice thereof from the Institutions, then Institutions may terminate this Agreement immediately upon written notice to Company. If such default of Company’s material obligations under Section 9.2 arises as a result of a breach by a Sublicensee of the terms of a Sublicense, Company may cure such breach by purchasing additional insurance that covers the gaps in coverage created by virtue of such Sublicensee’s breach.</w:t>
      </w:r>
    </w:p>
    <w:p>
      <w:pPr>
        <w:spacing w:after="0" w:line="17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10.2.3.3. Institutions shall be entitled to terminate this Agreement in accordance with the provisions of Section 3.4.</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10.2.4.</w:t>
        <w:tab/>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10.2.5. </w:t>
      </w:r>
      <w:r>
        <w:rPr>
          <w:rFonts w:ascii="Arial" w:cs="Arial" w:eastAsia="Arial" w:hAnsi="Arial"/>
          <w:sz w:val="18"/>
          <w:szCs w:val="18"/>
          <w:u w:val="single" w:color="auto"/>
          <w:color w:val="auto"/>
        </w:rPr>
        <w:t>Bankruptcy</w:t>
      </w:r>
      <w:r>
        <w:rPr>
          <w:rFonts w:ascii="Arial" w:cs="Arial" w:eastAsia="Arial" w:hAnsi="Arial"/>
          <w:sz w:val="18"/>
          <w:szCs w:val="18"/>
          <w:color w:val="auto"/>
        </w:rPr>
        <w:t>. Institutions may terminate this Agreement upon notice to Company if Company becomes subject to a Bankruptcy Event or in the event of dissolution or cessation of operations of the Company.</w:t>
      </w:r>
    </w:p>
    <w:p>
      <w:pPr>
        <w:spacing w:after="0" w:line="170"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10.2.6. </w:t>
      </w:r>
      <w:r>
        <w:rPr>
          <w:rFonts w:ascii="Arial" w:cs="Arial" w:eastAsia="Arial" w:hAnsi="Arial"/>
          <w:sz w:val="18"/>
          <w:szCs w:val="18"/>
          <w:u w:val="single" w:color="auto"/>
          <w:color w:val="auto"/>
        </w:rPr>
        <w:t>Termination without Prejudice</w:t>
      </w:r>
      <w:r>
        <w:rPr>
          <w:rFonts w:ascii="Arial" w:cs="Arial" w:eastAsia="Arial" w:hAnsi="Arial"/>
          <w:sz w:val="18"/>
          <w:szCs w:val="18"/>
          <w:color w:val="auto"/>
        </w:rPr>
        <w:t>. Institutions’ right of termination in this Section 10.2 shall be in addition and without prejudice to, and shall not constitute a waiver of, any right of Institutions for recovery of any monies then due to it hereunder or any other right or remedy Institutions may have at law, in equity or under this Agreement.</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Effect of Termination.</w:t>
      </w:r>
    </w:p>
    <w:p>
      <w:pPr>
        <w:spacing w:after="0" w:line="2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u w:val="single" w:color="auto"/>
          <w:color w:val="auto"/>
        </w:rPr>
        <w:t>Termination of Rights</w:t>
      </w:r>
      <w:r>
        <w:rPr>
          <w:rFonts w:ascii="Arial" w:cs="Arial" w:eastAsia="Arial" w:hAnsi="Arial"/>
          <w:sz w:val="16"/>
          <w:szCs w:val="16"/>
          <w:color w:val="auto"/>
        </w:rPr>
        <w:t>. Upon expiration or termination of this Agreement by either Party pursuant to any of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10.2:</w:t>
      </w:r>
    </w:p>
    <w:p>
      <w:pPr>
        <w:spacing w:after="0" w:line="211" w:lineRule="exact"/>
        <w:rPr>
          <w:sz w:val="20"/>
          <w:szCs w:val="20"/>
          <w:color w:val="auto"/>
        </w:rPr>
      </w:pPr>
    </w:p>
    <w:p>
      <w:pPr>
        <w:ind w:right="20" w:firstLine="1945"/>
        <w:spacing w:after="0" w:line="308" w:lineRule="auto"/>
        <w:rPr>
          <w:sz w:val="20"/>
          <w:szCs w:val="20"/>
          <w:color w:val="auto"/>
        </w:rPr>
      </w:pPr>
      <w:r>
        <w:rPr>
          <w:rFonts w:ascii="Arial" w:cs="Arial" w:eastAsia="Arial" w:hAnsi="Arial"/>
          <w:sz w:val="17"/>
          <w:szCs w:val="17"/>
          <w:color w:val="auto"/>
        </w:rPr>
        <w:t>10.3.1.1. the rights and licenses granted to Company under Article 2 shall terminate, all rights in and to and under the Patent Rights shall revert to Institutions and neither Company nor its Affiliates may make any further use or exploitation of the Patent Rights; and</w:t>
      </w:r>
    </w:p>
    <w:p>
      <w:pPr>
        <w:spacing w:after="0" w:line="14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10.3.1.2. all existing Sublicenses shall automatically terminate [***] days following the effective date of termination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provided that, if any Sublicensee is (i) an Affiliate of Company or (ii) in material default of any material provision of the applicable Sublicense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that Company would have the right to terminate the Sublicense ((i) and (ii) together, “</w:t>
      </w:r>
      <w:r>
        <w:rPr>
          <w:rFonts w:ascii="Arial" w:cs="Arial" w:eastAsia="Arial" w:hAnsi="Arial"/>
          <w:sz w:val="16"/>
          <w:szCs w:val="16"/>
          <w:b w:val="1"/>
          <w:bCs w:val="1"/>
          <w:color w:val="auto"/>
        </w:rPr>
        <w:t>Ineligible Sublicensees</w:t>
      </w:r>
      <w:r>
        <w:rPr>
          <w:rFonts w:ascii="Arial" w:cs="Arial" w:eastAsia="Arial" w:hAnsi="Arial"/>
          <w:sz w:val="16"/>
          <w:szCs w:val="16"/>
          <w:color w:val="auto"/>
        </w:rPr>
        <w:t>”) then the applicable Sublicense to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Sublicensee is a party shall terminate effective immediately upon termination of this Agreement. Upon termination of this Agreement pursuant to any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Section 10.2, (A) Company shall promptly provide notice of such termination to any Sublicensee, (B) each Sublicensee that is not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Ineligible Sublicensee shall have the right to enter into a separate license agreement directly with Institutions (a “</w:t>
      </w:r>
      <w:r>
        <w:rPr>
          <w:rFonts w:ascii="Arial" w:cs="Arial" w:eastAsia="Arial" w:hAnsi="Arial"/>
          <w:sz w:val="16"/>
          <w:szCs w:val="16"/>
          <w:b w:val="1"/>
          <w:bCs w:val="1"/>
          <w:color w:val="auto"/>
        </w:rPr>
        <w:t>Direct License</w:t>
      </w:r>
      <w:r>
        <w:rPr>
          <w:rFonts w:ascii="Arial" w:cs="Arial" w:eastAsia="Arial" w:hAnsi="Arial"/>
          <w:sz w:val="16"/>
          <w:szCs w:val="16"/>
          <w:color w:val="auto"/>
        </w:rPr>
        <w:t>”) [***], and (C) Institutions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automatically grant each such Sublicensee a temporary continuation (to expire upon the earlier of (x) execution of the Direct License or (y) the date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 days following termination of this Agreement) of the rights and obligations such Sublicensee had as a Sublicensee under this Agreement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Temporary Extension</w:t>
      </w:r>
      <w:r>
        <w:rPr>
          <w:rFonts w:ascii="Arial" w:cs="Arial" w:eastAsia="Arial" w:hAnsi="Arial"/>
          <w:sz w:val="16"/>
          <w:szCs w:val="16"/>
          <w:color w:val="auto"/>
        </w:rPr>
        <w:t>”); provided that, under both the Direct License and the Temporary Extension, (a) Institutions shall not have (i) any obligations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greater than or inconsistent with the obligations of Institutions under this Agreement or the nature of Institutions as academic and non-profit entities; or</w:t>
      </w:r>
    </w:p>
    <w:p>
      <w:pPr>
        <w:spacing w:after="0" w:line="32" w:lineRule="exact"/>
        <w:rPr>
          <w:sz w:val="20"/>
          <w:szCs w:val="20"/>
          <w:color w:val="auto"/>
        </w:rPr>
      </w:pPr>
    </w:p>
    <w:p>
      <w:pPr>
        <w:ind w:firstLine="8"/>
        <w:spacing w:after="0" w:line="252" w:lineRule="auto"/>
        <w:tabs>
          <w:tab w:leader="none" w:pos="26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fewer rights than they have under this Agreement; (b) there shall be no representations, warranties, expenses or liabilities of or on Institutions or MIT that are not included in this Agreement; (c) all obligations arising prior to execution of the Direct License and grant of the Temporary Extension shall remain the responsibility of Company and Institutions shall be released from any and all liability relating to such obligations; (d) the terms of such Direct License and Temporary Extension shall [***]; and (e) such modifications shall be included as are reasonably necessary to accommodate the functional and structural differences between Company and Institutions. [***]. If Institutions and the applicable Sublicensee, for any reason, do not enter into a Direct License within [***] days after the effective date of termination of the Agreement, the applicable Sublicense and Temporary Extension, and all rights granted thereunder, shall automatically terminate.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10.3.2. </w:t>
      </w:r>
      <w:r>
        <w:rPr>
          <w:rFonts w:ascii="Arial" w:cs="Arial" w:eastAsia="Arial" w:hAnsi="Arial"/>
          <w:sz w:val="17"/>
          <w:szCs w:val="17"/>
          <w:u w:val="single" w:color="auto"/>
          <w:color w:val="auto"/>
        </w:rPr>
        <w:t>Accruing Obligations</w:t>
      </w:r>
      <w:r>
        <w:rPr>
          <w:rFonts w:ascii="Arial" w:cs="Arial" w:eastAsia="Arial" w:hAnsi="Arial"/>
          <w:sz w:val="17"/>
          <w:szCs w:val="17"/>
          <w:color w:val="auto"/>
        </w:rPr>
        <w:t>. Termination or expiration of this Agreement shall not relieve the Parties of obligations accruing prior to such termination or expiration, including obligations to pay amounts accruing hereunder up to the date of termination or expiration. After the date of termination or expiration (except in the case of termination by Institutions pursuant to Section 10.2), Company, its Affiliates and Sublicensees may sell Licensed Products then in stock; provided that Company shall [***], provide reports and audit rights to Institutions pursuant to Article 5 and maintain insurance in accordance with the requirements of Section 9.2. The Parties agree that the obligations in Section [***] shall accrue immediately upon execution of this Agreement by both Parties, regardless of the events, invoice and payment timing details set forth therein.</w:t>
      </w:r>
    </w:p>
    <w:p>
      <w:pPr>
        <w:spacing w:after="0" w:line="178"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10.3.3. </w:t>
      </w:r>
      <w:r>
        <w:rPr>
          <w:rFonts w:ascii="Arial" w:cs="Arial" w:eastAsia="Arial" w:hAnsi="Arial"/>
          <w:sz w:val="18"/>
          <w:szCs w:val="18"/>
          <w:u w:val="single" w:color="auto"/>
          <w:color w:val="auto"/>
        </w:rPr>
        <w:t>Enabled Products and Enabled Services</w:t>
      </w:r>
      <w:r>
        <w:rPr>
          <w:rFonts w:ascii="Arial" w:cs="Arial" w:eastAsia="Arial" w:hAnsi="Arial"/>
          <w:sz w:val="18"/>
          <w:szCs w:val="18"/>
          <w:color w:val="auto"/>
        </w:rPr>
        <w:t>. After the date of termination or expiration of this Agreement, Company and its Affiliates may continue to sell and provide Enabled Products and Enabled Services, provided that (a) for the remaining duration of any Royalty Term applicable to any such Enabled Product or Enabled Service, Company shall [***], provide reports and audit rights to Institutions pursuant to Article 5, and (b) Company shall maintain insurance in accordance with the requirements of Section 9.2.</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u w:val="single" w:color="auto"/>
          <w:color w:val="auto"/>
        </w:rPr>
        <w:t>Disposition of Company Developments</w:t>
      </w:r>
      <w:r>
        <w:rPr>
          <w:rFonts w:ascii="Arial" w:cs="Arial" w:eastAsia="Arial" w:hAnsi="Arial"/>
          <w:sz w:val="16"/>
          <w:szCs w:val="16"/>
          <w:color w:val="auto"/>
        </w:rPr>
        <w:t>. In the event this Agreement is terminated prior to expiration of the Term, Company shall:</w:t>
      </w:r>
    </w:p>
    <w:p>
      <w:pPr>
        <w:sectPr>
          <w:pgSz w:w="11900" w:h="16838" w:orient="portrait"/>
          <w:cols w:equalWidth="0" w:num="1">
            <w:col w:w="11420"/>
          </w:cols>
          <w:pgMar w:left="240" w:top="125" w:right="239" w:bottom="0" w:gutter="0" w:footer="0" w:header="0"/>
        </w:sectPr>
      </w:pPr>
    </w:p>
    <w:bookmarkStart w:id="355" w:name="page356"/>
    <w:bookmarkEnd w:id="355"/>
    <w:p>
      <w:pPr>
        <w:spacing w:after="0" w:line="35" w:lineRule="exact"/>
        <w:rPr>
          <w:sz w:val="20"/>
          <w:szCs w:val="20"/>
          <w:color w:val="auto"/>
        </w:rPr>
      </w:pPr>
    </w:p>
    <w:p>
      <w:pPr>
        <w:ind w:right="100" w:firstLine="1945"/>
        <w:spacing w:after="0" w:line="276" w:lineRule="auto"/>
        <w:rPr>
          <w:sz w:val="20"/>
          <w:szCs w:val="20"/>
          <w:color w:val="auto"/>
        </w:rPr>
      </w:pPr>
      <w:r>
        <w:rPr>
          <w:rFonts w:ascii="Arial" w:cs="Arial" w:eastAsia="Arial" w:hAnsi="Arial"/>
          <w:sz w:val="17"/>
          <w:szCs w:val="17"/>
          <w:color w:val="auto"/>
        </w:rPr>
        <w:t>10.3.4.1. consider in good faith with Institutions during [***] day period after such termination, whether and on what terms Company will provide to Institutions and MIT a copy of, and, if requested by Institutions and MIT, grant Institutions and MIT a sublicensable license to, all patents and patent applications of the Company or its Affiliates that improve or are otherwise related to the Patent Rights or that cover a Licensed Product or Licensed Service that Institutions or MIT are interested in pursuing either themselves or through a licensee; provided that the terms of any such license shall be consistent with Company’s obligations under contract and applicable law and its officers’ and directors’ fiduciary obligations;</w:t>
      </w:r>
    </w:p>
    <w:p>
      <w:pPr>
        <w:spacing w:after="0" w:line="173" w:lineRule="exact"/>
        <w:rPr>
          <w:sz w:val="20"/>
          <w:szCs w:val="20"/>
          <w:color w:val="auto"/>
        </w:rPr>
      </w:pPr>
    </w:p>
    <w:p>
      <w:pPr>
        <w:ind w:right="40" w:firstLine="1945"/>
        <w:spacing w:after="0" w:line="254" w:lineRule="auto"/>
        <w:rPr>
          <w:sz w:val="20"/>
          <w:szCs w:val="20"/>
          <w:color w:val="auto"/>
        </w:rPr>
      </w:pPr>
      <w:r>
        <w:rPr>
          <w:rFonts w:ascii="Arial" w:cs="Arial" w:eastAsia="Arial" w:hAnsi="Arial"/>
          <w:sz w:val="18"/>
          <w:szCs w:val="18"/>
          <w:color w:val="auto"/>
        </w:rPr>
        <w:t>10.3.4.2. provide Institutions and MIT with access to and, at Institutions’ and MIT’s request, deliver to Institutions and MIT all documents, filings, data and other information in Company’s or its Affiliates’ possession or control (other than documents, filings, data and other information owned by Sublicensees or Third Parties) relating to any of the Patent Rights, Licensed Products or Licensed Services, including all records required by regulatory authorities to be maintained with respect to Licensed Products or Licensed Services, all regulatory filings, approvals, reports, records, correspondence and other regulatory materials (including any related to reimbursement or pricing approvals), and all documents, data and other information related to clinical trials and other studies of Licensed Products or Licensed Services (collectively, “</w:t>
      </w:r>
      <w:r>
        <w:rPr>
          <w:rFonts w:ascii="Arial" w:cs="Arial" w:eastAsia="Arial" w:hAnsi="Arial"/>
          <w:sz w:val="18"/>
          <w:szCs w:val="18"/>
          <w:b w:val="1"/>
          <w:bCs w:val="1"/>
          <w:color w:val="auto"/>
        </w:rPr>
        <w:t>Documentation and Approvals</w:t>
      </w:r>
      <w:r>
        <w:rPr>
          <w:rFonts w:ascii="Arial" w:cs="Arial" w:eastAsia="Arial" w:hAnsi="Arial"/>
          <w:sz w:val="18"/>
          <w:szCs w:val="18"/>
          <w:color w:val="auto"/>
        </w:rPr>
        <w:t>”) if and to the extent that the provision of, access to and delivery of such Documentation and Approvals shall be consistent with Company’s obligations under contract and applicable law; and</w:t>
      </w:r>
    </w:p>
    <w:p>
      <w:pPr>
        <w:spacing w:after="0" w:line="192" w:lineRule="exact"/>
        <w:rPr>
          <w:sz w:val="20"/>
          <w:szCs w:val="20"/>
          <w:color w:val="auto"/>
        </w:rPr>
      </w:pPr>
    </w:p>
    <w:p>
      <w:pPr>
        <w:ind w:right="380" w:firstLine="1945"/>
        <w:spacing w:after="0" w:line="277" w:lineRule="auto"/>
        <w:rPr>
          <w:sz w:val="20"/>
          <w:szCs w:val="20"/>
          <w:color w:val="auto"/>
        </w:rPr>
      </w:pPr>
      <w:r>
        <w:rPr>
          <w:rFonts w:ascii="Arial" w:cs="Arial" w:eastAsia="Arial" w:hAnsi="Arial"/>
          <w:sz w:val="18"/>
          <w:szCs w:val="18"/>
          <w:color w:val="auto"/>
        </w:rPr>
        <w:t>10.3.4.3. permit Institutions and MIT and their licensees and sublicensees to utilize, reference, cross reference, have access to, incorporate in applications and filings (including with any Regulatory Authority in furtherance of applications for regulatory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approval), and otherwise have the benefit of all Documentation and Approvals if and to the extent that the foregoing right to utilize, reference, cross reference, have access to, incorporate such Documentation and Approvals shall be consistent with Company’s obligations under contract and applicable law; provided, however, that notwithstanding anything in the foregoing to the contrary, the right to utilize, reference, cross reference, have access to, incorporate such Documentation and Approvals shall not be deemed or construed as a grant of any license or other right under any patent or patent application owned or controlled by Company, its Affiliates or any Third Party.</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 xml:space="preserve">10.4. Survival. </w:t>
      </w:r>
      <w:r>
        <w:rPr>
          <w:rFonts w:ascii="Arial" w:cs="Arial" w:eastAsia="Arial" w:hAnsi="Arial"/>
          <w:sz w:val="17"/>
          <w:szCs w:val="17"/>
          <w:color w:val="auto"/>
        </w:rPr>
        <w:t>The Parties’ respective rights, obligations and duties under Articles 5, 9, 10 and 11, Sections 8.3 and 8.4, as well as any rights,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 duties which by their nature extend beyond the expiration or termination of this Agreement, shall survive any expiration or termination of this Agreement. In addition, Company’s obligations under (a) Section [***], with respect to Sublicenses granted prior to expiration or termination of the Agreement, and (b) Sections [***], with respect to any sale, performance or other transfer of Licensed Products, Licensed Services, Enabled Products and Enabled Services occurring under Sections 10.3.2 and 10.3.3 after the Term, shall in each case survive such expiration or termination.</w:t>
      </w:r>
    </w:p>
    <w:p>
      <w:pPr>
        <w:spacing w:after="0" w:line="168" w:lineRule="exact"/>
        <w:rPr>
          <w:sz w:val="20"/>
          <w:szCs w:val="20"/>
          <w:color w:val="auto"/>
        </w:rPr>
      </w:pPr>
    </w:p>
    <w:p>
      <w:pPr>
        <w:ind w:left="660" w:right="8940" w:hanging="652"/>
        <w:spacing w:after="0" w:line="501" w:lineRule="auto"/>
        <w:tabs>
          <w:tab w:leader="none" w:pos="646"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11.1. Confidentiality.</w:t>
      </w:r>
    </w:p>
    <w:p>
      <w:pPr>
        <w:ind w:right="20" w:firstLine="1297"/>
        <w:spacing w:after="0" w:line="270" w:lineRule="auto"/>
        <w:rPr>
          <w:sz w:val="20"/>
          <w:szCs w:val="20"/>
          <w:color w:val="auto"/>
        </w:rPr>
      </w:pPr>
      <w:r>
        <w:rPr>
          <w:rFonts w:ascii="Arial" w:cs="Arial" w:eastAsia="Arial" w:hAnsi="Arial"/>
          <w:sz w:val="17"/>
          <w:szCs w:val="17"/>
          <w:color w:val="auto"/>
        </w:rPr>
        <w:t>11.1.1. “</w:t>
      </w:r>
      <w:r>
        <w:rPr>
          <w:rFonts w:ascii="Arial" w:cs="Arial" w:eastAsia="Arial" w:hAnsi="Arial"/>
          <w:sz w:val="17"/>
          <w:szCs w:val="17"/>
          <w:b w:val="1"/>
          <w:bCs w:val="1"/>
          <w:color w:val="auto"/>
        </w:rPr>
        <w:t>Institution Confidential Information</w:t>
      </w:r>
      <w:r>
        <w:rPr>
          <w:rFonts w:ascii="Arial" w:cs="Arial" w:eastAsia="Arial" w:hAnsi="Arial"/>
          <w:sz w:val="17"/>
          <w:szCs w:val="17"/>
          <w:color w:val="auto"/>
        </w:rPr>
        <w:t>” means (a) any Institution Technology Transfer Materials or information related to Prosecution of Patent Rights provided to Company by Harvard (“</w:t>
      </w:r>
      <w:r>
        <w:rPr>
          <w:rFonts w:ascii="Arial" w:cs="Arial" w:eastAsia="Arial" w:hAnsi="Arial"/>
          <w:sz w:val="17"/>
          <w:szCs w:val="17"/>
          <w:b w:val="1"/>
          <w:bCs w:val="1"/>
          <w:color w:val="auto"/>
        </w:rPr>
        <w:t>Harvard Confidential Information</w:t>
      </w:r>
      <w:r>
        <w:rPr>
          <w:rFonts w:ascii="Arial" w:cs="Arial" w:eastAsia="Arial" w:hAnsi="Arial"/>
          <w:sz w:val="17"/>
          <w:szCs w:val="17"/>
          <w:color w:val="auto"/>
        </w:rPr>
        <w:t>”); (b) any Institution Technology Transfer Materials or information related to Prosecution of Patent Rights provided to Company by Broad (“</w:t>
      </w:r>
      <w:r>
        <w:rPr>
          <w:rFonts w:ascii="Arial" w:cs="Arial" w:eastAsia="Arial" w:hAnsi="Arial"/>
          <w:sz w:val="17"/>
          <w:szCs w:val="17"/>
          <w:b w:val="1"/>
          <w:bCs w:val="1"/>
          <w:color w:val="auto"/>
        </w:rPr>
        <w:t>Broad Confidential Information</w:t>
      </w:r>
      <w:r>
        <w:rPr>
          <w:rFonts w:ascii="Arial" w:cs="Arial" w:eastAsia="Arial" w:hAnsi="Arial"/>
          <w:sz w:val="17"/>
          <w:szCs w:val="17"/>
          <w:color w:val="auto"/>
        </w:rPr>
        <w:t>”); (c) any information or material in tangible form that is marked as “confidential” or proprietary by an Institution at the time it is sent to Company; and (d) information that is furnished orally by an Institution if such Institution identifies such information as “confidential” or proprietary in writing by a memorandum delivered to Company within [***] days after the date of disclosure. “</w:t>
      </w:r>
      <w:r>
        <w:rPr>
          <w:rFonts w:ascii="Arial" w:cs="Arial" w:eastAsia="Arial" w:hAnsi="Arial"/>
          <w:sz w:val="17"/>
          <w:szCs w:val="17"/>
          <w:b w:val="1"/>
          <w:bCs w:val="1"/>
          <w:color w:val="auto"/>
        </w:rPr>
        <w:t>Company Confidential Information</w:t>
      </w:r>
      <w:r>
        <w:rPr>
          <w:rFonts w:ascii="Arial" w:cs="Arial" w:eastAsia="Arial" w:hAnsi="Arial"/>
          <w:sz w:val="17"/>
          <w:szCs w:val="17"/>
          <w:color w:val="auto"/>
        </w:rPr>
        <w:t>” means (i) the Development Plan and any Current Plan, Internal Development Plan or Collaboration Plan; (ii) any information regarding the identity of Selected Targets received by Institutions from the Gatekeeper; (iii) any reports prepared by Company and provided to Institutions pursuant to Sections 3.3, [***] and 5.1.1 and (iv) any copies of Sublicenses, or information extracted therefrom, provided by Company to Institutions under Section 2.5.2. The terms of this Agreement constitute the Confidential Information of both Parties. The Parties agree the terms of this Agreement may be shared with HHMI and MIT.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the Institution Confidential Information and the Company Confidential Information, as applicable.</w:t>
      </w:r>
    </w:p>
    <w:p>
      <w:pPr>
        <w:spacing w:after="0" w:line="178"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11.1.2. For the Term of this Agreement and a period of [***] years thereafter, (a) Company shall maintain in confidence and shall not disclose (i) to any third party any Institution Confidential Information (ii) to Broad any Harvard Confidential Information, without the prior written consent of Harvard, and (iii) to Harvard any Broad Confidential Information, without the prior written consent of Broad and (b) Institutions shall maintain in confidence and shall not disclose to any third party any Company Confidential Information, provided that Institutions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may disclose to MIT and HHMI (A) this Agreement including any Exhibits, and (B) such Confidential Information of Company as MIT or HHMI, as the case may be, reasonably requests, provided that any disclosure under the foregoing clause (A) shall be made in confidence to MIT or HHMI, as the case may be, and that any disclosure under the foregoing clause (B) shall be under terms of a written confidentiality agreement prohibiting the use and further disclosure by MIT or HHMI, as the case may be, of such Confidential Information on terms as least as restrictive as those contained herein. Each Party shall take all reasonable steps to protect the Confidential Information of the other Party with the same degree of care used to protect its own confidential or proprietary information. Neither Party shall use the Confidential Information of the other Party for any purpose other than those contemplated by this Agreement, which, for clarity, shall include the right of the Company to use the information provided by the Gatekeeper to Company in connection with the exploitation of the licenses granted hereunder, subject to the last sentence of Section 2.6.5.2 and the penultimate sentence of Section 2.6.5.4. The foregoing obligations under this Section 11.1.2 shall not apply to:</w:t>
      </w:r>
    </w:p>
    <w:p>
      <w:pPr>
        <w:spacing w:after="0" w:line="182" w:lineRule="exact"/>
        <w:rPr>
          <w:sz w:val="20"/>
          <w:szCs w:val="20"/>
          <w:color w:val="auto"/>
        </w:rPr>
      </w:pPr>
    </w:p>
    <w:p>
      <w:pPr>
        <w:ind w:left="660" w:right="140" w:hanging="328"/>
        <w:spacing w:after="0" w:line="308" w:lineRule="auto"/>
        <w:tabs>
          <w:tab w:leader="none" w:pos="68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information that is known to the receiving Party or independently developed by the receiving Party prior to the time of disclosure without use of or reference to the other Party’s Confidential Information, in each case, to the extent evidenced by contemporaneous written records;</w:t>
      </w:r>
    </w:p>
    <w:p>
      <w:pPr>
        <w:spacing w:after="0" w:line="146" w:lineRule="exact"/>
        <w:rPr>
          <w:rFonts w:ascii="Arial" w:cs="Arial" w:eastAsia="Arial" w:hAnsi="Arial"/>
          <w:sz w:val="17"/>
          <w:szCs w:val="17"/>
          <w:color w:val="auto"/>
        </w:rPr>
      </w:pPr>
    </w:p>
    <w:p>
      <w:pPr>
        <w:ind w:left="660" w:right="160" w:hanging="328"/>
        <w:spacing w:after="0" w:line="277" w:lineRule="auto"/>
        <w:tabs>
          <w:tab w:leader="none" w:pos="69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information that is independently developed by the receiving Party at or after the time of disclosure without use of or reference to the other Party’s Confidential Information, to the extent evidenced by contemporaneous written records;</w:t>
      </w:r>
    </w:p>
    <w:p>
      <w:pPr>
        <w:spacing w:after="0" w:line="170" w:lineRule="exact"/>
        <w:rPr>
          <w:rFonts w:ascii="Arial" w:cs="Arial" w:eastAsia="Arial" w:hAnsi="Arial"/>
          <w:sz w:val="18"/>
          <w:szCs w:val="18"/>
          <w:color w:val="auto"/>
        </w:rPr>
      </w:pPr>
    </w:p>
    <w:p>
      <w:pPr>
        <w:ind w:left="700" w:hanging="368"/>
        <w:spacing w:after="0"/>
        <w:tabs>
          <w:tab w:leader="none" w:pos="7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information disclosed to the receiving Party by a Third Party (other than the Gatekeeper) that has a right to make such disclosure;</w:t>
      </w:r>
    </w:p>
    <w:p>
      <w:pPr>
        <w:sectPr>
          <w:pgSz w:w="11900" w:h="16874" w:orient="portrait"/>
          <w:cols w:equalWidth="0" w:num="1">
            <w:col w:w="11400"/>
          </w:cols>
          <w:pgMar w:left="240" w:top="125" w:right="259" w:bottom="0" w:gutter="0" w:footer="0" w:header="0"/>
        </w:sectPr>
      </w:pPr>
    </w:p>
    <w:bookmarkStart w:id="356" w:name="page357"/>
    <w:bookmarkEnd w:id="356"/>
    <w:p>
      <w:pPr>
        <w:spacing w:after="0" w:line="15" w:lineRule="exact"/>
        <w:rPr>
          <w:sz w:val="20"/>
          <w:szCs w:val="20"/>
          <w:color w:val="auto"/>
        </w:rPr>
      </w:pPr>
    </w:p>
    <w:p>
      <w:pPr>
        <w:ind w:left="660" w:right="220" w:hanging="328"/>
        <w:spacing w:after="0" w:line="277" w:lineRule="auto"/>
        <w:tabs>
          <w:tab w:leader="none" w:pos="67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information that is publicly disclosed at or prior to the time of disclosure hereunder or becomes patented, published or otherwise part of the public domain as a result of acts by the furnishing Party or a Third Party obtaining such information as a matter of right; or</w:t>
      </w:r>
    </w:p>
    <w:p>
      <w:pPr>
        <w:spacing w:after="0" w:line="170" w:lineRule="exact"/>
        <w:rPr>
          <w:rFonts w:ascii="Arial" w:cs="Arial" w:eastAsia="Arial" w:hAnsi="Arial"/>
          <w:sz w:val="18"/>
          <w:szCs w:val="18"/>
          <w:color w:val="auto"/>
        </w:rPr>
      </w:pPr>
    </w:p>
    <w:p>
      <w:pPr>
        <w:ind w:left="660" w:right="220" w:hanging="328"/>
        <w:spacing w:after="0" w:line="264" w:lineRule="auto"/>
        <w:tabs>
          <w:tab w:leader="none" w:pos="66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information that is required to be disclosed by order of the FDA or similar authority or a court of competent jurisdiction or other government authority or agency; provided that the Parties shall use commercially reasonable efforts to obtain confidential treatment of such information by the agency, authority, or court.</w:t>
      </w:r>
    </w:p>
    <w:p>
      <w:pPr>
        <w:spacing w:after="0" w:line="18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Permitted Disclosures</w:t>
      </w:r>
      <w:r>
        <w:rPr>
          <w:rFonts w:ascii="Arial" w:cs="Arial" w:eastAsia="Arial" w:hAnsi="Arial"/>
          <w:sz w:val="18"/>
          <w:szCs w:val="18"/>
          <w:color w:val="auto"/>
        </w:rPr>
        <w:t>. Notwithstanding Section 11.1, either Party may disclose Confidential Information of the other Party to the extent such disclosure is reasonably necessary in the following instances: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11.1.3.1. prosecuting or defending litigation in accordance with Article [***]of this Agreement;</w:t>
      </w:r>
    </w:p>
    <w:p>
      <w:pPr>
        <w:spacing w:after="0" w:line="225" w:lineRule="exact"/>
        <w:rPr>
          <w:sz w:val="20"/>
          <w:szCs w:val="20"/>
          <w:color w:val="auto"/>
        </w:rPr>
      </w:pPr>
    </w:p>
    <w:p>
      <w:pPr>
        <w:ind w:right="20" w:firstLine="1945"/>
        <w:spacing w:after="0" w:line="264" w:lineRule="auto"/>
        <w:rPr>
          <w:sz w:val="20"/>
          <w:szCs w:val="20"/>
          <w:color w:val="auto"/>
        </w:rPr>
      </w:pPr>
      <w:r>
        <w:rPr>
          <w:rFonts w:ascii="Arial" w:cs="Arial" w:eastAsia="Arial" w:hAnsi="Arial"/>
          <w:sz w:val="18"/>
          <w:szCs w:val="18"/>
          <w:color w:val="auto"/>
        </w:rPr>
        <w:t>11.1.3.2. making filings with the Securities and Exchange Commission or foreign equivalent, any stock exchange or market, or any Regulatory Authorities, which shall include publicly disclosing or filing this Agreement as a “material agreement” in accordance with applicable law or applicable stock exchange regulations;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945"/>
        <w:spacing w:after="0" w:line="303" w:lineRule="auto"/>
        <w:rPr>
          <w:sz w:val="20"/>
          <w:szCs w:val="20"/>
          <w:color w:val="auto"/>
        </w:rPr>
      </w:pPr>
      <w:r>
        <w:rPr>
          <w:rFonts w:ascii="Arial" w:cs="Arial" w:eastAsia="Arial" w:hAnsi="Arial"/>
          <w:sz w:val="16"/>
          <w:szCs w:val="16"/>
          <w:color w:val="auto"/>
        </w:rPr>
        <w:t>11.1.3.3. complying with applicable laws, rules, regulations or orders (collectively, “</w:t>
      </w:r>
      <w:r>
        <w:rPr>
          <w:rFonts w:ascii="Arial" w:cs="Arial" w:eastAsia="Arial" w:hAnsi="Arial"/>
          <w:sz w:val="16"/>
          <w:szCs w:val="16"/>
          <w:b w:val="1"/>
          <w:bCs w:val="1"/>
          <w:color w:val="auto"/>
        </w:rPr>
        <w:t>Law</w:t>
      </w:r>
      <w:r>
        <w:rPr>
          <w:rFonts w:ascii="Arial" w:cs="Arial" w:eastAsia="Arial" w:hAnsi="Arial"/>
          <w:sz w:val="16"/>
          <w:szCs w:val="16"/>
          <w:color w:val="auto"/>
        </w:rPr>
        <w:t xml:space="preserve">”) or submitting information to governmental authorities;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Party is required by Law to make any public disclosure of Confidential Information of the other Party, to the extent the Party so required may legally do so, it will give reasonable advance notice to the other Party of such disclosure and will use its reasonable efforts to secure confidential treatment of such Confidential Information prior to its disclosure (whether through protective orders or otherwise); and</w:t>
      </w:r>
    </w:p>
    <w:p>
      <w:pPr>
        <w:spacing w:after="0" w:line="155" w:lineRule="exact"/>
        <w:rPr>
          <w:sz w:val="20"/>
          <w:szCs w:val="20"/>
          <w:color w:val="auto"/>
        </w:rPr>
      </w:pPr>
    </w:p>
    <w:p>
      <w:pPr>
        <w:ind w:right="40" w:firstLine="1945"/>
        <w:spacing w:after="0" w:line="291" w:lineRule="auto"/>
        <w:rPr>
          <w:sz w:val="20"/>
          <w:szCs w:val="20"/>
          <w:color w:val="auto"/>
        </w:rPr>
      </w:pPr>
      <w:r>
        <w:rPr>
          <w:rFonts w:ascii="Arial" w:cs="Arial" w:eastAsia="Arial" w:hAnsi="Arial"/>
          <w:sz w:val="16"/>
          <w:szCs w:val="16"/>
          <w:color w:val="auto"/>
        </w:rPr>
        <w:t>11.1.3.4. to its Affiliates and its and their prospective and actual acquirers, licensees, sublicensees, distributors, investors, lenders and underwriters, and (a) its and their employees, consultants, agents, and advisors, on a need to know basis, each of whom prior to disclosure must be bound by written obligations of confidentiality and non-use of substantially equivalent or greater scope and duration than those set forth in this Article 11, and (b) its and their accountants and lawyers, on a need to know basis, each of whom prior to disclosure must be bound by written or legally enforceable professional ethical obligations of confidentiality and non-use of substantially equivalent or greater scope and duration than those set forth in this Article 11; provided that the scope of Confidential Information that may be disclosed to any Person under this Section 11.1.3.4 is limited to the terms of this Agreement and any notices given hereunder and not any other Institution Confidential Information unless otherwise agreed to in writing by such other Party.</w:t>
      </w:r>
    </w:p>
    <w:p>
      <w:pPr>
        <w:spacing w:after="0" w:line="16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11.1.4.</w:t>
        <w:tab/>
        <w:t>[***]</w:t>
      </w:r>
    </w:p>
    <w:p>
      <w:pPr>
        <w:spacing w:after="0" w:line="2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Use of Name. </w:t>
      </w:r>
      <w:r>
        <w:rPr>
          <w:rFonts w:ascii="Arial" w:cs="Arial" w:eastAsia="Arial" w:hAnsi="Arial"/>
          <w:sz w:val="16"/>
          <w:szCs w:val="16"/>
          <w:color w:val="auto"/>
        </w:rPr>
        <w:t>Except as provided below, Company shall not, and shall ensure that its Affiliates and Sublicensees shall not, use or register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name “The Broad Institute, Inc.,” “Wyss Institute for Biologically Inspired Engineering at Harvard University,” “President and Fellows of Harvard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College,” “Massachusetts Institute of Technology,” “Lincoln Laboratory” or any variation, adaptation, or abbreviation thereof (alone or as part of another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name) or any logos, seals, insignia or other words, names, symbols or devices that identify Institutions or any Institutions school, unit, division or affiliate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Institution Names</w:t>
      </w:r>
      <w:r>
        <w:rPr>
          <w:rFonts w:ascii="Arial" w:cs="Arial" w:eastAsia="Arial" w:hAnsi="Arial"/>
          <w:sz w:val="16"/>
          <w:szCs w:val="16"/>
          <w:color w:val="auto"/>
        </w:rPr>
        <w:t>”) for any purpose except with the prior written approval of, and in accordance with restrictions required by, the applicable Institution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MIT, as applicable. Without limiting the foregoing, Company shall, and shall ensure that its Affiliates and Sublicensees shall, cease all use of Institution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Names as permitted under or in connection with this Agreement on the termination or expiration of this Agreement except as otherwise approved in writing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applicable Institution or MIT, as applicable. This restriction shall not apply to any information required by law to be disclosed to any governmental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entity. Company shall not use or register the name “Howard Hughes Medical Institute” or any variation, adaptation, or abbreviation thereof (alone or as part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another name) or any logos, seals, insignia or other words, names, symbols or devices that identify HHMI or any unit of HHMI (“</w:t>
      </w:r>
      <w:r>
        <w:rPr>
          <w:rFonts w:ascii="Arial" w:cs="Arial" w:eastAsia="Arial" w:hAnsi="Arial"/>
          <w:sz w:val="17"/>
          <w:szCs w:val="17"/>
          <w:b w:val="1"/>
          <w:bCs w:val="1"/>
          <w:color w:val="auto"/>
        </w:rPr>
        <w:t>HHMI Names</w:t>
      </w:r>
      <w:r>
        <w:rPr>
          <w:rFonts w:ascii="Arial" w:cs="Arial" w:eastAsia="Arial" w:hAnsi="Arial"/>
          <w:sz w:val="17"/>
          <w:szCs w:val="17"/>
          <w:color w:val="auto"/>
        </w:rPr>
        <w:t>”) or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any HHMI employee (including [**]) in a manner that reasonably could constitute an endorsement of a commercial product or service; but that use for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even if commercially motivated, is permitted provided that (1) the use is limited to accurately reporting factual events or occurrences, and (2)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 to an HHMI Name or any HHMI employees (including [**]) in press releases or similar materials intended for public release is approved by HHMI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advance.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 xml:space="preserve">11.3. Press Release. </w:t>
      </w:r>
      <w:r>
        <w:rPr>
          <w:rFonts w:ascii="Arial" w:cs="Arial" w:eastAsia="Arial" w:hAnsi="Arial"/>
          <w:sz w:val="17"/>
          <w:szCs w:val="17"/>
          <w:color w:val="auto"/>
        </w:rPr>
        <w:t>Notwithstanding the provisions of Section 11.2, in addition to (and not in limitation of) the disclosure permitted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11.1.4, the Parties shall agree on a public communications plan that shall define the nature and scope of the information relating to this Agreement and the relationship among the Parties that shall be disclosed publicly and may issue a press release in such form as is consistent with such communications plan and mutually acceptable to the Parties (and MIT to the extent of any reference to MIT in such press release). Any use of HHMI Names or the name of any HHMI employee (including [**]) in any such press release must be approved by HHMI in advance. Each Party agrees that it will not issue a press release or other public statement without obtaining the prior written approval of the other Parties.</w:t>
      </w:r>
    </w:p>
    <w:p>
      <w:pPr>
        <w:spacing w:after="0" w:line="174"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11.4. No Security Interest. </w:t>
      </w:r>
      <w:r>
        <w:rPr>
          <w:rFonts w:ascii="Arial" w:cs="Arial" w:eastAsia="Arial" w:hAnsi="Arial"/>
          <w:sz w:val="18"/>
          <w:szCs w:val="18"/>
          <w:color w:val="auto"/>
        </w:rPr>
        <w:t>Company shall not enter into any agreement under which Company grants to or otherwise creates in any third party 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this Agreement or any of the rights granted to Company herein. Any grant or creation of a security interest purported or attempted to be made in violation of the terms of this Section 11.4 shall be null and void and of no legal effect.</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11.5. Entire Agreement. </w:t>
      </w:r>
      <w:r>
        <w:rPr>
          <w:rFonts w:ascii="Arial" w:cs="Arial" w:eastAsia="Arial" w:hAnsi="Arial"/>
          <w:sz w:val="18"/>
          <w:szCs w:val="18"/>
          <w:color w:val="auto"/>
        </w:rPr>
        <w:t>This Agreement is the sole agreement with respect to the subject matter hereof and except as expressly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other agreements and understandings between the Parties with respect to the same.</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11.6. Notices. </w:t>
      </w:r>
      <w:r>
        <w:rPr>
          <w:rFonts w:ascii="Arial" w:cs="Arial" w:eastAsia="Arial" w:hAnsi="Arial"/>
          <w:sz w:val="18"/>
          <w:szCs w:val="18"/>
          <w:color w:val="auto"/>
        </w:rPr>
        <w:t>Unless otherwise specifically provided, all notices required or permitted by this Agreement shall be in writing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personally, or may be sent by facsimile, expedited delivery or certified mail, return receipt requested, to the following addresses, unless the Parties are subsequently notified of any change of address in accordance with this Section 11.6:</w:t>
      </w:r>
    </w:p>
    <w:p>
      <w:pPr>
        <w:sectPr>
          <w:pgSz w:w="11900" w:h="16854" w:orient="portrait"/>
          <w:cols w:equalWidth="0" w:num="1">
            <w:col w:w="11420"/>
          </w:cols>
          <w:pgMar w:left="240" w:top="341" w:right="239" w:bottom="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If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Editas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Third Street, First Floor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Cambridge, Massachusetts 02142</w:t>
      </w:r>
    </w:p>
    <w:p>
      <w:pPr>
        <w:sectPr>
          <w:pgSz w:w="11900" w:h="16854" w:orient="portrait"/>
          <w:cols w:equalWidth="0" w:num="2">
            <w:col w:w="1580" w:space="720"/>
            <w:col w:w="9120"/>
          </w:cols>
          <w:pgMar w:left="240" w:top="341" w:right="239" w:bottom="0" w:gutter="0" w:footer="0" w:header="0"/>
          <w:type w:val="continuous"/>
        </w:sectPr>
      </w:pPr>
    </w:p>
    <w:bookmarkStart w:id="357" w:name="page358"/>
    <w:bookmarkEnd w:id="357"/>
    <w:p>
      <w:pPr>
        <w:spacing w:after="0"/>
        <w:rPr>
          <w:sz w:val="20"/>
          <w:szCs w:val="20"/>
          <w:color w:val="auto"/>
        </w:rPr>
      </w:pPr>
      <w:r>
        <w:rPr>
          <w:rFonts w:ascii="Arial" w:cs="Arial" w:eastAsia="Arial" w:hAnsi="Arial"/>
          <w:sz w:val="16"/>
          <w:szCs w:val="16"/>
          <w:color w:val="auto"/>
        </w:rPr>
        <w:t>(other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invoices):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Facsimile: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Attn: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Copy to: Legal Affairs</w:t>
      </w:r>
    </w:p>
    <w:p>
      <w:pPr>
        <w:spacing w:after="0" w:line="200" w:lineRule="exact"/>
        <w:rPr>
          <w:sz w:val="20"/>
          <w:szCs w:val="20"/>
          <w:color w:val="auto"/>
        </w:rPr>
      </w:pPr>
    </w:p>
    <w:p>
      <w:pPr>
        <w:sectPr>
          <w:pgSz w:w="11900" w:h="16838" w:orient="portrait"/>
          <w:cols w:equalWidth="0" w:num="2">
            <w:col w:w="1580" w:space="720"/>
            <w:col w:w="9100"/>
          </w:cols>
          <w:pgMar w:left="240" w:top="125" w:right="259" w:bottom="0" w:gutter="0" w:footer="0" w:header="0"/>
        </w:sectPr>
      </w:pPr>
    </w:p>
    <w:p>
      <w:pPr>
        <w:spacing w:after="0" w:line="1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400"/>
          </w:cols>
          <w:pgMar w:left="240" w:top="125"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If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(invoices only):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WilmerHale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617-526-5000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Richard Hoffman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Editas Medicine,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Third Street, First Floor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Cambridge, Massachusetts 02142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200" w:lineRule="exact"/>
        <w:rPr>
          <w:sz w:val="20"/>
          <w:szCs w:val="20"/>
          <w:color w:val="auto"/>
        </w:rPr>
      </w:pPr>
    </w:p>
    <w:p>
      <w:pPr>
        <w:sectPr>
          <w:pgSz w:w="11900" w:h="16838" w:orient="portrait"/>
          <w:cols w:equalWidth="0" w:num="2">
            <w:col w:w="1580" w:space="720"/>
            <w:col w:w="9100"/>
          </w:cols>
          <w:pgMar w:left="240" w:top="125" w:right="259" w:bottom="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Attn: [**]</w:t>
      </w:r>
    </w:p>
    <w:p>
      <w:pPr>
        <w:sectPr>
          <w:pgSz w:w="11900" w:h="16838" w:orient="portrait"/>
          <w:cols w:equalWidth="0" w:num="1">
            <w:col w:w="11400"/>
          </w:cols>
          <w:pgMar w:left="240" w:top="125" w:right="259"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Institutions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University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Richard A. and Susan F. Smith Campus Center, Suite 727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Facsimile: </w:t>
      </w:r>
      <w:r>
        <w:rPr>
          <w:rFonts w:ascii="Arial" w:cs="Arial" w:eastAsia="Arial" w:hAnsi="Arial"/>
          <w:sz w:val="17"/>
          <w:szCs w:val="17"/>
          <w:color w:val="auto"/>
        </w:rPr>
        <w:t>(617) 495-9568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Technology Development Officer</w:t>
      </w:r>
    </w:p>
    <w:p>
      <w:pPr>
        <w:spacing w:after="0" w:line="200" w:lineRule="exact"/>
        <w:rPr>
          <w:sz w:val="20"/>
          <w:szCs w:val="20"/>
          <w:color w:val="auto"/>
        </w:rPr>
      </w:pPr>
    </w:p>
    <w:p>
      <w:pPr>
        <w:sectPr>
          <w:pgSz w:w="11900" w:h="16838" w:orient="portrait"/>
          <w:cols w:equalWidth="0" w:num="2">
            <w:col w:w="1580" w:space="720"/>
            <w:col w:w="9100"/>
          </w:cols>
          <w:pgMar w:left="240" w:top="125" w:right="259" w:bottom="0" w:gutter="0" w:footer="0" w:header="0"/>
          <w:type w:val="continuous"/>
        </w:sectPr>
      </w:pPr>
    </w:p>
    <w:p>
      <w:pPr>
        <w:spacing w:after="0" w:line="1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Broad Institute, Inc.</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Director, Strategic Alliances</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415 Main Street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Attn: [**]</w:t>
      </w:r>
    </w:p>
    <w:p>
      <w:pPr>
        <w:sectPr>
          <w:pgSz w:w="11900" w:h="16838" w:orient="portrait"/>
          <w:cols w:equalWidth="0" w:num="1">
            <w:col w:w="11400"/>
          </w:cols>
          <w:pgMar w:left="240" w:top="125" w:right="259" w:bottom="0" w:gutter="0" w:footer="0" w:header="0"/>
          <w:type w:val="continuous"/>
        </w:sectPr>
      </w:pPr>
    </w:p>
    <w:p>
      <w:pPr>
        <w:spacing w:after="0" w:line="21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Any notice shall be deemed to have been received as follows: (a) by personal delivery or expedited delivery, upon receipt; (b) by facsimile, one business day after transmission or dispatch; (c) by certified mail, as evidenced by the return receipt. If notice is sent by facsimile, a confirming copy of the same shall be sent by mail to the same address.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 xml:space="preserve">Dispute Resolution. </w:t>
      </w:r>
      <w:r>
        <w:rPr>
          <w:rFonts w:ascii="Arial" w:cs="Arial" w:eastAsia="Arial" w:hAnsi="Arial"/>
          <w:sz w:val="16"/>
          <w:szCs w:val="16"/>
          <w:color w:val="auto"/>
        </w:rPr>
        <w:t>The Parties agree that, in the event of any dispute arising out of or relating to this Agreement (other than disputes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arising under Section 3.4 or relating to nonpayment of amounts due to Institutions hereunder or disputes affecting the rights or property of HHMI)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either Party by written notice to the other Party may have such issue referred for resolution to the Chief Executive Officer of Company, the Chief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Technology Development Officer of Harvard, and the Chief Operating Officer of Broad (collectively, the “</w:t>
      </w:r>
      <w:r>
        <w:rPr>
          <w:rFonts w:ascii="Arial" w:cs="Arial" w:eastAsia="Arial" w:hAnsi="Arial"/>
          <w:sz w:val="17"/>
          <w:szCs w:val="17"/>
          <w:b w:val="1"/>
          <w:bCs w:val="1"/>
          <w:color w:val="auto"/>
        </w:rPr>
        <w:t>Executive Officers</w:t>
      </w:r>
      <w:r>
        <w:rPr>
          <w:rFonts w:ascii="Arial" w:cs="Arial" w:eastAsia="Arial" w:hAnsi="Arial"/>
          <w:sz w:val="17"/>
          <w:szCs w:val="17"/>
          <w:color w:val="auto"/>
        </w:rPr>
        <w:t>”). The 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shall meet promptly to discuss the matter submitted and to determine a resolution. If the Executive Officers are unable to resolve the Dispute within [***]</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days after it is referred to them, then the Parties may pursue all other rights and remedies available to them under this Agreement, including the right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terminate the Agreement, and the matter may be brought by a Party as a Suit in a court of competent jurisdiction in accordance with Section 11.8 hereof.</w:t>
      </w:r>
    </w:p>
    <w:p>
      <w:pPr>
        <w:spacing w:after="0" w:line="230"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11.8. Governing Law and Jurisdiction. </w:t>
      </w:r>
      <w:r>
        <w:rPr>
          <w:rFonts w:ascii="Arial" w:cs="Arial" w:eastAsia="Arial" w:hAnsi="Arial"/>
          <w:sz w:val="18"/>
          <w:szCs w:val="18"/>
          <w:color w:val="auto"/>
        </w:rPr>
        <w:t>This Agreement shall be governed by, and construed in accordance with, the substantive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w:t>
      </w:r>
      <w:r>
        <w:rPr>
          <w:rFonts w:ascii="Arial" w:cs="Arial" w:eastAsia="Arial" w:hAnsi="Arial"/>
          <w:sz w:val="18"/>
          <w:szCs w:val="18"/>
          <w:b w:val="1"/>
          <w:bCs w:val="1"/>
          <w:color w:val="auto"/>
        </w:rPr>
        <w:t>Suit</w:t>
      </w:r>
      <w:r>
        <w:rPr>
          <w:rFonts w:ascii="Arial" w:cs="Arial" w:eastAsia="Arial" w:hAnsi="Arial"/>
          <w:sz w:val="18"/>
          <w:szCs w:val="18"/>
          <w:color w:val="auto"/>
        </w:rPr>
        <w:t>”) shall be brought in a court of competent jurisdiction in the Commonwealth of Massachusetts, and the Parties hereby consent to the sole jurisdiction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11.9. Binding Effect. </w:t>
      </w:r>
      <w:r>
        <w:rPr>
          <w:rFonts w:ascii="Arial" w:cs="Arial" w:eastAsia="Arial" w:hAnsi="Arial"/>
          <w:sz w:val="18"/>
          <w:szCs w:val="18"/>
          <w:color w:val="auto"/>
        </w:rPr>
        <w:t>This Agreement shall be binding upon and inure to the benefit of the Parties and their respective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and subsection headings are inserted for convenience of reference only and do not form a part of this Agreement.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The Parties may execute this Agreement in two or more counterparts, each of which shall be deemed an original.</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11.12. Amendment; Waiver. </w:t>
      </w:r>
      <w:r>
        <w:rPr>
          <w:rFonts w:ascii="Arial" w:cs="Arial" w:eastAsia="Arial" w:hAnsi="Arial"/>
          <w:sz w:val="16"/>
          <w:szCs w:val="16"/>
          <w:color w:val="auto"/>
        </w:rPr>
        <w:t>This Agreement may be amended, modified, superseded or canceled, and any of the terms may be waived, only by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w:t>
      </w:r>
    </w:p>
    <w:p>
      <w:pPr>
        <w:sectPr>
          <w:pgSz w:w="11900" w:h="16838" w:orient="portrait"/>
          <w:cols w:equalWidth="0" w:num="1">
            <w:col w:w="11400"/>
          </w:cols>
          <w:pgMar w:left="240" w:top="125" w:right="259" w:bottom="0" w:gutter="0" w:footer="0" w:header="0"/>
          <w:type w:val="continuous"/>
        </w:sectPr>
      </w:pPr>
    </w:p>
    <w:bookmarkStart w:id="358" w:name="page359"/>
    <w:bookmarkEnd w:id="358"/>
    <w:p>
      <w:pPr>
        <w:ind w:right="40"/>
        <w:spacing w:after="0" w:line="308" w:lineRule="auto"/>
        <w:rPr>
          <w:sz w:val="20"/>
          <w:szCs w:val="20"/>
          <w:color w:val="auto"/>
        </w:rPr>
      </w:pPr>
      <w:r>
        <w:rPr>
          <w:rFonts w:ascii="Arial" w:cs="Arial" w:eastAsia="Arial" w:hAnsi="Arial"/>
          <w:sz w:val="17"/>
          <w:szCs w:val="17"/>
          <w:color w:val="auto"/>
        </w:rPr>
        <w:t>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43"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color w:val="auto"/>
        </w:rPr>
        <w:t xml:space="preserve">11.13. No Agency or Partnership. </w:t>
      </w:r>
      <w:r>
        <w:rPr>
          <w:rFonts w:ascii="Arial" w:cs="Arial" w:eastAsia="Arial" w:hAnsi="Arial"/>
          <w:sz w:val="18"/>
          <w:szCs w:val="18"/>
          <w:color w:val="auto"/>
        </w:rPr>
        <w:t>Nothing contained in this Agreement shall give either Party the right to bind the other, or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either Party as agent for or partner of the other or any third party.</w:t>
      </w:r>
    </w:p>
    <w:p>
      <w:pPr>
        <w:spacing w:after="0" w:line="16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11.14. Assignment and Successors. </w:t>
      </w:r>
      <w:r>
        <w:rPr>
          <w:rFonts w:ascii="Arial" w:cs="Arial" w:eastAsia="Arial" w:hAnsi="Arial"/>
          <w:sz w:val="16"/>
          <w:szCs w:val="16"/>
          <w:color w:val="auto"/>
        </w:rPr>
        <w:t>This Agreement may not be assigned by Company, whether by operation of law or otherwise,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Institutions, except that Company may assign or transfer the Agreement without the consent of the Institutions, to a successor in interest of all or substantially all of the Company’s assets or business related to the Licensed Products or the Agreement, whether by merger, consolidation, sale of assets, or Change of Control or other transaction, provided that (a) the Company shall provide the Institutions with a written notice of such assignment or Change of Control including the identity of the assignee, transferee or controlling party, and a copy of the assignment and assumption agreement or other documentary evidence sufficient to demonstrate Company’s compliance with this Section 11.14 within [***] days after such assignment or Change of Control, and (b) such assignee or transferee agrees in writing to assume the obligations to the Institutions and HHMI that are being assigned or transferred. Failure of an assignee to agree to be bound by the terms hereof or failure of Company to notify Institutions and provide copies of assignment documentation as specified above shall be grounds for termination of this Agreement for default. Any attempted assignment in contravention of this Section 11.14 shall be null and void.</w:t>
      </w:r>
    </w:p>
    <w:p>
      <w:pPr>
        <w:spacing w:after="0" w:line="160" w:lineRule="exact"/>
        <w:rPr>
          <w:sz w:val="20"/>
          <w:szCs w:val="20"/>
          <w:color w:val="auto"/>
        </w:rPr>
      </w:pPr>
    </w:p>
    <w:p>
      <w:pPr>
        <w:ind w:right="100" w:firstLine="648"/>
        <w:spacing w:after="0" w:line="313" w:lineRule="auto"/>
        <w:rPr>
          <w:sz w:val="20"/>
          <w:szCs w:val="20"/>
          <w:color w:val="auto"/>
        </w:rPr>
      </w:pPr>
      <w:r>
        <w:rPr>
          <w:rFonts w:ascii="Arial" w:cs="Arial" w:eastAsia="Arial" w:hAnsi="Arial"/>
          <w:sz w:val="17"/>
          <w:szCs w:val="17"/>
          <w:b w:val="1"/>
          <w:bCs w:val="1"/>
          <w:color w:val="auto"/>
        </w:rPr>
        <w:t xml:space="preserve">11.15. Force Majeure. </w:t>
      </w:r>
      <w:r>
        <w:rPr>
          <w:rFonts w:ascii="Arial" w:cs="Arial" w:eastAsia="Arial" w:hAnsi="Arial"/>
          <w:sz w:val="17"/>
          <w:szCs w:val="17"/>
          <w:color w:val="auto"/>
        </w:rPr>
        <w:t>Neither Party shall be responsible for delays resulting from causes beyond the reasonable control of such Party,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fire, explosion, flood, war, strike, or riot, provided that the nonperforming Party uses commercially reasonable efforts to avoid 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remove such causes of nonperformance and continues performance under this Agreement with reasonable dispatch whenever such causes are removed.</w:t>
      </w:r>
    </w:p>
    <w:p>
      <w:pPr>
        <w:spacing w:after="0" w:line="2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11.16. Interpretation. </w:t>
      </w:r>
      <w:r>
        <w:rPr>
          <w:rFonts w:ascii="Arial" w:cs="Arial" w:eastAsia="Arial" w:hAnsi="Arial"/>
          <w:sz w:val="18"/>
          <w:szCs w:val="18"/>
          <w:color w:val="auto"/>
        </w:rPr>
        <w:t>Each Party hereto acknowledges and agrees that: (a) it and/or its counsel reviewed and negotiated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has contributed to its revision; (b) the rule of construction to the effect that any ambiguities are resolved against the drafting Party shall not be employed in the interpretation of this Agreement; (c) the terms and provisions of this Agreement shall be construed fairly as to both Parties hereto and not in favor of or against either Party, regardless of which Party was generally responsible for the preparation of this Agreement; and (d) the use of “include,” “includes,” or “including” herein shall not be limiting and “or” shall not be exclusive.</w:t>
      </w:r>
    </w:p>
    <w:p>
      <w:pPr>
        <w:spacing w:after="0" w:line="184"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 xml:space="preserve">11.17. Severability. </w:t>
      </w:r>
      <w:r>
        <w:rPr>
          <w:rFonts w:ascii="Arial" w:cs="Arial" w:eastAsia="Arial" w:hAnsi="Arial"/>
          <w:sz w:val="18"/>
          <w:szCs w:val="18"/>
          <w:color w:val="auto"/>
        </w:rPr>
        <w:t>If any provision of this Agreement is or becomes invalid or is ruled invalid by any court of competent jurisdiction or is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unenforceable, it is the intention of the Parties that the remainder of this Agreement shall not be affected.</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11.18. HHMI Third Party Beneficiary. </w:t>
      </w:r>
      <w:r>
        <w:rPr>
          <w:rFonts w:ascii="Arial" w:cs="Arial" w:eastAsia="Arial" w:hAnsi="Arial"/>
          <w:sz w:val="18"/>
          <w:szCs w:val="18"/>
          <w:color w:val="auto"/>
        </w:rPr>
        <w:t>HHMI is not a party to this Agreement and has no liability to Company or any licensee, sublicensee, or</w:t>
      </w:r>
      <w:r>
        <w:rPr>
          <w:rFonts w:ascii="Arial" w:cs="Arial" w:eastAsia="Arial" w:hAnsi="Arial"/>
          <w:sz w:val="18"/>
          <w:szCs w:val="18"/>
          <w:b w:val="1"/>
          <w:bCs w:val="1"/>
          <w:color w:val="auto"/>
        </w:rPr>
        <w:t xml:space="preserve"> </w:t>
      </w:r>
      <w:r>
        <w:rPr>
          <w:rFonts w:ascii="Arial" w:cs="Arial" w:eastAsia="Arial" w:hAnsi="Arial"/>
          <w:sz w:val="18"/>
          <w:szCs w:val="18"/>
          <w:color w:val="auto"/>
        </w:rPr>
        <w:t>user of anything covered by this Agreement, but HHMI is an intended third-party beneficiary of this Agreement and certain of its provisions are for the benefit of HHMI and are enforceable by HHMI in its own name.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intentionally left blank; 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this Agreement to be executed by their duly authorized representatives as of the date first written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AND FELLOWS OF HARVARD COLLEGE: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BROAD INSTITUTE,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EDITAS MEDICINE,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1.80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Institution Technology Transfer Materials</w:t>
      </w:r>
    </w:p>
    <w:p>
      <w:pPr>
        <w:sectPr>
          <w:pgSz w:w="11900" w:h="16838" w:orient="portrait"/>
          <w:cols w:equalWidth="0" w:num="1">
            <w:col w:w="11400"/>
          </w:cols>
          <w:pgMar w:left="240" w:top="125" w:right="259" w:bottom="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1.87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Exhibit 1.104</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Patent Rights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1.105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Patent Rights Categories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Development Milestones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11.1.4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Redacted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60" w:name="page361"/>
    <w:bookmarkEnd w:id="360"/>
    <w:p>
      <w:pPr>
        <w:spacing w:after="0"/>
        <w:rPr>
          <w:rFonts w:ascii="Arial" w:cs="Arial" w:eastAsia="Arial" w:hAnsi="Arial"/>
          <w:sz w:val="22"/>
          <w:szCs w:val="22"/>
          <w:color w:val="0000EE"/>
        </w:rPr>
      </w:pPr>
      <w:hyperlink w:anchor="page3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0" w:firstLine="611"/>
        <w:spacing w:after="0" w:line="33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October 16, 2015, except for Note 16(f), as to which the date is January 25, 2016, in the Registration Statement (Form S-1) and related Prospectus of Editas Medicine, Inc. dated January 25, 2016.</w:t>
      </w:r>
    </w:p>
    <w:p>
      <w:pPr>
        <w:spacing w:after="0" w:line="13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61" w:name="page362"/>
    <w:bookmarkEnd w:id="3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361">
        <w:r>
          <w:rPr>
            <w:rFonts w:ascii="Arial" w:cs="Arial" w:eastAsia="Arial" w:hAnsi="Arial"/>
            <w:sz w:val="18"/>
            <w:szCs w:val="18"/>
            <w:u w:val="single" w:color="auto"/>
            <w:color w:val="0000EE"/>
          </w:rPr>
          <w:t>Exhibit 23.1</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FF9D09"/>
    <w:multiLevelType w:val="hybridMultilevel"/>
    <w:lvl w:ilvl="0">
      <w:lvlJc w:val="left"/>
      <w:lvlText w:val="(%1)"/>
      <w:numFmt w:val="decimal"/>
      <w:start w:val="1"/>
    </w:lvl>
  </w:abstractNum>
  <w:abstractNum w:abstractNumId="1">
    <w:nsid w:val="754342"/>
    <w:multiLevelType w:val="hybridMultilevel"/>
    <w:lvl w:ilvl="0">
      <w:lvlJc w:val="left"/>
      <w:lvlText w:val="(%1)"/>
      <w:numFmt w:val="decimal"/>
      <w:start w:val="1"/>
    </w:lvl>
  </w:abstractNum>
  <w:abstractNum w:abstractNumId="2">
    <w:nsid w:val="69E7F3E5"/>
    <w:multiLevelType w:val="hybridMultilevel"/>
    <w:lvl w:ilvl="0">
      <w:lvlJc w:val="left"/>
      <w:lvlText w:val="•"/>
      <w:numFmt w:val="bullet"/>
      <w:start w:val="1"/>
    </w:lvl>
  </w:abstractNum>
  <w:abstractNum w:abstractNumId="3">
    <w:nsid w:val="2A6DE806"/>
    <w:multiLevelType w:val="hybridMultilevel"/>
    <w:lvl w:ilvl="0">
      <w:lvlJc w:val="left"/>
      <w:lvlText w:val="•"/>
      <w:numFmt w:val="bullet"/>
      <w:start w:val="1"/>
    </w:lvl>
  </w:abstractNum>
  <w:abstractNum w:abstractNumId="4">
    <w:nsid w:val="1816F8C4"/>
    <w:multiLevelType w:val="hybridMultilevel"/>
    <w:lvl w:ilvl="0">
      <w:lvlJc w:val="left"/>
      <w:lvlText w:val="•"/>
      <w:numFmt w:val="bullet"/>
      <w:start w:val="1"/>
    </w:lvl>
  </w:abstractNum>
  <w:abstractNum w:abstractNumId="5">
    <w:nsid w:val="37DF2233"/>
    <w:multiLevelType w:val="hybridMultilevel"/>
    <w:lvl w:ilvl="0">
      <w:lvlJc w:val="left"/>
      <w:lvlText w:val="•"/>
      <w:numFmt w:val="bullet"/>
      <w:start w:val="1"/>
    </w:lvl>
  </w:abstractNum>
  <w:abstractNum w:abstractNumId="6">
    <w:nsid w:val="7AB49DAF"/>
    <w:multiLevelType w:val="hybridMultilevel"/>
    <w:lvl w:ilvl="0">
      <w:lvlJc w:val="left"/>
      <w:lvlText w:val="•"/>
      <w:numFmt w:val="bullet"/>
      <w:start w:val="1"/>
    </w:lvl>
  </w:abstractNum>
  <w:abstractNum w:abstractNumId="7">
    <w:nsid w:val="759F82CD"/>
    <w:multiLevelType w:val="hybridMultilevel"/>
    <w:lvl w:ilvl="0">
      <w:lvlJc w:val="left"/>
      <w:lvlText w:val="(%1)"/>
      <w:numFmt w:val="decimal"/>
      <w:start w:val="617"/>
    </w:lvl>
  </w:abstractNum>
  <w:abstractNum w:abstractNumId="8">
    <w:nsid w:val="61E74EA3"/>
    <w:multiLevelType w:val="hybridMultilevel"/>
    <w:lvl w:ilvl="0">
      <w:lvlJc w:val="left"/>
      <w:lvlText w:val="•"/>
      <w:numFmt w:val="bullet"/>
      <w:start w:val="1"/>
    </w:lvl>
  </w:abstractNum>
  <w:abstractNum w:abstractNumId="9">
    <w:nsid w:val="597B4D84"/>
    <w:multiLevelType w:val="hybridMultilevel"/>
    <w:lvl w:ilvl="0">
      <w:lvlJc w:val="left"/>
      <w:lvlText w:val="•"/>
      <w:numFmt w:val="bullet"/>
      <w:start w:val="1"/>
    </w:lvl>
  </w:abstractNum>
  <w:abstractNum w:abstractNumId="10">
    <w:nsid w:val="F819E7F"/>
    <w:multiLevelType w:val="hybridMultilevel"/>
    <w:lvl w:ilvl="0">
      <w:lvlJc w:val="left"/>
      <w:lvlText w:val="•"/>
      <w:numFmt w:val="bullet"/>
      <w:start w:val="1"/>
    </w:lvl>
  </w:abstractNum>
  <w:abstractNum w:abstractNumId="11">
    <w:nsid w:val="57C7D42D"/>
    <w:multiLevelType w:val="hybridMultilevel"/>
    <w:lvl w:ilvl="0">
      <w:lvlJc w:val="left"/>
      <w:lvlText w:val="•"/>
      <w:numFmt w:val="bullet"/>
      <w:start w:val="1"/>
    </w:lvl>
  </w:abstractNum>
  <w:abstractNum w:abstractNumId="12">
    <w:nsid w:val="312167AD"/>
    <w:multiLevelType w:val="hybridMultilevel"/>
    <w:lvl w:ilvl="0">
      <w:lvlJc w:val="left"/>
      <w:lvlText w:val="•"/>
      <w:numFmt w:val="bullet"/>
      <w:start w:val="1"/>
    </w:lvl>
  </w:abstractNum>
  <w:abstractNum w:abstractNumId="13">
    <w:nsid w:val="631B64D4"/>
    <w:multiLevelType w:val="hybridMultilevel"/>
    <w:lvl w:ilvl="0">
      <w:lvlJc w:val="left"/>
      <w:lvlText w:val="•"/>
      <w:numFmt w:val="bullet"/>
      <w:start w:val="1"/>
    </w:lvl>
  </w:abstractNum>
  <w:abstractNum w:abstractNumId="14">
    <w:nsid w:val="78B5E776"/>
    <w:multiLevelType w:val="hybridMultilevel"/>
    <w:lvl w:ilvl="0">
      <w:lvlJc w:val="left"/>
      <w:lvlText w:val="•"/>
      <w:numFmt w:val="bullet"/>
      <w:start w:val="1"/>
    </w:lvl>
  </w:abstractNum>
  <w:abstractNum w:abstractNumId="15">
    <w:nsid w:val="75486E47"/>
    <w:multiLevelType w:val="hybridMultilevel"/>
    <w:lvl w:ilvl="0">
      <w:lvlJc w:val="left"/>
      <w:lvlText w:val="•"/>
      <w:numFmt w:val="bullet"/>
      <w:start w:val="1"/>
    </w:lvl>
  </w:abstractNum>
  <w:abstractNum w:abstractNumId="16">
    <w:nsid w:val="6E534CDE"/>
    <w:multiLevelType w:val="hybridMultilevel"/>
    <w:lvl w:ilvl="0">
      <w:lvlJc w:val="left"/>
      <w:lvlText w:val="•"/>
      <w:numFmt w:val="bullet"/>
      <w:start w:val="1"/>
    </w:lvl>
  </w:abstractNum>
  <w:abstractNum w:abstractNumId="17">
    <w:nsid w:val="1A0DDE32"/>
    <w:multiLevelType w:val="hybridMultilevel"/>
    <w:lvl w:ilvl="0">
      <w:lvlJc w:val="left"/>
      <w:lvlText w:val="•"/>
      <w:numFmt w:val="bullet"/>
      <w:start w:val="1"/>
    </w:lvl>
  </w:abstractNum>
  <w:abstractNum w:abstractNumId="18">
    <w:nsid w:val="65968C1C"/>
    <w:multiLevelType w:val="hybridMultilevel"/>
    <w:lvl w:ilvl="0">
      <w:lvlJc w:val="left"/>
      <w:lvlText w:val="•"/>
      <w:numFmt w:val="bullet"/>
      <w:start w:val="1"/>
    </w:lvl>
  </w:abstractNum>
  <w:abstractNum w:abstractNumId="19">
    <w:nsid w:val="46263DEC"/>
    <w:multiLevelType w:val="hybridMultilevel"/>
    <w:lvl w:ilvl="0">
      <w:lvlJc w:val="left"/>
      <w:lvlText w:val="•"/>
      <w:numFmt w:val="bullet"/>
      <w:start w:val="1"/>
    </w:lvl>
  </w:abstractNum>
  <w:abstractNum w:abstractNumId="20">
    <w:nsid w:val="260D8C4A"/>
    <w:multiLevelType w:val="hybridMultilevel"/>
    <w:lvl w:ilvl="0">
      <w:lvlJc w:val="left"/>
      <w:lvlText w:val="•"/>
      <w:numFmt w:val="bullet"/>
      <w:start w:val="1"/>
    </w:lvl>
  </w:abstractNum>
  <w:abstractNum w:abstractNumId="21">
    <w:nsid w:val="73D4D3C4"/>
    <w:multiLevelType w:val="hybridMultilevel"/>
    <w:lvl w:ilvl="0">
      <w:lvlJc w:val="left"/>
      <w:lvlText w:val="•"/>
      <w:numFmt w:val="bullet"/>
      <w:start w:val="1"/>
    </w:lvl>
  </w:abstractNum>
  <w:abstractNum w:abstractNumId="22">
    <w:nsid w:val="746F2E30"/>
    <w:multiLevelType w:val="hybridMultilevel"/>
    <w:lvl w:ilvl="0">
      <w:lvlJc w:val="left"/>
      <w:lvlText w:val="•"/>
      <w:numFmt w:val="bullet"/>
      <w:start w:val="1"/>
    </w:lvl>
  </w:abstractNum>
  <w:abstractNum w:abstractNumId="23">
    <w:nsid w:val="6FDE8AF6"/>
    <w:multiLevelType w:val="hybridMultilevel"/>
    <w:lvl w:ilvl="0">
      <w:lvlJc w:val="left"/>
      <w:lvlText w:val="•"/>
      <w:numFmt w:val="bullet"/>
      <w:start w:val="1"/>
    </w:lvl>
  </w:abstractNum>
  <w:abstractNum w:abstractNumId="24">
    <w:nsid w:val="3FC32E20"/>
    <w:multiLevelType w:val="hybridMultilevel"/>
    <w:lvl w:ilvl="0">
      <w:lvlJc w:val="left"/>
      <w:lvlText w:val="•"/>
      <w:numFmt w:val="bullet"/>
      <w:start w:val="1"/>
    </w:lvl>
  </w:abstractNum>
  <w:abstractNum w:abstractNumId="25">
    <w:nsid w:val="49C0E823"/>
    <w:multiLevelType w:val="hybridMultilevel"/>
    <w:lvl w:ilvl="0">
      <w:lvlJc w:val="left"/>
      <w:lvlText w:val="•"/>
      <w:numFmt w:val="bullet"/>
      <w:start w:val="1"/>
    </w:lvl>
  </w:abstractNum>
  <w:abstractNum w:abstractNumId="26">
    <w:nsid w:val="14D53685"/>
    <w:multiLevelType w:val="hybridMultilevel"/>
    <w:lvl w:ilvl="0">
      <w:lvlJc w:val="left"/>
      <w:lvlText w:val="•"/>
      <w:numFmt w:val="bullet"/>
      <w:start w:val="1"/>
    </w:lvl>
  </w:abstractNum>
  <w:abstractNum w:abstractNumId="27">
    <w:nsid w:val="230F856C"/>
    <w:multiLevelType w:val="hybridMultilevel"/>
    <w:lvl w:ilvl="0">
      <w:lvlJc w:val="left"/>
      <w:lvlText w:val="•"/>
      <w:numFmt w:val="bullet"/>
      <w:start w:val="1"/>
    </w:lvl>
  </w:abstractNum>
  <w:abstractNum w:abstractNumId="28">
    <w:nsid w:val="6EAA85FB"/>
    <w:multiLevelType w:val="hybridMultilevel"/>
    <w:lvl w:ilvl="0">
      <w:lvlJc w:val="left"/>
      <w:lvlText w:val="•"/>
      <w:numFmt w:val="bullet"/>
      <w:start w:val="1"/>
    </w:lvl>
  </w:abstractNum>
  <w:abstractNum w:abstractNumId="29">
    <w:nsid w:val="3F06ECB2"/>
    <w:multiLevelType w:val="hybridMultilevel"/>
    <w:lvl w:ilvl="0">
      <w:lvlJc w:val="left"/>
      <w:lvlText w:val="•"/>
      <w:numFmt w:val="bullet"/>
      <w:start w:val="1"/>
    </w:lvl>
  </w:abstractNum>
  <w:abstractNum w:abstractNumId="30">
    <w:nsid w:val="3B594807"/>
    <w:multiLevelType w:val="hybridMultilevel"/>
    <w:lvl w:ilvl="0">
      <w:lvlJc w:val="left"/>
      <w:lvlText w:val="•"/>
      <w:numFmt w:val="bullet"/>
      <w:start w:val="1"/>
    </w:lvl>
  </w:abstractNum>
  <w:abstractNum w:abstractNumId="31">
    <w:nsid w:val="6CAA2304"/>
    <w:multiLevelType w:val="hybridMultilevel"/>
    <w:lvl w:ilvl="0">
      <w:lvlJc w:val="left"/>
      <w:lvlText w:val="•"/>
      <w:numFmt w:val="bullet"/>
      <w:start w:val="1"/>
    </w:lvl>
  </w:abstractNum>
  <w:abstractNum w:abstractNumId="32">
    <w:nsid w:val="3F7C2FF4"/>
    <w:multiLevelType w:val="hybridMultilevel"/>
    <w:lvl w:ilvl="0">
      <w:lvlJc w:val="left"/>
      <w:lvlText w:val="•"/>
      <w:numFmt w:val="bullet"/>
      <w:start w:val="1"/>
    </w:lvl>
  </w:abstractNum>
  <w:abstractNum w:abstractNumId="33">
    <w:nsid w:val="25413BEC"/>
    <w:multiLevelType w:val="hybridMultilevel"/>
    <w:lvl w:ilvl="0">
      <w:lvlJc w:val="left"/>
      <w:lvlText w:val="•"/>
      <w:numFmt w:val="bullet"/>
      <w:start w:val="1"/>
    </w:lvl>
  </w:abstractNum>
  <w:abstractNum w:abstractNumId="34">
    <w:nsid w:val="17180B0B"/>
    <w:multiLevelType w:val="hybridMultilevel"/>
    <w:lvl w:ilvl="0">
      <w:lvlJc w:val="left"/>
      <w:lvlText w:val="•"/>
      <w:numFmt w:val="bullet"/>
      <w:start w:val="1"/>
    </w:lvl>
  </w:abstractNum>
  <w:abstractNum w:abstractNumId="35">
    <w:nsid w:val="579328B9"/>
    <w:multiLevelType w:val="hybridMultilevel"/>
    <w:lvl w:ilvl="0">
      <w:lvlJc w:val="left"/>
      <w:lvlText w:val="•"/>
      <w:numFmt w:val="bullet"/>
      <w:start w:val="1"/>
    </w:lvl>
  </w:abstractNum>
  <w:abstractNum w:abstractNumId="36">
    <w:nsid w:val="5D205E20"/>
    <w:multiLevelType w:val="hybridMultilevel"/>
    <w:lvl w:ilvl="0">
      <w:lvlJc w:val="left"/>
      <w:lvlText w:val="•"/>
      <w:numFmt w:val="bullet"/>
      <w:start w:val="1"/>
    </w:lvl>
  </w:abstractNum>
  <w:abstractNum w:abstractNumId="37">
    <w:nsid w:val="11CCA8BA"/>
    <w:multiLevelType w:val="hybridMultilevel"/>
    <w:lvl w:ilvl="0">
      <w:lvlJc w:val="left"/>
      <w:lvlText w:val="•"/>
      <w:numFmt w:val="bullet"/>
      <w:start w:val="1"/>
    </w:lvl>
  </w:abstractNum>
  <w:abstractNum w:abstractNumId="38">
    <w:nsid w:val="4D32AB86"/>
    <w:multiLevelType w:val="hybridMultilevel"/>
    <w:lvl w:ilvl="0">
      <w:lvlJc w:val="left"/>
      <w:lvlText w:val="•"/>
      <w:numFmt w:val="bullet"/>
      <w:start w:val="1"/>
    </w:lvl>
  </w:abstractNum>
  <w:abstractNum w:abstractNumId="39">
    <w:nsid w:val="3F07ACC3"/>
    <w:multiLevelType w:val="hybridMultilevel"/>
    <w:lvl w:ilvl="0">
      <w:lvlJc w:val="left"/>
      <w:lvlText w:val="•"/>
      <w:numFmt w:val="bullet"/>
      <w:start w:val="1"/>
    </w:lvl>
  </w:abstractNum>
  <w:abstractNum w:abstractNumId="40">
    <w:nsid w:val="6B47F63E"/>
    <w:multiLevelType w:val="hybridMultilevel"/>
    <w:lvl w:ilvl="0">
      <w:lvlJc w:val="left"/>
      <w:lvlText w:val="•"/>
      <w:numFmt w:val="bullet"/>
      <w:start w:val="1"/>
    </w:lvl>
  </w:abstractNum>
  <w:abstractNum w:abstractNumId="41">
    <w:nsid w:val="5CB44A05"/>
    <w:multiLevelType w:val="hybridMultilevel"/>
    <w:lvl w:ilvl="0">
      <w:lvlJc w:val="left"/>
      <w:lvlText w:val="•"/>
      <w:numFmt w:val="bullet"/>
      <w:start w:val="1"/>
    </w:lvl>
  </w:abstractNum>
  <w:abstractNum w:abstractNumId="42">
    <w:nsid w:val="16CF80F1"/>
    <w:multiLevelType w:val="hybridMultilevel"/>
    <w:lvl w:ilvl="0">
      <w:lvlJc w:val="left"/>
      <w:lvlText w:val="•"/>
      <w:numFmt w:val="bullet"/>
      <w:start w:val="1"/>
    </w:lvl>
  </w:abstractNum>
  <w:abstractNum w:abstractNumId="43">
    <w:nsid w:val="1C695DEC"/>
    <w:multiLevelType w:val="hybridMultilevel"/>
    <w:lvl w:ilvl="0">
      <w:lvlJc w:val="left"/>
      <w:lvlText w:val="•"/>
      <w:numFmt w:val="bullet"/>
      <w:start w:val="1"/>
    </w:lvl>
  </w:abstractNum>
  <w:abstractNum w:abstractNumId="44">
    <w:nsid w:val="3FCFAED9"/>
    <w:multiLevelType w:val="hybridMultilevel"/>
    <w:lvl w:ilvl="0">
      <w:lvlJc w:val="left"/>
      <w:lvlText w:val="•"/>
      <w:numFmt w:val="bullet"/>
      <w:start w:val="1"/>
    </w:lvl>
  </w:abstractNum>
  <w:abstractNum w:abstractNumId="45">
    <w:nsid w:val="F856867"/>
    <w:multiLevelType w:val="hybridMultilevel"/>
    <w:lvl w:ilvl="0">
      <w:lvlJc w:val="left"/>
      <w:lvlText w:val="•"/>
      <w:numFmt w:val="bullet"/>
      <w:start w:val="1"/>
    </w:lvl>
  </w:abstractNum>
  <w:abstractNum w:abstractNumId="46">
    <w:nsid w:val="11B1CC33"/>
    <w:multiLevelType w:val="hybridMultilevel"/>
    <w:lvl w:ilvl="0">
      <w:lvlJc w:val="left"/>
      <w:lvlText w:val="•"/>
      <w:numFmt w:val="bullet"/>
      <w:start w:val="1"/>
    </w:lvl>
  </w:abstractNum>
  <w:abstractNum w:abstractNumId="47">
    <w:nsid w:val="2E22FBB7"/>
    <w:multiLevelType w:val="hybridMultilevel"/>
    <w:lvl w:ilvl="0">
      <w:lvlJc w:val="left"/>
      <w:lvlText w:val="•"/>
      <w:numFmt w:val="bullet"/>
      <w:start w:val="1"/>
    </w:lvl>
  </w:abstractNum>
  <w:abstractNum w:abstractNumId="48">
    <w:nsid w:val="29934699"/>
    <w:multiLevelType w:val="hybridMultilevel"/>
    <w:lvl w:ilvl="0">
      <w:lvlJc w:val="left"/>
      <w:lvlText w:val="•"/>
      <w:numFmt w:val="bullet"/>
      <w:start w:val="1"/>
    </w:lvl>
  </w:abstractNum>
  <w:abstractNum w:abstractNumId="49">
    <w:nsid w:val="77485850"/>
    <w:multiLevelType w:val="hybridMultilevel"/>
    <w:lvl w:ilvl="0">
      <w:lvlJc w:val="left"/>
      <w:lvlText w:val="•"/>
      <w:numFmt w:val="bullet"/>
      <w:start w:val="1"/>
    </w:lvl>
  </w:abstractNum>
  <w:abstractNum w:abstractNumId="50">
    <w:nsid w:val="744939A3"/>
    <w:multiLevelType w:val="hybridMultilevel"/>
    <w:lvl w:ilvl="0">
      <w:lvlJc w:val="left"/>
      <w:lvlText w:val="(%1)"/>
      <w:numFmt w:val="decimal"/>
      <w:start w:val="1"/>
    </w:lvl>
  </w:abstractNum>
  <w:abstractNum w:abstractNumId="51">
    <w:nsid w:val="4FA0D2E3"/>
    <w:multiLevelType w:val="hybridMultilevel"/>
    <w:lvl w:ilvl="0">
      <w:lvlJc w:val="left"/>
      <w:lvlText w:val="•"/>
      <w:numFmt w:val="bullet"/>
      <w:start w:val="1"/>
    </w:lvl>
  </w:abstractNum>
  <w:abstractNum w:abstractNumId="52">
    <w:nsid w:val="6B1D2C14"/>
    <w:multiLevelType w:val="hybridMultilevel"/>
    <w:lvl w:ilvl="0">
      <w:lvlJc w:val="left"/>
      <w:lvlText w:val="•"/>
      <w:numFmt w:val="bullet"/>
      <w:start w:val="1"/>
    </w:lvl>
  </w:abstractNum>
  <w:abstractNum w:abstractNumId="53">
    <w:nsid w:val="68B867D3"/>
    <w:multiLevelType w:val="hybridMultilevel"/>
    <w:lvl w:ilvl="0">
      <w:lvlJc w:val="left"/>
      <w:lvlText w:val="•"/>
      <w:numFmt w:val="bullet"/>
      <w:start w:val="1"/>
    </w:lvl>
  </w:abstractNum>
  <w:abstractNum w:abstractNumId="54">
    <w:nsid w:val="3F7F5DD9"/>
    <w:multiLevelType w:val="hybridMultilevel"/>
    <w:lvl w:ilvl="0">
      <w:lvlJc w:val="left"/>
      <w:lvlText w:val="•"/>
      <w:numFmt w:val="bullet"/>
      <w:start w:val="1"/>
    </w:lvl>
  </w:abstractNum>
  <w:abstractNum w:abstractNumId="55">
    <w:nsid w:val="2AE05A34"/>
    <w:multiLevelType w:val="hybridMultilevel"/>
    <w:lvl w:ilvl="0">
      <w:lvlJc w:val="left"/>
      <w:lvlText w:val="(%1)"/>
      <w:numFmt w:val="lowerRoman"/>
      <w:start w:val="1"/>
    </w:lvl>
  </w:abstractNum>
  <w:abstractNum w:abstractNumId="56">
    <w:nsid w:val="32794FF7"/>
    <w:multiLevelType w:val="hybridMultilevel"/>
    <w:lvl w:ilvl="0">
      <w:lvlJc w:val="left"/>
      <w:lvlText w:val="(%1)"/>
      <w:numFmt w:val="decimal"/>
      <w:start w:val="1"/>
    </w:lvl>
  </w:abstractNum>
  <w:abstractNum w:abstractNumId="57">
    <w:nsid w:val="5454945E"/>
    <w:multiLevelType w:val="hybridMultilevel"/>
    <w:lvl w:ilvl="0">
      <w:lvlJc w:val="left"/>
      <w:lvlText w:val="•"/>
      <w:numFmt w:val="bullet"/>
      <w:start w:val="1"/>
    </w:lvl>
  </w:abstractNum>
  <w:abstractNum w:abstractNumId="58">
    <w:nsid w:val="4DEFDFA0"/>
    <w:multiLevelType w:val="hybridMultilevel"/>
    <w:lvl w:ilvl="0">
      <w:lvlJc w:val="left"/>
      <w:lvlText w:val="•"/>
      <w:numFmt w:val="bullet"/>
      <w:start w:val="1"/>
    </w:lvl>
  </w:abstractNum>
  <w:abstractNum w:abstractNumId="59">
    <w:nsid w:val="2123D5F2"/>
    <w:multiLevelType w:val="hybridMultilevel"/>
    <w:lvl w:ilvl="0">
      <w:lvlJc w:val="left"/>
      <w:lvlText w:val="•"/>
      <w:numFmt w:val="bullet"/>
      <w:start w:val="1"/>
    </w:lvl>
  </w:abstractNum>
  <w:abstractNum w:abstractNumId="60">
    <w:nsid w:val="135B8110"/>
    <w:multiLevelType w:val="hybridMultilevel"/>
    <w:lvl w:ilvl="0">
      <w:lvlJc w:val="left"/>
      <w:lvlText w:val="•"/>
      <w:numFmt w:val="bullet"/>
      <w:start w:val="1"/>
    </w:lvl>
  </w:abstractNum>
  <w:abstractNum w:abstractNumId="61">
    <w:nsid w:val="94927A8"/>
    <w:multiLevelType w:val="hybridMultilevel"/>
    <w:lvl w:ilvl="0">
      <w:lvlJc w:val="left"/>
      <w:lvlText w:val="•"/>
      <w:numFmt w:val="bullet"/>
      <w:start w:val="1"/>
    </w:lvl>
  </w:abstractNum>
  <w:abstractNum w:abstractNumId="62">
    <w:nsid w:val="DCDF8F6"/>
    <w:multiLevelType w:val="hybridMultilevel"/>
    <w:lvl w:ilvl="0">
      <w:lvlJc w:val="left"/>
      <w:lvlText w:val="•"/>
      <w:numFmt w:val="bullet"/>
      <w:start w:val="1"/>
    </w:lvl>
  </w:abstractNum>
  <w:abstractNum w:abstractNumId="63">
    <w:nsid w:val="52D7B105"/>
    <w:multiLevelType w:val="hybridMultilevel"/>
    <w:lvl w:ilvl="0">
      <w:lvlJc w:val="left"/>
      <w:lvlText w:val="(%1)"/>
      <w:numFmt w:val="decimal"/>
      <w:start w:val="1"/>
    </w:lvl>
  </w:abstractNum>
  <w:abstractNum w:abstractNumId="64">
    <w:nsid w:val="2E8A6394"/>
    <w:multiLevelType w:val="hybridMultilevel"/>
    <w:lvl w:ilvl="0">
      <w:lvlJc w:val="left"/>
      <w:lvlText w:val="•"/>
      <w:numFmt w:val="bullet"/>
      <w:start w:val="1"/>
    </w:lvl>
  </w:abstractNum>
  <w:abstractNum w:abstractNumId="65">
    <w:nsid w:val="24E60401"/>
    <w:multiLevelType w:val="hybridMultilevel"/>
    <w:lvl w:ilvl="0">
      <w:lvlJc w:val="left"/>
      <w:lvlText w:val="•"/>
      <w:numFmt w:val="bullet"/>
      <w:start w:val="1"/>
    </w:lvl>
  </w:abstractNum>
  <w:abstractNum w:abstractNumId="66">
    <w:nsid w:val="2A6AD9BE"/>
    <w:multiLevelType w:val="hybridMultilevel"/>
    <w:lvl w:ilvl="0">
      <w:lvlJc w:val="left"/>
      <w:lvlText w:val="•"/>
      <w:numFmt w:val="bullet"/>
      <w:start w:val="1"/>
    </w:lvl>
  </w:abstractNum>
  <w:abstractNum w:abstractNumId="67">
    <w:nsid w:val="BAAC1B4"/>
    <w:multiLevelType w:val="hybridMultilevel"/>
    <w:lvl w:ilvl="0">
      <w:lvlJc w:val="left"/>
      <w:lvlText w:val="•"/>
      <w:numFmt w:val="bullet"/>
      <w:start w:val="1"/>
    </w:lvl>
  </w:abstractNum>
  <w:abstractNum w:abstractNumId="68">
    <w:nsid w:val="36B2ACBC"/>
    <w:multiLevelType w:val="hybridMultilevel"/>
    <w:lvl w:ilvl="0">
      <w:lvlJc w:val="left"/>
      <w:lvlText w:val="•"/>
      <w:numFmt w:val="bullet"/>
      <w:start w:val="1"/>
    </w:lvl>
  </w:abstractNum>
  <w:abstractNum w:abstractNumId="69">
    <w:nsid w:val="779D8544"/>
    <w:multiLevelType w:val="hybridMultilevel"/>
    <w:lvl w:ilvl="0">
      <w:lvlJc w:val="left"/>
      <w:lvlText w:val="•"/>
      <w:numFmt w:val="bullet"/>
      <w:start w:val="1"/>
    </w:lvl>
  </w:abstractNum>
  <w:abstractNum w:abstractNumId="70">
    <w:nsid w:val="4AB26E78"/>
    <w:multiLevelType w:val="hybridMultilevel"/>
    <w:lvl w:ilvl="0">
      <w:lvlJc w:val="left"/>
      <w:lvlText w:val="•"/>
      <w:numFmt w:val="bullet"/>
      <w:start w:val="1"/>
    </w:lvl>
  </w:abstractNum>
  <w:abstractNum w:abstractNumId="71">
    <w:nsid w:val="21FAA2FA"/>
    <w:multiLevelType w:val="hybridMultilevel"/>
    <w:lvl w:ilvl="0">
      <w:lvlJc w:val="left"/>
      <w:lvlText w:val="•"/>
      <w:numFmt w:val="bullet"/>
      <w:start w:val="1"/>
    </w:lvl>
  </w:abstractNum>
  <w:abstractNum w:abstractNumId="72">
    <w:nsid w:val="5451CF49"/>
    <w:multiLevelType w:val="hybridMultilevel"/>
    <w:lvl w:ilvl="0">
      <w:lvlJc w:val="left"/>
      <w:lvlText w:val="•"/>
      <w:numFmt w:val="bullet"/>
      <w:start w:val="1"/>
    </w:lvl>
  </w:abstractNum>
  <w:abstractNum w:abstractNumId="73">
    <w:nsid w:val="6181EF69"/>
    <w:multiLevelType w:val="hybridMultilevel"/>
    <w:lvl w:ilvl="0">
      <w:lvlJc w:val="left"/>
      <w:lvlText w:val="•"/>
      <w:numFmt w:val="bullet"/>
      <w:start w:val="1"/>
    </w:lvl>
  </w:abstractNum>
  <w:abstractNum w:abstractNumId="74">
    <w:nsid w:val="3E6400E6"/>
    <w:multiLevelType w:val="hybridMultilevel"/>
    <w:lvl w:ilvl="0">
      <w:lvlJc w:val="left"/>
      <w:lvlText w:val="•"/>
      <w:numFmt w:val="bullet"/>
      <w:start w:val="1"/>
    </w:lvl>
  </w:abstractNum>
  <w:abstractNum w:abstractNumId="75">
    <w:nsid w:val="14217E23"/>
    <w:multiLevelType w:val="hybridMultilevel"/>
    <w:lvl w:ilvl="0">
      <w:lvlJc w:val="left"/>
      <w:lvlText w:val="•"/>
      <w:numFmt w:val="bullet"/>
      <w:start w:val="1"/>
    </w:lvl>
  </w:abstractNum>
  <w:abstractNum w:abstractNumId="76">
    <w:nsid w:val="710757D0"/>
    <w:multiLevelType w:val="hybridMultilevel"/>
    <w:lvl w:ilvl="0">
      <w:lvlJc w:val="left"/>
      <w:lvlText w:val="•"/>
      <w:numFmt w:val="bullet"/>
      <w:start w:val="1"/>
    </w:lvl>
  </w:abstractNum>
  <w:abstractNum w:abstractNumId="77">
    <w:nsid w:val="5015CD1A"/>
    <w:multiLevelType w:val="hybridMultilevel"/>
    <w:lvl w:ilvl="0">
      <w:lvlJc w:val="left"/>
      <w:lvlText w:val="•"/>
      <w:numFmt w:val="bullet"/>
      <w:start w:val="1"/>
    </w:lvl>
  </w:abstractNum>
  <w:abstractNum w:abstractNumId="78">
    <w:nsid w:val="424479DA"/>
    <w:multiLevelType w:val="hybridMultilevel"/>
    <w:lvl w:ilvl="0">
      <w:lvlJc w:val="left"/>
      <w:lvlText w:val="•"/>
      <w:numFmt w:val="bullet"/>
      <w:start w:val="1"/>
    </w:lvl>
  </w:abstractNum>
  <w:abstractNum w:abstractNumId="79">
    <w:nsid w:val="1A9A9E69"/>
    <w:multiLevelType w:val="hybridMultilevel"/>
    <w:lvl w:ilvl="0">
      <w:lvlJc w:val="left"/>
      <w:lvlText w:val="•"/>
      <w:numFmt w:val="bullet"/>
      <w:start w:val="1"/>
    </w:lvl>
  </w:abstractNum>
  <w:abstractNum w:abstractNumId="80">
    <w:nsid w:val="475E256A"/>
    <w:multiLevelType w:val="hybridMultilevel"/>
    <w:lvl w:ilvl="0">
      <w:lvlJc w:val="left"/>
      <w:lvlText w:val="•"/>
      <w:numFmt w:val="bullet"/>
      <w:start w:val="1"/>
    </w:lvl>
  </w:abstractNum>
  <w:abstractNum w:abstractNumId="81">
    <w:nsid w:val="368DB37E"/>
    <w:multiLevelType w:val="hybridMultilevel"/>
    <w:lvl w:ilvl="0">
      <w:lvlJc w:val="left"/>
      <w:lvlText w:val="•"/>
      <w:numFmt w:val="bullet"/>
      <w:start w:val="1"/>
    </w:lvl>
  </w:abstractNum>
  <w:abstractNum w:abstractNumId="82">
    <w:nsid w:val="6A3B714C"/>
    <w:multiLevelType w:val="hybridMultilevel"/>
    <w:lvl w:ilvl="0">
      <w:lvlJc w:val="left"/>
      <w:lvlText w:val="•"/>
      <w:numFmt w:val="bullet"/>
      <w:start w:val="1"/>
    </w:lvl>
  </w:abstractNum>
  <w:abstractNum w:abstractNumId="83">
    <w:nsid w:val="327B517E"/>
    <w:multiLevelType w:val="hybridMultilevel"/>
    <w:lvl w:ilvl="0">
      <w:lvlJc w:val="left"/>
      <w:lvlText w:val="•"/>
      <w:numFmt w:val="bullet"/>
      <w:start w:val="1"/>
    </w:lvl>
  </w:abstractNum>
  <w:abstractNum w:abstractNumId="84">
    <w:nsid w:val="1F461B51"/>
    <w:multiLevelType w:val="hybridMultilevel"/>
    <w:lvl w:ilvl="0">
      <w:lvlJc w:val="left"/>
      <w:lvlText w:val="•"/>
      <w:numFmt w:val="bullet"/>
      <w:start w:val="1"/>
    </w:lvl>
  </w:abstractNum>
  <w:abstractNum w:abstractNumId="85">
    <w:nsid w:val="29BACF25"/>
    <w:multiLevelType w:val="hybridMultilevel"/>
    <w:lvl w:ilvl="0">
      <w:lvlJc w:val="left"/>
      <w:lvlText w:val="•"/>
      <w:numFmt w:val="bullet"/>
      <w:start w:val="1"/>
    </w:lvl>
  </w:abstractNum>
  <w:abstractNum w:abstractNumId="86">
    <w:nsid w:val="5D5BABB3"/>
    <w:multiLevelType w:val="hybridMultilevel"/>
    <w:lvl w:ilvl="0">
      <w:lvlJc w:val="left"/>
      <w:lvlText w:val="•"/>
      <w:numFmt w:val="bullet"/>
      <w:start w:val="1"/>
    </w:lvl>
  </w:abstractNum>
  <w:abstractNum w:abstractNumId="87">
    <w:nsid w:val="51BF6B48"/>
    <w:multiLevelType w:val="hybridMultilevel"/>
    <w:lvl w:ilvl="0">
      <w:lvlJc w:val="left"/>
      <w:lvlText w:val="•"/>
      <w:numFmt w:val="bullet"/>
      <w:start w:val="1"/>
    </w:lvl>
  </w:abstractNum>
  <w:abstractNum w:abstractNumId="88">
    <w:nsid w:val="7E0F6384"/>
    <w:multiLevelType w:val="hybridMultilevel"/>
    <w:lvl w:ilvl="0">
      <w:lvlJc w:val="left"/>
      <w:lvlText w:val="•"/>
      <w:numFmt w:val="bullet"/>
      <w:start w:val="1"/>
    </w:lvl>
  </w:abstractNum>
  <w:abstractNum w:abstractNumId="89">
    <w:nsid w:val="2B4B8B53"/>
    <w:multiLevelType w:val="hybridMultilevel"/>
    <w:lvl w:ilvl="0">
      <w:lvlJc w:val="left"/>
      <w:lvlText w:val="•"/>
      <w:numFmt w:val="bullet"/>
      <w:start w:val="1"/>
    </w:lvl>
  </w:abstractNum>
  <w:abstractNum w:abstractNumId="90">
    <w:nsid w:val="72E3413A"/>
    <w:multiLevelType w:val="hybridMultilevel"/>
    <w:lvl w:ilvl="0">
      <w:lvlJc w:val="left"/>
      <w:lvlText w:val="•"/>
      <w:numFmt w:val="bullet"/>
      <w:start w:val="1"/>
    </w:lvl>
  </w:abstractNum>
  <w:abstractNum w:abstractNumId="91">
    <w:nsid w:val="116AE494"/>
    <w:multiLevelType w:val="hybridMultilevel"/>
    <w:lvl w:ilvl="0">
      <w:lvlJc w:val="left"/>
      <w:lvlText w:val="•"/>
      <w:numFmt w:val="bullet"/>
      <w:start w:val="1"/>
    </w:lvl>
  </w:abstractNum>
  <w:abstractNum w:abstractNumId="92">
    <w:nsid w:val="3494B2FB"/>
    <w:multiLevelType w:val="hybridMultilevel"/>
    <w:lvl w:ilvl="0">
      <w:lvlJc w:val="left"/>
      <w:lvlText w:val="(%1)"/>
      <w:numFmt w:val="decimal"/>
      <w:start w:val="1"/>
    </w:lvl>
  </w:abstractNum>
  <w:abstractNum w:abstractNumId="93">
    <w:nsid w:val="B13A31"/>
    <w:multiLevelType w:val="hybridMultilevel"/>
    <w:lvl w:ilvl="0">
      <w:lvlJc w:val="left"/>
      <w:lvlText w:val="(%1)"/>
      <w:numFmt w:val="decimal"/>
      <w:start w:val="1"/>
    </w:lvl>
  </w:abstractNum>
  <w:abstractNum w:abstractNumId="94">
    <w:nsid w:val="64429599"/>
    <w:multiLevelType w:val="hybridMultilevel"/>
    <w:lvl w:ilvl="0">
      <w:lvlJc w:val="left"/>
      <w:lvlText w:val="(%1)"/>
      <w:numFmt w:val="lowerRoman"/>
      <w:start w:val="2"/>
    </w:lvl>
  </w:abstractNum>
  <w:abstractNum w:abstractNumId="95">
    <w:nsid w:val="631F1690"/>
    <w:multiLevelType w:val="hybridMultilevel"/>
    <w:lvl w:ilvl="0">
      <w:lvlJc w:val="left"/>
      <w:lvlText w:val="•"/>
      <w:numFmt w:val="bullet"/>
      <w:start w:val="1"/>
    </w:lvl>
  </w:abstractNum>
  <w:abstractNum w:abstractNumId="96">
    <w:nsid w:val="25973E32"/>
    <w:multiLevelType w:val="hybridMultilevel"/>
    <w:lvl w:ilvl="0">
      <w:lvlJc w:val="left"/>
      <w:lvlText w:val="•"/>
      <w:numFmt w:val="bullet"/>
      <w:start w:val="1"/>
    </w:lvl>
  </w:abstractNum>
  <w:abstractNum w:abstractNumId="97">
    <w:nsid w:val="EAD6F57"/>
    <w:multiLevelType w:val="hybridMultilevel"/>
    <w:lvl w:ilvl="0">
      <w:lvlJc w:val="left"/>
      <w:lvlText w:val="•"/>
      <w:numFmt w:val="bullet"/>
      <w:start w:val="1"/>
    </w:lvl>
  </w:abstractNum>
  <w:abstractNum w:abstractNumId="98">
    <w:nsid w:val="6EC9D844"/>
    <w:multiLevelType w:val="hybridMultilevel"/>
    <w:lvl w:ilvl="0">
      <w:lvlJc w:val="left"/>
      <w:lvlText w:val="•"/>
      <w:numFmt w:val="bullet"/>
      <w:start w:val="1"/>
    </w:lvl>
  </w:abstractNum>
  <w:abstractNum w:abstractNumId="99">
    <w:nsid w:val="5C49EAEE"/>
    <w:multiLevelType w:val="hybridMultilevel"/>
    <w:lvl w:ilvl="0">
      <w:lvlJc w:val="left"/>
      <w:lvlText w:val="•"/>
      <w:numFmt w:val="bullet"/>
      <w:start w:val="1"/>
    </w:lvl>
  </w:abstractNum>
  <w:abstractNum w:abstractNumId="100">
    <w:nsid w:val="64AF49B"/>
    <w:multiLevelType w:val="hybridMultilevel"/>
    <w:lvl w:ilvl="0">
      <w:lvlJc w:val="left"/>
      <w:lvlText w:val="•"/>
      <w:numFmt w:val="bullet"/>
      <w:start w:val="1"/>
    </w:lvl>
  </w:abstractNum>
  <w:abstractNum w:abstractNumId="101">
    <w:nsid w:val="397C46BC"/>
    <w:multiLevelType w:val="hybridMultilevel"/>
    <w:lvl w:ilvl="0">
      <w:lvlJc w:val="left"/>
      <w:lvlText w:val="•"/>
      <w:numFmt w:val="bullet"/>
      <w:start w:val="1"/>
    </w:lvl>
  </w:abstractNum>
  <w:abstractNum w:abstractNumId="102">
    <w:nsid w:val="7E448DE9"/>
    <w:multiLevelType w:val="hybridMultilevel"/>
    <w:lvl w:ilvl="0">
      <w:lvlJc w:val="left"/>
      <w:lvlText w:val="•"/>
      <w:numFmt w:val="bullet"/>
      <w:start w:val="1"/>
    </w:lvl>
  </w:abstractNum>
  <w:abstractNum w:abstractNumId="103">
    <w:nsid w:val="5A9CC3E5"/>
    <w:multiLevelType w:val="hybridMultilevel"/>
    <w:lvl w:ilvl="0">
      <w:lvlJc w:val="left"/>
      <w:lvlText w:val="•"/>
      <w:numFmt w:val="bullet"/>
      <w:start w:val="1"/>
    </w:lvl>
  </w:abstractNum>
  <w:abstractNum w:abstractNumId="104">
    <w:nsid w:val="1AFE3625"/>
    <w:multiLevelType w:val="hybridMultilevel"/>
    <w:lvl w:ilvl="0">
      <w:lvlJc w:val="left"/>
      <w:lvlText w:val="•"/>
      <w:numFmt w:val="bullet"/>
      <w:start w:val="1"/>
    </w:lvl>
  </w:abstractNum>
  <w:abstractNum w:abstractNumId="105">
    <w:nsid w:val="3CA88ECF"/>
    <w:multiLevelType w:val="hybridMultilevel"/>
    <w:lvl w:ilvl="0">
      <w:lvlJc w:val="left"/>
      <w:lvlText w:val="•"/>
      <w:numFmt w:val="bullet"/>
      <w:start w:val="1"/>
    </w:lvl>
  </w:abstractNum>
  <w:abstractNum w:abstractNumId="106">
    <w:nsid w:val="6EBE4208"/>
    <w:multiLevelType w:val="hybridMultilevel"/>
    <w:lvl w:ilvl="0">
      <w:lvlJc w:val="left"/>
      <w:lvlText w:val="•"/>
      <w:numFmt w:val="bullet"/>
      <w:start w:val="1"/>
    </w:lvl>
  </w:abstractNum>
  <w:abstractNum w:abstractNumId="107">
    <w:nsid w:val="C058DF5"/>
    <w:multiLevelType w:val="hybridMultilevel"/>
    <w:lvl w:ilvl="0">
      <w:lvlJc w:val="left"/>
      <w:lvlText w:val="•"/>
      <w:numFmt w:val="bullet"/>
      <w:start w:val="1"/>
    </w:lvl>
  </w:abstractNum>
  <w:abstractNum w:abstractNumId="108">
    <w:nsid w:val="CBE5BE9"/>
    <w:multiLevelType w:val="hybridMultilevel"/>
    <w:lvl w:ilvl="0">
      <w:lvlJc w:val="left"/>
      <w:lvlText w:val="(%1)"/>
      <w:numFmt w:val="decimal"/>
      <w:start w:val="1"/>
    </w:lvl>
  </w:abstractNum>
  <w:abstractNum w:abstractNumId="109">
    <w:nsid w:val="3102BBE2"/>
    <w:multiLevelType w:val="hybridMultilevel"/>
    <w:lvl w:ilvl="0">
      <w:lvlJc w:val="left"/>
      <w:lvlText w:val="(%1)"/>
      <w:numFmt w:val="decimal"/>
      <w:start w:val="1"/>
    </w:lvl>
    <w:lvl w:ilvl="1">
      <w:lvlJc w:val="left"/>
      <w:lvlText w:val="(%2)"/>
      <w:numFmt w:val="lowerRoman"/>
      <w:start w:val="7"/>
    </w:lvl>
  </w:abstractNum>
  <w:abstractNum w:abstractNumId="110">
    <w:nsid w:val="26A02C5E"/>
    <w:multiLevelType w:val="hybridMultilevel"/>
    <w:lvl w:ilvl="0">
      <w:lvlJc w:val="left"/>
      <w:lvlText w:val="•"/>
      <w:numFmt w:val="bullet"/>
      <w:start w:val="1"/>
    </w:lvl>
  </w:abstractNum>
  <w:abstractNum w:abstractNumId="111">
    <w:nsid w:val="541C8153"/>
    <w:multiLevelType w:val="hybridMultilevel"/>
    <w:lvl w:ilvl="0">
      <w:lvlJc w:val="left"/>
      <w:lvlText w:val="•"/>
      <w:numFmt w:val="bullet"/>
      <w:start w:val="1"/>
    </w:lvl>
  </w:abstractNum>
  <w:abstractNum w:abstractNumId="112">
    <w:nsid w:val="67906F60"/>
    <w:multiLevelType w:val="hybridMultilevel"/>
    <w:lvl w:ilvl="0">
      <w:lvlJc w:val="left"/>
      <w:lvlText w:val="•"/>
      <w:numFmt w:val="bullet"/>
      <w:start w:val="1"/>
    </w:lvl>
  </w:abstractNum>
  <w:abstractNum w:abstractNumId="113">
    <w:nsid w:val="10DB9DAA"/>
    <w:multiLevelType w:val="hybridMultilevel"/>
    <w:lvl w:ilvl="0">
      <w:lvlJc w:val="left"/>
      <w:lvlText w:val="•"/>
      <w:numFmt w:val="bullet"/>
      <w:start w:val="1"/>
    </w:lvl>
  </w:abstractNum>
  <w:abstractNum w:abstractNumId="114">
    <w:nsid w:val="697D2D2"/>
    <w:multiLevelType w:val="hybridMultilevel"/>
    <w:lvl w:ilvl="0">
      <w:lvlJc w:val="left"/>
      <w:lvlText w:val="*"/>
      <w:numFmt w:val="bullet"/>
      <w:start w:val="1"/>
    </w:lvl>
  </w:abstractNum>
  <w:abstractNum w:abstractNumId="115">
    <w:nsid w:val="6D68AB2"/>
    <w:multiLevelType w:val="hybridMultilevel"/>
    <w:lvl w:ilvl="0">
      <w:lvlJc w:val="left"/>
      <w:lvlText w:val="(%1)"/>
      <w:numFmt w:val="decimal"/>
      <w:start w:val="1"/>
    </w:lvl>
  </w:abstractNum>
  <w:abstractNum w:abstractNumId="116">
    <w:nsid w:val="3A966CD0"/>
    <w:multiLevelType w:val="hybridMultilevel"/>
    <w:lvl w:ilvl="0">
      <w:lvlJc w:val="left"/>
      <w:lvlText w:val="(%1)"/>
      <w:numFmt w:val="decimal"/>
      <w:start w:val="3"/>
    </w:lvl>
  </w:abstractNum>
  <w:abstractNum w:abstractNumId="117">
    <w:nsid w:val="63F37E85"/>
    <w:multiLevelType w:val="hybridMultilevel"/>
    <w:lvl w:ilvl="0">
      <w:lvlJc w:val="left"/>
      <w:lvlText w:val="(%1)"/>
      <w:numFmt w:val="decimal"/>
      <w:start w:val="7"/>
    </w:lvl>
  </w:abstractNum>
  <w:abstractNum w:abstractNumId="118">
    <w:nsid w:val="5895F5FA"/>
    <w:multiLevelType w:val="hybridMultilevel"/>
    <w:lvl w:ilvl="0">
      <w:lvlJc w:val="left"/>
      <w:lvlText w:val="•"/>
      <w:numFmt w:val="bullet"/>
      <w:start w:val="1"/>
    </w:lvl>
  </w:abstractNum>
  <w:abstractNum w:abstractNumId="119">
    <w:nsid w:val="38A5D054"/>
    <w:multiLevelType w:val="hybridMultilevel"/>
    <w:lvl w:ilvl="0">
      <w:lvlJc w:val="left"/>
      <w:lvlText w:val="•"/>
      <w:numFmt w:val="bullet"/>
      <w:start w:val="1"/>
    </w:lvl>
  </w:abstractNum>
  <w:abstractNum w:abstractNumId="120">
    <w:nsid w:val="F3F09D8"/>
    <w:multiLevelType w:val="hybridMultilevel"/>
    <w:lvl w:ilvl="0">
      <w:lvlJc w:val="left"/>
      <w:lvlText w:val="•"/>
      <w:numFmt w:val="bullet"/>
      <w:start w:val="1"/>
    </w:lvl>
  </w:abstractNum>
  <w:abstractNum w:abstractNumId="121">
    <w:nsid w:val="4B793735"/>
    <w:multiLevelType w:val="hybridMultilevel"/>
    <w:lvl w:ilvl="0">
      <w:lvlJc w:val="left"/>
      <w:lvlText w:val="•"/>
      <w:numFmt w:val="bullet"/>
      <w:start w:val="1"/>
    </w:lvl>
  </w:abstractNum>
  <w:abstractNum w:abstractNumId="122">
    <w:nsid w:val="4A10B4E8"/>
    <w:multiLevelType w:val="hybridMultilevel"/>
    <w:lvl w:ilvl="0">
      <w:lvlJc w:val="left"/>
      <w:lvlText w:val="•"/>
      <w:numFmt w:val="bullet"/>
      <w:start w:val="1"/>
    </w:lvl>
  </w:abstractNum>
  <w:abstractNum w:abstractNumId="123">
    <w:nsid w:val="43D3BCD4"/>
    <w:multiLevelType w:val="hybridMultilevel"/>
    <w:lvl w:ilvl="0">
      <w:lvlJc w:val="left"/>
      <w:lvlText w:val="•"/>
      <w:numFmt w:val="bullet"/>
      <w:start w:val="1"/>
    </w:lvl>
  </w:abstractNum>
  <w:abstractNum w:abstractNumId="124">
    <w:nsid w:val="4C2A7166"/>
    <w:multiLevelType w:val="hybridMultilevel"/>
    <w:lvl w:ilvl="0">
      <w:lvlJc w:val="left"/>
      <w:lvlText w:val="•"/>
      <w:numFmt w:val="bullet"/>
      <w:start w:val="1"/>
    </w:lvl>
  </w:abstractNum>
  <w:abstractNum w:abstractNumId="125">
    <w:nsid w:val="2E534A82"/>
    <w:multiLevelType w:val="hybridMultilevel"/>
    <w:lvl w:ilvl="0">
      <w:lvlJc w:val="left"/>
      <w:lvlText w:val="•"/>
      <w:numFmt w:val="bullet"/>
      <w:start w:val="1"/>
    </w:lvl>
  </w:abstractNum>
  <w:abstractNum w:abstractNumId="126">
    <w:nsid w:val="26F2D364"/>
    <w:multiLevelType w:val="hybridMultilevel"/>
    <w:lvl w:ilvl="0">
      <w:lvlJc w:val="left"/>
      <w:lvlText w:val="•"/>
      <w:numFmt w:val="bullet"/>
      <w:start w:val="1"/>
    </w:lvl>
  </w:abstractNum>
  <w:abstractNum w:abstractNumId="127">
    <w:nsid w:val="71C1AF98"/>
    <w:multiLevelType w:val="hybridMultilevel"/>
    <w:lvl w:ilvl="0">
      <w:lvlJc w:val="left"/>
      <w:lvlText w:val="•"/>
      <w:numFmt w:val="bullet"/>
      <w:start w:val="1"/>
    </w:lvl>
  </w:abstractNum>
  <w:abstractNum w:abstractNumId="128">
    <w:nsid w:val="3D00B9D9"/>
    <w:multiLevelType w:val="hybridMultilevel"/>
    <w:lvl w:ilvl="0">
      <w:lvlJc w:val="left"/>
      <w:lvlText w:val="(%1)"/>
      <w:numFmt w:val="lowerLetter"/>
      <w:start w:val="1"/>
    </w:lvl>
  </w:abstractNum>
  <w:abstractNum w:abstractNumId="129">
    <w:nsid w:val="15BCABA8"/>
    <w:multiLevelType w:val="hybridMultilevel"/>
    <w:lvl w:ilvl="0">
      <w:lvlJc w:val="left"/>
      <w:lvlText w:val="•"/>
      <w:numFmt w:val="bullet"/>
      <w:start w:val="1"/>
    </w:lvl>
  </w:abstractNum>
  <w:abstractNum w:abstractNumId="130">
    <w:nsid w:val="4E0B9A87"/>
    <w:multiLevelType w:val="hybridMultilevel"/>
    <w:lvl w:ilvl="0">
      <w:lvlJc w:val="left"/>
      <w:lvlText w:val="•"/>
      <w:numFmt w:val="bullet"/>
      <w:start w:val="1"/>
    </w:lvl>
  </w:abstractNum>
  <w:abstractNum w:abstractNumId="131">
    <w:nsid w:val="434BAE75"/>
    <w:multiLevelType w:val="hybridMultilevel"/>
    <w:lvl w:ilvl="0">
      <w:lvlJc w:val="left"/>
      <w:lvlText w:val="(%1)"/>
      <w:numFmt w:val="lowerRoman"/>
      <w:start w:val="3"/>
    </w:lvl>
  </w:abstractNum>
  <w:abstractNum w:abstractNumId="132">
    <w:nsid w:val="4F38F265"/>
    <w:multiLevelType w:val="hybridMultilevel"/>
    <w:lvl w:ilvl="0">
      <w:lvlJc w:val="left"/>
      <w:lvlText w:val="(%1)"/>
      <w:numFmt w:val="lowerLetter"/>
      <w:start w:val="1"/>
    </w:lvl>
  </w:abstractNum>
  <w:abstractNum w:abstractNumId="133">
    <w:nsid w:val="4C502870"/>
    <w:multiLevelType w:val="hybridMultilevel"/>
    <w:lvl w:ilvl="0">
      <w:lvlJc w:val="left"/>
      <w:lvlText w:val="(%1)"/>
      <w:numFmt w:val="lowerLetter"/>
      <w:start w:val="1"/>
    </w:lvl>
  </w:abstractNum>
  <w:abstractNum w:abstractNumId="134">
    <w:nsid w:val="1DE8725A"/>
    <w:multiLevelType w:val="hybridMultilevel"/>
    <w:lvl w:ilvl="0">
      <w:lvlJc w:val="left"/>
      <w:lvlText w:val="(%1)"/>
      <w:numFmt w:val="lowerLetter"/>
      <w:start w:val="1"/>
    </w:lvl>
    <w:lvl w:ilvl="1">
      <w:lvlJc w:val="left"/>
      <w:lvlText w:val="(%2)"/>
      <w:numFmt w:val="lowerRoman"/>
      <w:start w:val="1"/>
    </w:lvl>
  </w:abstractNum>
  <w:abstractNum w:abstractNumId="135">
    <w:nsid w:val="6A37288A"/>
    <w:multiLevelType w:val="hybridMultilevel"/>
    <w:lvl w:ilvl="0">
      <w:lvlJc w:val="left"/>
      <w:lvlText w:val="•"/>
      <w:numFmt w:val="bullet"/>
      <w:start w:val="1"/>
    </w:lvl>
  </w:abstractNum>
  <w:abstractNum w:abstractNumId="136">
    <w:nsid w:val="8F8B73F"/>
    <w:multiLevelType w:val="hybridMultilevel"/>
    <w:lvl w:ilvl="0">
      <w:lvlJc w:val="left"/>
      <w:lvlText w:val="•"/>
      <w:numFmt w:val="bullet"/>
      <w:start w:val="1"/>
    </w:lvl>
  </w:abstractNum>
  <w:abstractNum w:abstractNumId="137">
    <w:nsid w:val="CA6B462"/>
    <w:multiLevelType w:val="hybridMultilevel"/>
    <w:lvl w:ilvl="0">
      <w:lvlJc w:val="left"/>
      <w:lvlText w:val="%1."/>
      <w:numFmt w:val="decimal"/>
      <w:start w:val="8"/>
    </w:lvl>
  </w:abstractNum>
  <w:abstractNum w:abstractNumId="138">
    <w:nsid w:val="763CB680"/>
    <w:multiLevelType w:val="hybridMultilevel"/>
    <w:lvl w:ilvl="0">
      <w:lvlJc w:val="left"/>
      <w:lvlText w:val="(%1)"/>
      <w:numFmt w:val="lowerRoman"/>
      <w:start w:val="3"/>
    </w:lvl>
  </w:abstractNum>
  <w:abstractNum w:abstractNumId="139">
    <w:nsid w:val="15B71329"/>
    <w:multiLevelType w:val="hybridMultilevel"/>
    <w:lvl w:ilvl="0">
      <w:lvlJc w:val="left"/>
      <w:lvlText w:val="(%1)"/>
      <w:numFmt w:val="lowerRoman"/>
      <w:start w:val="3"/>
    </w:lvl>
  </w:abstractNum>
  <w:abstractNum w:abstractNumId="140">
    <w:nsid w:val="3DA97044"/>
    <w:multiLevelType w:val="hybridMultilevel"/>
    <w:lvl w:ilvl="0">
      <w:lvlJc w:val="left"/>
      <w:lvlText w:val="(%1)"/>
      <w:numFmt w:val="lowerRoman"/>
      <w:start w:val="3"/>
    </w:lvl>
  </w:abstractNum>
  <w:abstractNum w:abstractNumId="141">
    <w:nsid w:val="1CDCE2DE"/>
    <w:multiLevelType w:val="hybridMultilevel"/>
    <w:lvl w:ilvl="0">
      <w:lvlJc w:val="left"/>
      <w:lvlText w:val="(%1)"/>
      <w:numFmt w:val="lowerRoman"/>
      <w:start w:val="2"/>
    </w:lvl>
  </w:abstractNum>
  <w:abstractNum w:abstractNumId="142">
    <w:nsid w:val="69D3947C"/>
    <w:multiLevelType w:val="hybridMultilevel"/>
    <w:lvl w:ilvl="0">
      <w:lvlJc w:val="left"/>
      <w:lvlText w:val="%1."/>
      <w:numFmt w:val="decimal"/>
      <w:start w:val="12"/>
    </w:lvl>
  </w:abstractNum>
  <w:abstractNum w:abstractNumId="143">
    <w:nsid w:val="2539DFA5"/>
    <w:multiLevelType w:val="hybridMultilevel"/>
    <w:lvl w:ilvl="0">
      <w:lvlJc w:val="left"/>
      <w:lvlText w:val="%1."/>
      <w:numFmt w:val="decimal"/>
      <w:start w:val="16"/>
    </w:lvl>
    <w:lvl w:ilvl="1">
      <w:lvlJc w:val="left"/>
      <w:lvlText w:val="%2)"/>
      <w:numFmt w:val="lowerLetter"/>
      <w:start w:val="1"/>
    </w:lvl>
  </w:abstractNum>
  <w:abstractNum w:abstractNumId="144">
    <w:nsid w:val="2DB88089"/>
    <w:multiLevelType w:val="hybridMultilevel"/>
    <w:lvl w:ilvl="0">
      <w:lvlJc w:val="left"/>
      <w:lvlText w:val="•"/>
      <w:numFmt w:val="bullet"/>
      <w:start w:val="1"/>
    </w:lvl>
  </w:abstractNum>
  <w:abstractNum w:abstractNumId="145">
    <w:nsid w:val="706B674E"/>
    <w:multiLevelType w:val="hybridMultilevel"/>
    <w:lvl w:ilvl="0">
      <w:lvlJc w:val="left"/>
      <w:lvlText w:val="(%1)"/>
      <w:numFmt w:val="lowerLetter"/>
      <w:start w:val="1"/>
    </w:lvl>
  </w:abstractNum>
  <w:abstractNum w:abstractNumId="146">
    <w:nsid w:val="2C106A57"/>
    <w:multiLevelType w:val="hybridMultilevel"/>
    <w:lvl w:ilvl="0">
      <w:lvlJc w:val="left"/>
      <w:lvlText w:val="(%1)"/>
      <w:numFmt w:val="lowerLetter"/>
      <w:start w:val="2"/>
    </w:lvl>
  </w:abstractNum>
  <w:abstractNum w:abstractNumId="147">
    <w:nsid w:val="684EED59"/>
    <w:multiLevelType w:val="hybridMultilevel"/>
    <w:lvl w:ilvl="0">
      <w:lvlJc w:val="left"/>
      <w:lvlText w:val="(%1)"/>
      <w:numFmt w:val="lowerLetter"/>
      <w:start w:val="3"/>
    </w:lvl>
  </w:abstractNum>
  <w:abstractNum w:abstractNumId="148">
    <w:nsid w:val="545EE5D3"/>
    <w:multiLevelType w:val="hybridMultilevel"/>
    <w:lvl w:ilvl="0">
      <w:lvlJc w:val="left"/>
      <w:lvlText w:val="(%1)"/>
      <w:numFmt w:val="lowerLetter"/>
      <w:start w:val="4"/>
    </w:lvl>
  </w:abstractNum>
  <w:abstractNum w:abstractNumId="149">
    <w:nsid w:val="4A66051"/>
    <w:multiLevelType w:val="hybridMultilevel"/>
    <w:lvl w:ilvl="0">
      <w:lvlJc w:val="left"/>
      <w:lvlText w:val="(%1)"/>
      <w:numFmt w:val="lowerLetter"/>
      <w:start w:val="1"/>
    </w:lvl>
  </w:abstractNum>
  <w:abstractNum w:abstractNumId="150">
    <w:nsid w:val="20F4BDAD"/>
    <w:multiLevelType w:val="hybridMultilevel"/>
    <w:lvl w:ilvl="0">
      <w:lvlJc w:val="left"/>
      <w:lvlText w:val="(%1)"/>
      <w:numFmt w:val="lowerLetter"/>
      <w:start w:val="2"/>
    </w:lvl>
  </w:abstractNum>
  <w:abstractNum w:abstractNumId="151">
    <w:nsid w:val="639DEFAC"/>
    <w:multiLevelType w:val="hybridMultilevel"/>
    <w:lvl w:ilvl="0">
      <w:lvlJc w:val="left"/>
      <w:lvlText w:val="(%1)"/>
      <w:numFmt w:val="decimal"/>
      <w:start w:val="1"/>
    </w:lvl>
  </w:abstractNum>
  <w:abstractNum w:abstractNumId="152">
    <w:nsid w:val="501F9786"/>
    <w:multiLevelType w:val="hybridMultilevel"/>
    <w:lvl w:ilvl="0">
      <w:lvlJc w:val="left"/>
      <w:lvlText w:val="†"/>
      <w:numFmt w:val="bullet"/>
      <w:start w:val="1"/>
    </w:lvl>
  </w:abstractNum>
  <w:abstractNum w:abstractNumId="153">
    <w:nsid w:val="6B057295"/>
    <w:multiLevelType w:val="hybridMultilevel"/>
    <w:lvl w:ilvl="0">
      <w:lvlJc w:val="left"/>
      <w:lvlText w:val="+"/>
      <w:numFmt w:val="bullet"/>
      <w:start w:val="1"/>
    </w:lvl>
  </w:abstractNum>
  <w:abstractNum w:abstractNumId="154">
    <w:nsid w:val="2771AC80"/>
    <w:multiLevelType w:val="hybridMultilevel"/>
    <w:lvl w:ilvl="0">
      <w:lvlJc w:val="left"/>
      <w:lvlText w:val="["/>
      <w:numFmt w:val="bullet"/>
      <w:start w:val="1"/>
    </w:lvl>
  </w:abstractNum>
  <w:abstractNum w:abstractNumId="155">
    <w:nsid w:val="1C4A08EC"/>
    <w:multiLevelType w:val="hybridMultilevel"/>
    <w:lvl w:ilvl="0">
      <w:lvlJc w:val="left"/>
      <w:lvlText w:val="["/>
      <w:numFmt w:val="bullet"/>
      <w:start w:val="1"/>
    </w:lvl>
  </w:abstractNum>
  <w:abstractNum w:abstractNumId="156">
    <w:nsid w:val="1958BD17"/>
    <w:multiLevelType w:val="hybridMultilevel"/>
    <w:lvl w:ilvl="0">
      <w:lvlJc w:val="left"/>
      <w:lvlText w:val="%1."/>
      <w:numFmt w:val="decimal"/>
      <w:start w:val="1"/>
    </w:lvl>
  </w:abstractNum>
  <w:abstractNum w:abstractNumId="157">
    <w:nsid w:val="4E647FE4"/>
    <w:multiLevelType w:val="hybridMultilevel"/>
    <w:lvl w:ilvl="0">
      <w:lvlJc w:val="left"/>
      <w:lvlText w:val="%1"/>
      <w:numFmt w:val="lowerRoman"/>
      <w:start w:val="1"/>
    </w:lvl>
    <w:lvl w:ilvl="1">
      <w:lvlJc w:val="left"/>
      <w:lvlText w:val="(%2)"/>
      <w:numFmt w:val="lowerLetter"/>
      <w:start w:val="1"/>
    </w:lvl>
  </w:abstractNum>
  <w:abstractNum w:abstractNumId="158">
    <w:nsid w:val="E0BB885"/>
    <w:multiLevelType w:val="hybridMultilevel"/>
    <w:lvl w:ilvl="0">
      <w:lvlJc w:val="left"/>
      <w:lvlText w:val="(%1)"/>
      <w:numFmt w:val="lowerRoman"/>
      <w:start w:val="2"/>
    </w:lvl>
    <w:lvl w:ilvl="1">
      <w:lvlJc w:val="left"/>
      <w:lvlText w:val="%2"/>
      <w:numFmt w:val="lowerLetter"/>
      <w:start w:val="1"/>
    </w:lvl>
  </w:abstractNum>
  <w:abstractNum w:abstractNumId="159">
    <w:nsid w:val="565976F1"/>
    <w:multiLevelType w:val="hybridMultilevel"/>
    <w:lvl w:ilvl="0">
      <w:lvlJc w:val="left"/>
      <w:lvlText w:val="(%1)"/>
      <w:numFmt w:val="lowerRoman"/>
      <w:start w:val="4"/>
    </w:lvl>
    <w:lvl w:ilvl="1">
      <w:lvlJc w:val="left"/>
      <w:lvlText w:val="%2"/>
      <w:numFmt w:val="lowerLetter"/>
      <w:start w:val="1"/>
    </w:lvl>
  </w:abstractNum>
  <w:abstractNum w:abstractNumId="160">
    <w:nsid w:val="64212B8C"/>
    <w:multiLevelType w:val="hybridMultilevel"/>
    <w:lvl w:ilvl="0">
      <w:lvlJc w:val="left"/>
      <w:lvlText w:val="(%1)"/>
      <w:numFmt w:val="lowerLetter"/>
      <w:start w:val="3"/>
    </w:lvl>
  </w:abstractNum>
  <w:abstractNum w:abstractNumId="161">
    <w:nsid w:val="5C17530C"/>
    <w:multiLevelType w:val="hybridMultilevel"/>
    <w:lvl w:ilvl="0">
      <w:lvlJc w:val="left"/>
      <w:lvlText w:val="(%1)"/>
      <w:numFmt w:val="lowerLetter"/>
      <w:start w:val="4"/>
    </w:lvl>
  </w:abstractNum>
  <w:abstractNum w:abstractNumId="162">
    <w:nsid w:val="19A52566"/>
    <w:multiLevelType w:val="hybridMultilevel"/>
    <w:lvl w:ilvl="0">
      <w:lvlJc w:val="left"/>
      <w:lvlText w:val="(%1)"/>
      <w:numFmt w:val="lowerLetter"/>
      <w:start w:val="10"/>
    </w:lvl>
  </w:abstractNum>
  <w:abstractNum w:abstractNumId="163">
    <w:nsid w:val="335A1DF1"/>
    <w:multiLevelType w:val="hybridMultilevel"/>
    <w:lvl w:ilvl="0">
      <w:lvlJc w:val="left"/>
      <w:lvlText w:val="(%1)"/>
      <w:numFmt w:val="lowerLetter"/>
      <w:start w:val="14"/>
    </w:lvl>
  </w:abstractNum>
  <w:abstractNum w:abstractNumId="164">
    <w:nsid w:val="28677B7C"/>
    <w:multiLevelType w:val="hybridMultilevel"/>
    <w:lvl w:ilvl="0">
      <w:lvlJc w:val="left"/>
      <w:lvlText w:val="(%1)"/>
      <w:numFmt w:val="lowerLetter"/>
      <w:start w:val="15"/>
    </w:lvl>
  </w:abstractNum>
  <w:abstractNum w:abstractNumId="165">
    <w:nsid w:val="378D97C0"/>
    <w:multiLevelType w:val="hybridMultilevel"/>
    <w:lvl w:ilvl="0">
      <w:lvlJc w:val="left"/>
      <w:lvlText w:val="(%1)"/>
      <w:numFmt w:val="lowerLetter"/>
      <w:start w:val="19"/>
    </w:lvl>
  </w:abstractNum>
  <w:abstractNum w:abstractNumId="166">
    <w:nsid w:val="1D91467C"/>
    <w:multiLevelType w:val="hybridMultilevel"/>
    <w:lvl w:ilvl="0">
      <w:lvlJc w:val="left"/>
      <w:lvlText w:val="(%1)"/>
      <w:numFmt w:val="lowerLetter"/>
      <w:start w:val="21"/>
    </w:lvl>
  </w:abstractNum>
  <w:abstractNum w:abstractNumId="167">
    <w:nsid w:val="316032BB"/>
    <w:multiLevelType w:val="hybridMultilevel"/>
    <w:lvl w:ilvl="0">
      <w:lvlJc w:val="left"/>
      <w:lvlText w:val="(%1)"/>
      <w:numFmt w:val="lowerLetter"/>
      <w:start w:val="24"/>
    </w:lvl>
    <w:lvl w:ilvl="1">
      <w:lvlJc w:val="left"/>
      <w:lvlText w:val="(%2)"/>
      <w:numFmt w:val="lowerRoman"/>
      <w:start w:val="1"/>
    </w:lvl>
    <w:lvl w:ilvl="2">
      <w:lvlJc w:val="left"/>
      <w:lvlText w:val="(%3)"/>
      <w:numFmt w:val="upperLetter"/>
      <w:start w:val="1"/>
    </w:lvl>
  </w:abstractNum>
  <w:abstractNum w:abstractNumId="168">
    <w:nsid w:val="44344C22"/>
    <w:multiLevelType w:val="hybridMultilevel"/>
    <w:lvl w:ilvl="0">
      <w:lvlJc w:val="left"/>
      <w:lvlText w:val="%1"/>
      <w:numFmt w:val="lowerLetter"/>
      <w:start w:val="1"/>
    </w:lvl>
    <w:lvl w:ilvl="1">
      <w:lvlJc w:val="left"/>
      <w:lvlText w:val="(%2)"/>
      <w:numFmt w:val="lowerLetter"/>
      <w:start w:val="61"/>
    </w:lvl>
  </w:abstractNum>
  <w:abstractNum w:abstractNumId="169">
    <w:nsid w:val="13CDFCFC"/>
    <w:multiLevelType w:val="hybridMultilevel"/>
    <w:lvl w:ilvl="0">
      <w:lvlJc w:val="left"/>
      <w:lvlText w:val="(%1)"/>
      <w:numFmt w:val="lowerLetter"/>
      <w:start w:val="26"/>
    </w:lvl>
    <w:lvl w:ilvl="1">
      <w:lvlJc w:val="left"/>
      <w:lvlText w:val="%2"/>
      <w:numFmt w:val="lowerLetter"/>
      <w:start w:val="1"/>
    </w:lvl>
  </w:abstractNum>
  <w:abstractNum w:abstractNumId="170">
    <w:nsid w:val="471745E4"/>
    <w:multiLevelType w:val="hybridMultilevel"/>
    <w:lvl w:ilvl="0">
      <w:lvlJc w:val="left"/>
      <w:lvlText w:val="(%1)"/>
      <w:numFmt w:val="lowerLetter"/>
      <w:start w:val="27"/>
    </w:lvl>
  </w:abstractNum>
  <w:abstractNum w:abstractNumId="171">
    <w:nsid w:val="1DDBC66"/>
    <w:multiLevelType w:val="hybridMultilevel"/>
    <w:lvl w:ilvl="0">
      <w:lvlJc w:val="left"/>
      <w:lvlText w:val="%1"/>
      <w:numFmt w:val="lowerLetter"/>
      <w:start w:val="1"/>
    </w:lvl>
    <w:lvl w:ilvl="1">
      <w:lvlJc w:val="left"/>
      <w:lvlText w:val="(%2)"/>
      <w:numFmt w:val="lowerLetter"/>
      <w:start w:val="29"/>
    </w:lvl>
  </w:abstractNum>
  <w:abstractNum w:abstractNumId="172">
    <w:nsid w:val="30AADFDA"/>
    <w:multiLevelType w:val="hybridMultilevel"/>
    <w:lvl w:ilvl="0">
      <w:lvlJc w:val="left"/>
      <w:lvlText w:val="(%1)"/>
      <w:numFmt w:val="lowerLetter"/>
      <w:start w:val="9"/>
    </w:lvl>
    <w:lvl w:ilvl="1">
      <w:lvlJc w:val="left"/>
      <w:lvlText w:val="(%2)"/>
      <w:numFmt w:val="lowerLetter"/>
      <w:start w:val="32"/>
    </w:lvl>
  </w:abstractNum>
  <w:abstractNum w:abstractNumId="173">
    <w:nsid w:val="30EADA61"/>
    <w:multiLevelType w:val="hybridMultilevel"/>
    <w:lvl w:ilvl="0">
      <w:lvlJc w:val="left"/>
      <w:lvlText w:val="(%1)"/>
      <w:numFmt w:val="lowerLetter"/>
      <w:start w:val="33"/>
    </w:lvl>
  </w:abstractNum>
  <w:abstractNum w:abstractNumId="174">
    <w:nsid w:val="27179C0B"/>
    <w:multiLevelType w:val="hybridMultilevel"/>
    <w:lvl w:ilvl="0">
      <w:lvlJc w:val="left"/>
      <w:lvlText w:val="%1"/>
      <w:numFmt w:val="upperLetter"/>
      <w:start w:val="1"/>
    </w:lvl>
    <w:lvl w:ilvl="1">
      <w:lvlJc w:val="left"/>
      <w:lvlText w:val="(%2)"/>
      <w:numFmt w:val="lowerLetter"/>
      <w:start w:val="36"/>
    </w:lvl>
  </w:abstractNum>
  <w:abstractNum w:abstractNumId="175">
    <w:nsid w:val="5E636063"/>
    <w:multiLevelType w:val="hybridMultilevel"/>
    <w:lvl w:ilvl="0">
      <w:lvlJc w:val="left"/>
      <w:lvlText w:val="%1."/>
      <w:numFmt w:val="decimal"/>
      <w:start w:val="2"/>
    </w:lvl>
  </w:abstractNum>
  <w:abstractNum w:abstractNumId="176">
    <w:nsid w:val="215641AF"/>
    <w:multiLevelType w:val="hybridMultilevel"/>
    <w:lvl w:ilvl="0">
      <w:lvlJc w:val="left"/>
      <w:lvlText w:val="%1."/>
      <w:numFmt w:val="decimal"/>
      <w:start w:val="3"/>
    </w:lvl>
  </w:abstractNum>
  <w:abstractNum w:abstractNumId="177">
    <w:nsid w:val="53280662"/>
    <w:multiLevelType w:val="hybridMultilevel"/>
    <w:lvl w:ilvl="0">
      <w:lvlJc w:val="left"/>
      <w:lvlText w:val="%1."/>
      <w:numFmt w:val="decimal"/>
      <w:start w:val="4"/>
    </w:lvl>
  </w:abstractNum>
  <w:abstractNum w:abstractNumId="178">
    <w:nsid w:val="46B24DBC"/>
    <w:multiLevelType w:val="hybridMultilevel"/>
    <w:lvl w:ilvl="0">
      <w:lvlJc w:val="left"/>
      <w:lvlText w:val="%1."/>
      <w:numFmt w:val="decimal"/>
      <w:start w:val="5"/>
    </w:lvl>
  </w:abstractNum>
  <w:abstractNum w:abstractNumId="179">
    <w:nsid w:val="75B52783"/>
    <w:multiLevelType w:val="hybridMultilevel"/>
    <w:lvl w:ilvl="0">
      <w:lvlJc w:val="left"/>
      <w:lvlText w:val="(%1)"/>
      <w:numFmt w:val="lowerLetter"/>
      <w:start w:val="1"/>
    </w:lvl>
  </w:abstractNum>
  <w:abstractNum w:abstractNumId="180">
    <w:nsid w:val="57CE66B4"/>
    <w:multiLevelType w:val="hybridMultilevel"/>
    <w:lvl w:ilvl="0">
      <w:lvlJc w:val="left"/>
      <w:lvlText w:val="(%1)"/>
      <w:numFmt w:val="lowerRoman"/>
      <w:start w:val="1"/>
    </w:lvl>
  </w:abstractNum>
  <w:abstractNum w:abstractNumId="181">
    <w:nsid w:val="67A70B69"/>
    <w:multiLevelType w:val="hybridMultilevel"/>
    <w:lvl w:ilvl="0">
      <w:lvlJc w:val="left"/>
      <w:lvlText w:val="%1"/>
      <w:numFmt w:val="lowerLetter"/>
      <w:start w:val="1"/>
    </w:lvl>
    <w:lvl w:ilvl="1">
      <w:lvlJc w:val="left"/>
      <w:lvlText w:val="(%2)"/>
      <w:numFmt w:val="lowerLetter"/>
      <w:start w:val="35"/>
    </w:lvl>
  </w:abstractNum>
  <w:abstractNum w:abstractNumId="182">
    <w:nsid w:val="5953172F"/>
    <w:multiLevelType w:val="hybridMultilevel"/>
    <w:lvl w:ilvl="0">
      <w:lvlJc w:val="left"/>
      <w:lvlText w:val="(%1)"/>
      <w:numFmt w:val="lowerLetter"/>
      <w:start w:val="2"/>
    </w:lvl>
    <w:lvl w:ilvl="1">
      <w:lvlJc w:val="left"/>
      <w:lvlText w:val="%2"/>
      <w:numFmt w:val="lowerLetter"/>
      <w:start w:val="1"/>
    </w:lvl>
  </w:abstractNum>
  <w:abstractNum w:abstractNumId="183">
    <w:nsid w:val="27EDFE3A"/>
    <w:multiLevelType w:val="hybridMultilevel"/>
    <w:lvl w:ilvl="0">
      <w:lvlJc w:val="left"/>
      <w:lvlText w:val="(%1)"/>
      <w:numFmt w:val="lowerLetter"/>
      <w:start w:val="3"/>
    </w:lvl>
  </w:abstractNum>
  <w:abstractNum w:abstractNumId="184">
    <w:nsid w:val="52AC7DFF"/>
    <w:multiLevelType w:val="hybridMultilevel"/>
    <w:lvl w:ilvl="0">
      <w:lvlJc w:val="left"/>
      <w:lvlText w:val="(%1)"/>
      <w:numFmt w:val="lowerLetter"/>
      <w:start w:val="7"/>
    </w:lvl>
    <w:lvl w:ilvl="1">
      <w:lvlJc w:val="left"/>
      <w:lvlText w:val="(%2)"/>
      <w:numFmt w:val="lowerRoman"/>
      <w:start w:val="1"/>
    </w:lvl>
  </w:abstractNum>
  <w:abstractNum w:abstractNumId="185">
    <w:nsid w:val="C4C3AF"/>
    <w:multiLevelType w:val="hybridMultilevel"/>
    <w:lvl w:ilvl="0">
      <w:lvlJc w:val="left"/>
      <w:lvlText w:val="%1"/>
      <w:numFmt w:val="decimal"/>
      <w:start w:val="1"/>
    </w:lvl>
    <w:lvl w:ilvl="1">
      <w:lvlJc w:val="left"/>
      <w:lvlText w:val="(%2)"/>
      <w:numFmt w:val="lowerRoman"/>
      <w:start w:val="6"/>
    </w:lvl>
  </w:abstractNum>
  <w:abstractNum w:abstractNumId="186">
    <w:nsid w:val="44380727"/>
    <w:multiLevelType w:val="hybridMultilevel"/>
    <w:lvl w:ilvl="0">
      <w:lvlJc w:val="left"/>
      <w:lvlText w:val="%1."/>
      <w:numFmt w:val="decimal"/>
      <w:start w:val="6"/>
    </w:lvl>
    <w:lvl w:ilvl="1">
      <w:lvlJc w:val="left"/>
      <w:lvlText w:val="%2"/>
      <w:numFmt w:val="lowerRoman"/>
      <w:start w:val="1"/>
    </w:lvl>
  </w:abstractNum>
  <w:abstractNum w:abstractNumId="187">
    <w:nsid w:val="6C053B16"/>
    <w:multiLevelType w:val="hybridMultilevel"/>
    <w:lvl w:ilvl="0">
      <w:lvlJc w:val="left"/>
      <w:lvlText w:val="(%1)"/>
      <w:numFmt w:val="lowerLetter"/>
      <w:start w:val="1"/>
    </w:lvl>
  </w:abstractNum>
  <w:abstractNum w:abstractNumId="188">
    <w:nsid w:val="4F294393"/>
    <w:multiLevelType w:val="hybridMultilevel"/>
    <w:lvl w:ilvl="0">
      <w:lvlJc w:val="left"/>
      <w:lvlText w:val="(%1)"/>
      <w:numFmt w:val="lowerLetter"/>
      <w:start w:val="4"/>
    </w:lvl>
  </w:abstractNum>
  <w:abstractNum w:abstractNumId="189">
    <w:nsid w:val="5243BFAC"/>
    <w:multiLevelType w:val="hybridMultilevel"/>
    <w:lvl w:ilvl="0">
      <w:lvlJc w:val="left"/>
      <w:lvlText w:val="(%1)"/>
      <w:numFmt w:val="lowerLetter"/>
      <w:start w:val="8"/>
    </w:lvl>
  </w:abstractNum>
  <w:abstractNum w:abstractNumId="190">
    <w:nsid w:val="425EB207"/>
    <w:multiLevelType w:val="hybridMultilevel"/>
    <w:lvl w:ilvl="0">
      <w:lvlJc w:val="left"/>
      <w:lvlText w:val="(%1)"/>
      <w:numFmt w:val="lowerRoman"/>
      <w:start w:val="1"/>
    </w:lvl>
  </w:abstractNum>
  <w:abstractNum w:abstractNumId="191">
    <w:nsid w:val="334A6F1F"/>
    <w:multiLevelType w:val="hybridMultilevel"/>
    <w:lvl w:ilvl="0">
      <w:lvlJc w:val="left"/>
      <w:lvlText w:val="%1"/>
      <w:numFmt w:val="decimal"/>
      <w:start w:val="1"/>
    </w:lvl>
    <w:lvl w:ilvl="1">
      <w:lvlJc w:val="left"/>
      <w:lvlText w:val="(%2)"/>
      <w:numFmt w:val="lowerLetter"/>
      <w:start w:val="10"/>
    </w:lvl>
  </w:abstractNum>
  <w:abstractNum w:abstractNumId="192">
    <w:nsid w:val="2E5B12B8"/>
    <w:multiLevelType w:val="hybridMultilevel"/>
    <w:lvl w:ilvl="0">
      <w:lvlJc w:val="left"/>
      <w:lvlText w:val="(%1)"/>
      <w:numFmt w:val="decimal"/>
      <w:start w:val="2"/>
    </w:lvl>
    <w:lvl w:ilvl="1">
      <w:lvlJc w:val="left"/>
      <w:lvlText w:val="%2"/>
      <w:numFmt w:val="lowerLetter"/>
      <w:start w:val="1"/>
    </w:lvl>
  </w:abstractNum>
  <w:abstractNum w:abstractNumId="193">
    <w:nsid w:val="5C03D76D"/>
    <w:multiLevelType w:val="hybridMultilevel"/>
    <w:lvl w:ilvl="0">
      <w:lvlJc w:val="left"/>
      <w:lvlText w:val="(%1)"/>
      <w:numFmt w:val="lowerLetter"/>
      <w:start w:val="5"/>
    </w:lvl>
  </w:abstractNum>
  <w:abstractNum w:abstractNumId="194">
    <w:nsid w:val="66A48D11"/>
    <w:multiLevelType w:val="hybridMultilevel"/>
    <w:lvl w:ilvl="0">
      <w:lvlJc w:val="left"/>
      <w:lvlText w:val="%1."/>
      <w:numFmt w:val="decimal"/>
      <w:start w:val="7"/>
    </w:lvl>
  </w:abstractNum>
  <w:abstractNum w:abstractNumId="195">
    <w:nsid w:val="56C28E34"/>
    <w:multiLevelType w:val="hybridMultilevel"/>
    <w:lvl w:ilvl="0">
      <w:lvlJc w:val="left"/>
      <w:lvlText w:val="(%1)"/>
      <w:numFmt w:val="lowerLetter"/>
      <w:start w:val="2"/>
    </w:lvl>
  </w:abstractNum>
  <w:abstractNum w:abstractNumId="196">
    <w:nsid w:val="13916F2D"/>
    <w:multiLevelType w:val="hybridMultilevel"/>
    <w:lvl w:ilvl="0">
      <w:lvlJc w:val="left"/>
      <w:lvlText w:val="(%1)"/>
      <w:numFmt w:val="lowerLetter"/>
      <w:start w:val="4"/>
    </w:lvl>
  </w:abstractNum>
  <w:abstractNum w:abstractNumId="197">
    <w:nsid w:val="435D38D"/>
    <w:multiLevelType w:val="hybridMultilevel"/>
    <w:lvl w:ilvl="0">
      <w:lvlJc w:val="left"/>
      <w:lvlText w:val="(%1)"/>
      <w:numFmt w:val="lowerLetter"/>
      <w:start w:val="5"/>
    </w:lvl>
  </w:abstractNum>
  <w:abstractNum w:abstractNumId="198">
    <w:nsid w:val="822C0EF"/>
    <w:multiLevelType w:val="hybridMultilevel"/>
    <w:lvl w:ilvl="0">
      <w:lvlJc w:val="left"/>
      <w:lvlText w:val="%1."/>
      <w:numFmt w:val="decimal"/>
      <w:start w:val="9"/>
    </w:lvl>
  </w:abstractNum>
  <w:abstractNum w:abstractNumId="199">
    <w:nsid w:val="57C5BB4F"/>
    <w:multiLevelType w:val="hybridMultilevel"/>
    <w:lvl w:ilvl="0">
      <w:lvlJc w:val="left"/>
      <w:lvlText w:val="%1."/>
      <w:numFmt w:val="decimal"/>
      <w:start w:val="10"/>
    </w:lvl>
  </w:abstractNum>
  <w:abstractNum w:abstractNumId="200">
    <w:nsid w:val="1803D089"/>
    <w:multiLevelType w:val="hybridMultilevel"/>
    <w:lvl w:ilvl="0">
      <w:lvlJc w:val="left"/>
      <w:lvlText w:val="%1."/>
      <w:numFmt w:val="decimal"/>
      <w:start w:val="11"/>
    </w:lvl>
  </w:abstractNum>
  <w:abstractNum w:abstractNumId="201">
    <w:nsid w:val="4F3A06D4"/>
    <w:multiLevelType w:val="hybridMultilevel"/>
    <w:lvl w:ilvl="0">
      <w:lvlJc w:val="left"/>
      <w:lvlText w:val="(%1)"/>
      <w:numFmt w:val="lowerLetter"/>
      <w:start w:val="2"/>
    </w:lvl>
  </w:abstractNum>
  <w:abstractNum w:abstractNumId="202">
    <w:nsid w:val="59A377B6"/>
    <w:multiLevelType w:val="hybridMultilevel"/>
    <w:lvl w:ilvl="0">
      <w:lvlJc w:val="left"/>
      <w:lvlText w:val="%1."/>
      <w:numFmt w:val="decimal"/>
      <w:start w:val="12"/>
    </w:lvl>
  </w:abstractNum>
  <w:abstractNum w:abstractNumId="203">
    <w:nsid w:val="48AEB063"/>
    <w:multiLevelType w:val="hybridMultilevel"/>
    <w:lvl w:ilvl="0">
      <w:lvlJc w:val="left"/>
      <w:lvlText w:val="%1."/>
      <w:numFmt w:val="decimal"/>
      <w:start w:val="2"/>
    </w:lvl>
  </w:abstractNum>
  <w:abstractNum w:abstractNumId="204">
    <w:nsid w:val="24E135"/>
    <w:multiLevelType w:val="hybridMultilevel"/>
    <w:lvl w:ilvl="0">
      <w:lvlJc w:val="left"/>
      <w:lvlText w:val="%1."/>
      <w:numFmt w:val="decimal"/>
      <w:start w:val="1"/>
    </w:lvl>
  </w:abstractNum>
  <w:abstractNum w:abstractNumId="205">
    <w:nsid w:val="BB13C1"/>
    <w:multiLevelType w:val="hybridMultilevel"/>
    <w:lvl w:ilvl="0">
      <w:lvlJc w:val="left"/>
      <w:lvlText w:val="%1."/>
      <w:numFmt w:val="decimal"/>
      <w:start w:val="1"/>
    </w:lvl>
  </w:abstractNum>
  <w:abstractNum w:abstractNumId="206">
    <w:nsid w:val="271210C7"/>
    <w:multiLevelType w:val="hybridMultilevel"/>
    <w:lvl w:ilvl="0">
      <w:lvlJc w:val="left"/>
      <w:lvlText w:val="(%1)"/>
      <w:numFmt w:val="lowerLetter"/>
      <w:start w:val="1"/>
    </w:lvl>
  </w:abstractNum>
  <w:abstractNum w:abstractNumId="207">
    <w:nsid w:val="217B22E4"/>
    <w:multiLevelType w:val="hybridMultilevel"/>
    <w:lvl w:ilvl="0">
      <w:lvlJc w:val="left"/>
      <w:lvlText w:val="(%1)"/>
      <w:numFmt w:val="lowerLetter"/>
      <w:start w:val="1"/>
    </w:lvl>
  </w:abstractNum>
  <w:abstractNum w:abstractNumId="208">
    <w:nsid w:val="53E31A24"/>
    <w:multiLevelType w:val="hybridMultilevel"/>
    <w:lvl w:ilvl="0">
      <w:lvlJc w:val="left"/>
      <w:lvlText w:val="(%1)"/>
      <w:numFmt w:val="lowerRoman"/>
      <w:start w:val="3"/>
    </w:lvl>
  </w:abstractNum>
  <w:abstractNum w:abstractNumId="209">
    <w:nsid w:val="6DC45E83"/>
    <w:multiLevelType w:val="hybridMultilevel"/>
    <w:lvl w:ilvl="0">
      <w:lvlJc w:val="left"/>
      <w:lvlText w:val="(%1)"/>
      <w:numFmt w:val="lowerLetter"/>
      <w:start w:val="4"/>
    </w:lvl>
  </w:abstractNum>
  <w:abstractNum w:abstractNumId="210">
    <w:nsid w:val="17304A67"/>
    <w:multiLevelType w:val="hybridMultilevel"/>
    <w:lvl w:ilvl="0">
      <w:lvlJc w:val="left"/>
      <w:lvlText w:val="(%1)"/>
      <w:numFmt w:val="lowerLetter"/>
      <w:start w:val="9"/>
    </w:lvl>
  </w:abstractNum>
  <w:abstractNum w:abstractNumId="211">
    <w:nsid w:val="2BB180D8"/>
    <w:multiLevelType w:val="hybridMultilevel"/>
    <w:lvl w:ilvl="0">
      <w:lvlJc w:val="left"/>
      <w:lvlText w:val="(%1)"/>
      <w:numFmt w:val="lowerLetter"/>
      <w:start w:val="1"/>
    </w:lvl>
  </w:abstractNum>
  <w:abstractNum w:abstractNumId="212">
    <w:nsid w:val="556B69ED"/>
    <w:multiLevelType w:val="hybridMultilevel"/>
    <w:lvl w:ilvl="0">
      <w:lvlJc w:val="left"/>
      <w:lvlText w:val="(%1)"/>
      <w:numFmt w:val="lowerLetter"/>
      <w:start w:val="1"/>
    </w:lvl>
  </w:abstractNum>
  <w:abstractNum w:abstractNumId="213">
    <w:nsid w:val="70836196"/>
    <w:multiLevelType w:val="hybridMultilevel"/>
    <w:lvl w:ilvl="0">
      <w:lvlJc w:val="left"/>
      <w:lvlText w:val="%1."/>
      <w:numFmt w:val="decimal"/>
      <w:start w:val="2"/>
    </w:lvl>
  </w:abstractNum>
  <w:abstractNum w:abstractNumId="214">
    <w:nsid w:val="539F7F12"/>
    <w:multiLevelType w:val="hybridMultilevel"/>
    <w:lvl w:ilvl="0">
      <w:lvlJc w:val="left"/>
      <w:lvlText w:val="(%1)"/>
      <w:numFmt w:val="lowerLetter"/>
      <w:start w:val="2"/>
    </w:lvl>
  </w:abstractNum>
  <w:abstractNum w:abstractNumId="215">
    <w:nsid w:val="2817E7EC"/>
    <w:multiLevelType w:val="hybridMultilevel"/>
    <w:lvl w:ilvl="0">
      <w:lvlJc w:val="left"/>
      <w:lvlText w:val="(%1)"/>
      <w:numFmt w:val="lowerLetter"/>
      <w:start w:val="1"/>
    </w:lvl>
  </w:abstractNum>
  <w:abstractNum w:abstractNumId="216">
    <w:nsid w:val="71482545"/>
    <w:multiLevelType w:val="hybridMultilevel"/>
    <w:lvl w:ilvl="0">
      <w:lvlJc w:val="left"/>
      <w:lvlText w:val="(%1)"/>
      <w:numFmt w:val="lowerLetter"/>
      <w:start w:val="1"/>
    </w:lvl>
  </w:abstractNum>
  <w:abstractNum w:abstractNumId="217">
    <w:nsid w:val="17D78639"/>
    <w:multiLevelType w:val="hybridMultilevel"/>
    <w:lvl w:ilvl="0">
      <w:lvlJc w:val="left"/>
      <w:lvlText w:val="(%1)"/>
      <w:numFmt w:val="lowerLetter"/>
      <w:start w:val="1"/>
    </w:lvl>
  </w:abstractNum>
  <w:abstractNum w:abstractNumId="218">
    <w:nsid w:val="141D2302"/>
    <w:multiLevelType w:val="hybridMultilevel"/>
    <w:lvl w:ilvl="0">
      <w:lvlJc w:val="left"/>
      <w:lvlText w:val="(%1)"/>
      <w:numFmt w:val="lowerLetter"/>
      <w:start w:val="1"/>
    </w:lvl>
    <w:lvl w:ilvl="1">
      <w:lvlJc w:val="left"/>
      <w:lvlText w:val="(%2)"/>
      <w:numFmt w:val="lowerRoman"/>
      <w:start w:val="1"/>
    </w:lvl>
  </w:abstractNum>
  <w:abstractNum w:abstractNumId="219">
    <w:nsid w:val="407168D8"/>
    <w:multiLevelType w:val="hybridMultilevel"/>
    <w:lvl w:ilvl="0">
      <w:lvlJc w:val="left"/>
      <w:lvlText w:val="(%1)"/>
      <w:numFmt w:val="lowerLetter"/>
      <w:start w:val="1"/>
    </w:lvl>
  </w:abstractNum>
  <w:abstractNum w:abstractNumId="220">
    <w:nsid w:val="6A1B45E5"/>
    <w:multiLevelType w:val="hybridMultilevel"/>
    <w:lvl w:ilvl="0">
      <w:lvlJc w:val="left"/>
      <w:lvlText w:val="(%1)"/>
      <w:numFmt w:val="lowerLetter"/>
      <w:start w:val="1"/>
    </w:lvl>
  </w:abstractNum>
  <w:abstractNum w:abstractNumId="221">
    <w:nsid w:val="567BD50A"/>
    <w:multiLevelType w:val="hybridMultilevel"/>
    <w:lvl w:ilvl="0">
      <w:lvlJc w:val="left"/>
      <w:lvlText w:val="%1."/>
      <w:numFmt w:val="decimal"/>
      <w:start w:val="3"/>
    </w:lvl>
  </w:abstractNum>
  <w:abstractNum w:abstractNumId="222">
    <w:nsid w:val="73BBD7F8"/>
    <w:multiLevelType w:val="hybridMultilevel"/>
    <w:lvl w:ilvl="0">
      <w:lvlJc w:val="left"/>
      <w:lvlText w:val="[**]"/>
      <w:numFmt w:val="bullet"/>
      <w:start w:val="1"/>
    </w:lvl>
  </w:abstractNum>
  <w:abstractNum w:abstractNumId="223">
    <w:nsid w:val="1876589D"/>
    <w:multiLevelType w:val="hybridMultilevel"/>
    <w:lvl w:ilvl="0">
      <w:lvlJc w:val="left"/>
      <w:lvlText w:val="(%1)"/>
      <w:numFmt w:val="lowerLetter"/>
      <w:start w:val="4"/>
    </w:lvl>
  </w:abstractNum>
  <w:abstractNum w:abstractNumId="224">
    <w:nsid w:val="327FAC77"/>
    <w:multiLevelType w:val="hybridMultilevel"/>
    <w:lvl w:ilvl="0">
      <w:lvlJc w:val="left"/>
      <w:lvlText w:val="%1."/>
      <w:numFmt w:val="decimal"/>
      <w:start w:val="4"/>
    </w:lvl>
  </w:abstractNum>
  <w:abstractNum w:abstractNumId="225">
    <w:nsid w:val="5A606509"/>
    <w:multiLevelType w:val="hybridMultilevel"/>
    <w:lvl w:ilvl="0">
      <w:lvlJc w:val="left"/>
      <w:lvlText w:val="*"/>
      <w:numFmt w:val="bullet"/>
      <w:start w:val="1"/>
    </w:lvl>
  </w:abstractNum>
  <w:abstractNum w:abstractNumId="226">
    <w:nsid w:val="6F38E6D1"/>
    <w:multiLevelType w:val="hybridMultilevel"/>
    <w:lvl w:ilvl="0">
      <w:lvlJc w:val="left"/>
      <w:lvlText w:val="(%1)"/>
      <w:numFmt w:val="lowerLetter"/>
      <w:start w:val="1"/>
    </w:lvl>
  </w:abstractNum>
  <w:abstractNum w:abstractNumId="227">
    <w:nsid w:val="46111BA5"/>
    <w:multiLevelType w:val="hybridMultilevel"/>
    <w:lvl w:ilvl="0">
      <w:lvlJc w:val="left"/>
      <w:lvlText w:val="%1."/>
      <w:numFmt w:val="decimal"/>
      <w:start w:val="5"/>
    </w:lvl>
  </w:abstractNum>
  <w:abstractNum w:abstractNumId="228">
    <w:nsid w:val="5E963896"/>
    <w:multiLevelType w:val="hybridMultilevel"/>
    <w:lvl w:ilvl="0">
      <w:lvlJc w:val="left"/>
      <w:lvlText w:val="(%1)"/>
      <w:numFmt w:val="lowerLetter"/>
      <w:start w:val="1"/>
    </w:lvl>
  </w:abstractNum>
  <w:abstractNum w:abstractNumId="229">
    <w:nsid w:val="775BA7C1"/>
    <w:multiLevelType w:val="hybridMultilevel"/>
    <w:lvl w:ilvl="0">
      <w:lvlJc w:val="left"/>
      <w:lvlText w:val="%1."/>
      <w:numFmt w:val="decimal"/>
      <w:start w:val="6"/>
    </w:lvl>
  </w:abstractNum>
  <w:abstractNum w:abstractNumId="230">
    <w:nsid w:val="1DD6D6F4"/>
    <w:multiLevelType w:val="hybridMultilevel"/>
    <w:lvl w:ilvl="0">
      <w:lvlJc w:val="left"/>
      <w:lvlText w:val="(%1)"/>
      <w:numFmt w:val="lowerLetter"/>
      <w:start w:val="4"/>
    </w:lvl>
  </w:abstractNum>
  <w:abstractNum w:abstractNumId="231">
    <w:nsid w:val="769A091F"/>
    <w:multiLevelType w:val="hybridMultilevel"/>
    <w:lvl w:ilvl="0">
      <w:lvlJc w:val="left"/>
      <w:lvlText w:val="(%1)"/>
      <w:numFmt w:val="lowerRoman"/>
      <w:start w:val="2"/>
    </w:lvl>
  </w:abstractNum>
  <w:abstractNum w:abstractNumId="232">
    <w:nsid w:val="4695AE95"/>
    <w:multiLevelType w:val="hybridMultilevel"/>
    <w:lvl w:ilvl="0">
      <w:lvlJc w:val="left"/>
      <w:lvlText w:val="(%1)"/>
      <w:numFmt w:val="lowerLetter"/>
      <w:start w:val="2"/>
    </w:lvl>
  </w:abstractNum>
  <w:abstractNum w:abstractNumId="233">
    <w:nsid w:val="777A4EAA"/>
    <w:multiLevelType w:val="hybridMultilevel"/>
    <w:lvl w:ilvl="0">
      <w:lvlJc w:val="left"/>
      <w:lvlText w:val="%1."/>
      <w:numFmt w:val="decimal"/>
      <w:start w:val="7"/>
    </w:lvl>
  </w:abstractNum>
  <w:abstractNum w:abstractNumId="234">
    <w:nsid w:val="3F48B982"/>
    <w:multiLevelType w:val="hybridMultilevel"/>
    <w:lvl w:ilvl="0">
      <w:lvlJc w:val="left"/>
      <w:lvlText w:val="(%1)"/>
      <w:numFmt w:val="lowerRoman"/>
      <w:start w:val="3"/>
    </w:lvl>
  </w:abstractNum>
  <w:abstractNum w:abstractNumId="235">
    <w:nsid w:val="46BA8FCA"/>
    <w:multiLevelType w:val="hybridMultilevel"/>
    <w:lvl w:ilvl="0">
      <w:lvlJc w:val="left"/>
      <w:lvlText w:val="%1."/>
      <w:numFmt w:val="decimal"/>
      <w:start w:val="8"/>
    </w:lvl>
  </w:abstractNum>
  <w:abstractNum w:abstractNumId="236">
    <w:nsid w:val="7835626C"/>
    <w:multiLevelType w:val="hybridMultilevel"/>
    <w:lvl w:ilvl="0">
      <w:lvlJc w:val="left"/>
      <w:lvlText w:val="%1."/>
      <w:numFmt w:val="decimal"/>
      <w:start w:val="9"/>
    </w:lvl>
  </w:abstractNum>
  <w:abstractNum w:abstractNumId="237">
    <w:nsid w:val="665ACA49"/>
    <w:multiLevelType w:val="hybridMultilevel"/>
    <w:lvl w:ilvl="0">
      <w:lvlJc w:val="left"/>
      <w:lvlText w:val="(%1)"/>
      <w:numFmt w:val="lowerLetter"/>
      <w:start w:val="1"/>
    </w:lvl>
  </w:abstractNum>
  <w:abstractNum w:abstractNumId="238">
    <w:nsid w:val="6835B2AE"/>
    <w:multiLevelType w:val="hybridMultilevel"/>
    <w:lvl w:ilvl="0">
      <w:lvlJc w:val="left"/>
      <w:lvlText w:val="%1."/>
      <w:numFmt w:val="decimal"/>
      <w:start w:val="10"/>
    </w:lvl>
  </w:abstractNum>
  <w:abstractNum w:abstractNumId="239">
    <w:nsid w:val="4C187C90"/>
    <w:multiLevelType w:val="hybridMultilevel"/>
    <w:lvl w:ilvl="0">
      <w:lvlJc w:val="left"/>
      <w:lvlText w:val="(%1)"/>
      <w:numFmt w:val="lowerLetter"/>
      <w:start w:val="4"/>
    </w:lvl>
  </w:abstractNum>
  <w:abstractNum w:abstractNumId="240">
    <w:nsid w:val="541F28CD"/>
    <w:multiLevelType w:val="hybridMultilevel"/>
    <w:lvl w:ilvl="0">
      <w:lvlJc w:val="left"/>
      <w:lvlText w:val="(%1)"/>
      <w:numFmt w:val="lowerLetter"/>
      <w:start w:val="5"/>
    </w:lvl>
  </w:abstractNum>
  <w:abstractNum w:abstractNumId="241">
    <w:nsid w:val="7F65FD16"/>
    <w:multiLevelType w:val="hybridMultilevel"/>
    <w:lvl w:ilvl="0">
      <w:lvlJc w:val="left"/>
      <w:lvlText w:val="%1."/>
      <w:numFmt w:val="decimal"/>
      <w:start w:val="11"/>
    </w:lvl>
  </w:abstractNum>
  <w:abstractNum w:abstractNumId="242">
    <w:nsid w:val="77C9FD68"/>
    <w:multiLevelType w:val="hybridMultilevel"/>
    <w:lvl w:ilvl="0">
      <w:lvlJc w:val="left"/>
      <w:lvlText w:val="(%1)"/>
      <w:numFmt w:val="lowerRoman"/>
      <w:start w:val="1"/>
    </w:lvl>
    <w:lvl w:ilvl="1">
      <w:lvlJc w:val="left"/>
      <w:lvlText w:val="(%2)"/>
      <w:numFmt w:val="lowerRoman"/>
      <w:start w:val="1"/>
    </w:lvl>
  </w:abstractNum>
  <w:abstractNum w:abstractNumId="243">
    <w:nsid w:val="298A92BA"/>
    <w:multiLevelType w:val="hybridMultilevel"/>
    <w:lvl w:ilvl="0">
      <w:lvlJc w:val="left"/>
      <w:lvlText w:val="(%1)"/>
      <w:numFmt w:val="lowerRoman"/>
      <w:start w:val="5"/>
    </w:lvl>
  </w:abstractNum>
  <w:abstractNum w:abstractNumId="244">
    <w:nsid w:val="6FE95EAC"/>
    <w:multiLevelType w:val="hybridMultilevel"/>
    <w:lvl w:ilvl="0">
      <w:lvlJc w:val="left"/>
      <w:lvlText w:val="·"/>
      <w:numFmt w:val="bullet"/>
      <w:start w:val="1"/>
    </w:lvl>
  </w:abstractNum>
  <w:abstractNum w:abstractNumId="245">
    <w:nsid w:val="4B697C7A"/>
    <w:multiLevelType w:val="hybridMultilevel"/>
    <w:lvl w:ilvl="0">
      <w:lvlJc w:val="left"/>
      <w:lvlText w:val="*"/>
      <w:numFmt w:val="bullet"/>
      <w:start w:val="1"/>
    </w:lvl>
  </w:abstractNum>
  <w:abstractNum w:abstractNumId="246">
    <w:nsid w:val="51A27AA6"/>
    <w:multiLevelType w:val="hybridMultilevel"/>
    <w:lvl w:ilvl="0">
      <w:lvlJc w:val="left"/>
      <w:lvlText w:val="%1."/>
      <w:numFmt w:val="decimal"/>
      <w:start w:val="1"/>
    </w:lvl>
  </w:abstractNum>
  <w:abstractNum w:abstractNumId="247">
    <w:nsid w:val="613183F2"/>
    <w:multiLevelType w:val="hybridMultilevel"/>
    <w:lvl w:ilvl="0">
      <w:lvlJc w:val="left"/>
      <w:lvlText w:val="(%1)"/>
      <w:numFmt w:val="lowerLetter"/>
      <w:start w:val="1"/>
    </w:lvl>
  </w:abstractNum>
  <w:abstractNum w:abstractNumId="248">
    <w:nsid w:val="634102B4"/>
    <w:multiLevelType w:val="hybridMultilevel"/>
    <w:lvl w:ilvl="0">
      <w:lvlJc w:val="left"/>
      <w:lvlText w:val="(%1)"/>
      <w:numFmt w:val="lowerLetter"/>
      <w:start w:val="1"/>
    </w:lvl>
  </w:abstractNum>
  <w:abstractNum w:abstractNumId="249">
    <w:nsid w:val="65BF9DA8"/>
    <w:multiLevelType w:val="hybridMultilevel"/>
    <w:lvl w:ilvl="0">
      <w:lvlJc w:val="left"/>
      <w:lvlText w:val="(%1)"/>
      <w:numFmt w:val="lowerLetter"/>
      <w:start w:val="2"/>
    </w:lvl>
  </w:abstractNum>
  <w:abstractNum w:abstractNumId="250">
    <w:nsid w:val="21A2ECCA"/>
    <w:multiLevelType w:val="hybridMultilevel"/>
    <w:lvl w:ilvl="0">
      <w:lvlJc w:val="left"/>
      <w:lvlText w:val="(%1)"/>
      <w:numFmt w:val="lowerRoman"/>
      <w:start w:val="3"/>
    </w:lvl>
  </w:abstractNum>
  <w:abstractNum w:abstractNumId="251">
    <w:nsid w:val="4D5C4899"/>
    <w:multiLevelType w:val="hybridMultilevel"/>
    <w:lvl w:ilvl="0">
      <w:lvlJc w:val="left"/>
      <w:lvlText w:val="(%1)"/>
      <w:numFmt w:val="decimal"/>
      <w:start w:val="3"/>
    </w:lvl>
  </w:abstractNum>
  <w:abstractNum w:abstractNumId="252">
    <w:nsid w:val="3C3B72B2"/>
    <w:multiLevelType w:val="hybridMultilevel"/>
    <w:lvl w:ilvl="0">
      <w:lvlJc w:val="left"/>
      <w:lvlText w:val="(%1)"/>
      <w:numFmt w:val="lowerLetter"/>
      <w:start w:val="2"/>
    </w:lvl>
  </w:abstractNum>
  <w:abstractNum w:abstractNumId="253">
    <w:nsid w:val="155EC4C2"/>
    <w:multiLevelType w:val="hybridMultilevel"/>
    <w:lvl w:ilvl="0">
      <w:lvlJc w:val="left"/>
      <w:lvlText w:val="(%1)"/>
      <w:numFmt w:val="lowerLetter"/>
      <w:start w:val="1"/>
    </w:lvl>
  </w:abstractNum>
  <w:abstractNum w:abstractNumId="254">
    <w:nsid w:val="65D2A137"/>
    <w:multiLevelType w:val="hybridMultilevel"/>
    <w:lvl w:ilvl="0">
      <w:lvlJc w:val="left"/>
      <w:lvlText w:val="%1."/>
      <w:numFmt w:val="decimal"/>
      <w:start w:val="2"/>
    </w:lvl>
  </w:abstractNum>
  <w:abstractNum w:abstractNumId="255">
    <w:nsid w:val="6EBB1F2A"/>
    <w:multiLevelType w:val="hybridMultilevel"/>
    <w:lvl w:ilvl="0">
      <w:lvlJc w:val="left"/>
      <w:lvlText w:val="(%1)"/>
      <w:numFmt w:val="lowerLetter"/>
      <w:start w:val="2"/>
    </w:lvl>
  </w:abstractNum>
  <w:abstractNum w:abstractNumId="256">
    <w:nsid w:val="6FBF29CB"/>
    <w:multiLevelType w:val="hybridMultilevel"/>
    <w:lvl w:ilvl="0">
      <w:lvlJc w:val="left"/>
      <w:lvlText w:val="(%1)"/>
      <w:numFmt w:val="lowerLetter"/>
      <w:start w:val="1"/>
    </w:lvl>
  </w:abstractNum>
  <w:abstractNum w:abstractNumId="257">
    <w:nsid w:val="550B8808"/>
    <w:multiLevelType w:val="hybridMultilevel"/>
    <w:lvl w:ilvl="0">
      <w:lvlJc w:val="left"/>
      <w:lvlText w:val="(%1)"/>
      <w:numFmt w:val="lowerLetter"/>
      <w:start w:val="1"/>
    </w:lvl>
  </w:abstractNum>
  <w:abstractNum w:abstractNumId="258">
    <w:nsid w:val="34CC3ACF"/>
    <w:multiLevelType w:val="hybridMultilevel"/>
    <w:lvl w:ilvl="0">
      <w:lvlJc w:val="left"/>
      <w:lvlText w:val="(%1)"/>
      <w:numFmt w:val="lowerLetter"/>
      <w:start w:val="1"/>
    </w:lvl>
  </w:abstractNum>
  <w:abstractNum w:abstractNumId="259">
    <w:nsid w:val="4E556261"/>
    <w:multiLevelType w:val="hybridMultilevel"/>
    <w:lvl w:ilvl="0">
      <w:lvlJc w:val="left"/>
      <w:lvlText w:val="(%1)"/>
      <w:numFmt w:val="lowerLetter"/>
      <w:start w:val="1"/>
    </w:lvl>
  </w:abstractNum>
  <w:abstractNum w:abstractNumId="260">
    <w:nsid w:val="4C672FC9"/>
    <w:multiLevelType w:val="hybridMultilevel"/>
    <w:lvl w:ilvl="0">
      <w:lvlJc w:val="left"/>
      <w:lvlText w:val="(%1)"/>
      <w:numFmt w:val="lowerLetter"/>
      <w:start w:val="1"/>
    </w:lvl>
  </w:abstractNum>
  <w:abstractNum w:abstractNumId="261">
    <w:nsid w:val="52A311C3"/>
    <w:multiLevelType w:val="hybridMultilevel"/>
    <w:lvl w:ilvl="0">
      <w:lvlJc w:val="left"/>
      <w:lvlText w:val="(%1)"/>
      <w:numFmt w:val="lowerLetter"/>
      <w:start w:val="2"/>
    </w:lvl>
  </w:abstractNum>
  <w:abstractNum w:abstractNumId="262">
    <w:nsid w:val="44EF6B80"/>
    <w:multiLevelType w:val="hybridMultilevel"/>
    <w:lvl w:ilvl="0">
      <w:lvlJc w:val="left"/>
      <w:lvlText w:val="%1."/>
      <w:numFmt w:val="decimal"/>
      <w:start w:val="3"/>
    </w:lvl>
  </w:abstractNum>
  <w:abstractNum w:abstractNumId="263">
    <w:nsid w:val="12FCDE5E"/>
    <w:multiLevelType w:val="hybridMultilevel"/>
    <w:lvl w:ilvl="0">
      <w:lvlJc w:val="left"/>
      <w:lvlText w:val="(%1)"/>
      <w:numFmt w:val="lowerRoman"/>
      <w:start w:val="3"/>
    </w:lvl>
  </w:abstractNum>
  <w:abstractNum w:abstractNumId="264">
    <w:nsid w:val="4A1D606E"/>
    <w:multiLevelType w:val="hybridMultilevel"/>
    <w:lvl w:ilvl="0">
      <w:lvlJc w:val="left"/>
      <w:lvlText w:val="(%1)"/>
      <w:numFmt w:val="lowerLetter"/>
      <w:start w:val="4"/>
    </w:lvl>
  </w:abstractNum>
  <w:abstractNum w:abstractNumId="265">
    <w:nsid w:val="4382503"/>
    <w:multiLevelType w:val="hybridMultilevel"/>
    <w:lvl w:ilvl="0">
      <w:lvlJc w:val="left"/>
      <w:lvlText w:val="(%1)"/>
      <w:numFmt w:val="lowerLetter"/>
      <w:start w:val="1"/>
    </w:lvl>
  </w:abstractNum>
  <w:abstractNum w:abstractNumId="266">
    <w:nsid w:val="59B76E28"/>
    <w:multiLevelType w:val="hybridMultilevel"/>
    <w:lvl w:ilvl="0">
      <w:lvlJc w:val="left"/>
      <w:lvlText w:val="%1."/>
      <w:numFmt w:val="decimal"/>
      <w:start w:val="4"/>
    </w:lvl>
  </w:abstractNum>
  <w:abstractNum w:abstractNumId="267">
    <w:nsid w:val="4252C2DA"/>
    <w:multiLevelType w:val="hybridMultilevel"/>
    <w:lvl w:ilvl="0">
      <w:lvlJc w:val="left"/>
      <w:lvlText w:val="%1."/>
      <w:numFmt w:val="decimal"/>
      <w:start w:val="5"/>
    </w:lvl>
  </w:abstractNum>
  <w:abstractNum w:abstractNumId="268">
    <w:nsid w:val="6A92EF4C"/>
    <w:multiLevelType w:val="hybridMultilevel"/>
    <w:lvl w:ilvl="0">
      <w:lvlJc w:val="left"/>
      <w:lvlText w:val="(%1)"/>
      <w:numFmt w:val="lowerLetter"/>
      <w:start w:val="1"/>
    </w:lvl>
  </w:abstractNum>
  <w:abstractNum w:abstractNumId="269">
    <w:nsid w:val="41ED20D7"/>
    <w:multiLevelType w:val="hybridMultilevel"/>
    <w:lvl w:ilvl="0">
      <w:lvlJc w:val="left"/>
      <w:lvlText w:val="(%1)"/>
      <w:numFmt w:val="lowerLetter"/>
      <w:start w:val="4"/>
    </w:lvl>
  </w:abstractNum>
  <w:abstractNum w:abstractNumId="270">
    <w:nsid w:val="E6B3F6A"/>
    <w:multiLevelType w:val="hybridMultilevel"/>
    <w:lvl w:ilvl="0">
      <w:lvlJc w:val="left"/>
      <w:lvlText w:val="%1."/>
      <w:numFmt w:val="decimal"/>
      <w:start w:val="6"/>
    </w:lvl>
  </w:abstractNum>
  <w:abstractNum w:abstractNumId="271">
    <w:nsid w:val="3EB21819"/>
    <w:multiLevelType w:val="hybridMultilevel"/>
    <w:lvl w:ilvl="0">
      <w:lvlJc w:val="left"/>
      <w:lvlText w:val="(%1)"/>
      <w:numFmt w:val="lowerRoman"/>
      <w:start w:val="2"/>
    </w:lvl>
  </w:abstractNum>
  <w:abstractNum w:abstractNumId="272">
    <w:nsid w:val="41531DED"/>
    <w:multiLevelType w:val="hybridMultilevel"/>
    <w:lvl w:ilvl="0">
      <w:lvlJc w:val="left"/>
      <w:lvlText w:val="%1."/>
      <w:numFmt w:val="decimal"/>
      <w:start w:val="7"/>
    </w:lvl>
  </w:abstractNum>
  <w:abstractNum w:abstractNumId="273">
    <w:nsid w:val="6353CD2"/>
    <w:multiLevelType w:val="hybridMultilevel"/>
    <w:lvl w:ilvl="0">
      <w:lvlJc w:val="left"/>
      <w:lvlText w:val="%1."/>
      <w:numFmt w:val="decimal"/>
      <w:start w:val="8"/>
    </w:lvl>
  </w:abstractNum>
  <w:abstractNum w:abstractNumId="274">
    <w:nsid w:val="683CAAD3"/>
    <w:multiLevelType w:val="hybridMultilevel"/>
    <w:lvl w:ilvl="0">
      <w:lvlJc w:val="left"/>
      <w:lvlText w:val="%1."/>
      <w:numFmt w:val="decimal"/>
      <w:start w:val="9"/>
    </w:lvl>
  </w:abstractNum>
  <w:abstractNum w:abstractNumId="275">
    <w:nsid w:val="313C7C99"/>
    <w:multiLevelType w:val="hybridMultilevel"/>
    <w:lvl w:ilvl="0">
      <w:lvlJc w:val="left"/>
      <w:lvlText w:val="%1."/>
      <w:numFmt w:val="decimal"/>
      <w:start w:val="10"/>
    </w:lvl>
  </w:abstractNum>
  <w:abstractNum w:abstractNumId="276">
    <w:nsid w:val="519EB94C"/>
    <w:multiLevelType w:val="hybridMultilevel"/>
    <w:lvl w:ilvl="0">
      <w:lvlJc w:val="left"/>
      <w:lvlText w:val="(%1)"/>
      <w:numFmt w:val="lowerRoman"/>
      <w:start w:val="2"/>
    </w:lvl>
  </w:abstractNum>
  <w:abstractNum w:abstractNumId="277">
    <w:nsid w:val="39DF2579"/>
    <w:multiLevelType w:val="hybridMultilevel"/>
    <w:lvl w:ilvl="0">
      <w:lvlJc w:val="left"/>
      <w:lvlText w:val="%1."/>
      <w:numFmt w:val="decimal"/>
      <w:start w:val="11"/>
    </w:lvl>
  </w:abstractNum>
  <w:abstractNum w:abstractNumId="278">
    <w:nsid w:val="126E008B"/>
    <w:multiLevelType w:val="hybridMultilevel"/>
    <w:lvl w:ilvl="0">
      <w:lvlJc w:val="left"/>
      <w:lvlText w:val="(%1)"/>
      <w:numFmt w:val="lowerRoman"/>
      <w:start w:val="1"/>
    </w:lvl>
  </w:abstractNum>
  <w:abstractNum w:abstractNumId="279">
    <w:nsid w:val="34DFBC00"/>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2019-12-09T03:33:41Z</dcterms:created>
  <dcterms:modified xsi:type="dcterms:W3CDTF">2019-12-09T03:33:41Z</dcterms:modified>
</cp:coreProperties>
</file>